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8" w:lineRule="exact"/>
        <w:rPr>
          <w:sz w:val="24"/>
          <w:szCs w:val="24"/>
          <w:color w:val="auto"/>
        </w:rPr>
      </w:pPr>
    </w:p>
    <w:p>
      <w:pPr>
        <w:ind w:left="2640" w:hanging="368"/>
        <w:spacing w:after="0"/>
        <w:tabs>
          <w:tab w:leader="none" w:pos="2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29, 2023</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2560" w:hanging="342"/>
        <w:spacing w:after="0"/>
        <w:tabs>
          <w:tab w:leader="none" w:pos="2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001-36223</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51435</wp:posOffset>
            </wp:positionV>
            <wp:extent cx="246888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1840" w:type="dxa"/>
        <w:tblCellMar>
          <w:top w:w="0" w:type="dxa"/>
          <w:left w:w="0" w:type="dxa"/>
          <w:bottom w:w="0" w:type="dxa"/>
          <w:right w:w="0" w:type="dxa"/>
        </w:tblCellMar>
      </w:tblPr>
      <w:tr>
        <w:trPr>
          <w:trHeight w:val="402"/>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32"/>
                <w:szCs w:val="32"/>
                <w:b w:val="1"/>
                <w:bCs w:val="1"/>
                <w:color w:val="auto"/>
              </w:rPr>
              <w:t>Aramark</w:t>
            </w:r>
          </w:p>
        </w:tc>
        <w:tc>
          <w:tcPr>
            <w:tcW w:w="1400" w:type="dxa"/>
            <w:vAlign w:val="bottom"/>
          </w:tcPr>
          <w:p>
            <w:pPr>
              <w:spacing w:after="0"/>
              <w:rPr>
                <w:sz w:val="24"/>
                <w:szCs w:val="24"/>
                <w:color w:val="auto"/>
              </w:rPr>
            </w:pPr>
          </w:p>
        </w:tc>
      </w:tr>
      <w:tr>
        <w:trPr>
          <w:trHeight w:val="188"/>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400" w:type="dxa"/>
            <w:vAlign w:val="bottom"/>
          </w:tcPr>
          <w:p>
            <w:pPr>
              <w:spacing w:after="0"/>
              <w:rPr>
                <w:sz w:val="16"/>
                <w:szCs w:val="16"/>
                <w:color w:val="auto"/>
              </w:rPr>
            </w:pPr>
          </w:p>
        </w:tc>
      </w:tr>
      <w:tr>
        <w:trPr>
          <w:trHeight w:val="244"/>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4"/>
        </w:trPr>
        <w:tc>
          <w:tcPr>
            <w:tcW w:w="5780" w:type="dxa"/>
            <w:vAlign w:val="bottom"/>
          </w:tcPr>
          <w:p>
            <w:pPr>
              <w:jc w:val="center"/>
              <w:ind w:right="341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71"/>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1400" w:type="dxa"/>
            <w:vAlign w:val="bottom"/>
          </w:tcPr>
          <w:p>
            <w:pPr>
              <w:spacing w:after="0"/>
              <w:rPr>
                <w:sz w:val="23"/>
                <w:szCs w:val="23"/>
                <w:color w:val="auto"/>
              </w:rPr>
            </w:pPr>
          </w:p>
        </w:tc>
      </w:tr>
      <w:tr>
        <w:trPr>
          <w:trHeight w:val="247"/>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8"/>
                <w:szCs w:val="18"/>
                <w:b w:val="1"/>
                <w:bCs w:val="1"/>
                <w:color w:val="auto"/>
                <w:w w:val="98"/>
              </w:rPr>
              <w:t>Philadelphia, Pennsylvania</w:t>
            </w:r>
          </w:p>
        </w:tc>
        <w:tc>
          <w:tcPr>
            <w:tcW w:w="140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74"/>
        </w:trPr>
        <w:tc>
          <w:tcPr>
            <w:tcW w:w="5780" w:type="dxa"/>
            <w:vAlign w:val="bottom"/>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(215) 238-3000</w:t>
            </w:r>
          </w:p>
        </w:tc>
        <w:tc>
          <w:tcPr>
            <w:tcW w:w="1400" w:type="dxa"/>
            <w:vAlign w:val="bottom"/>
          </w:tcPr>
          <w:p>
            <w:pPr>
              <w:spacing w:after="0"/>
              <w:rPr>
                <w:sz w:val="24"/>
                <w:szCs w:val="24"/>
                <w:color w:val="auto"/>
              </w:rPr>
            </w:pPr>
          </w:p>
        </w:tc>
      </w:tr>
      <w:tr>
        <w:trPr>
          <w:trHeight w:val="211"/>
        </w:trPr>
        <w:tc>
          <w:tcPr>
            <w:tcW w:w="5780" w:type="dxa"/>
            <w:vAlign w:val="bottom"/>
          </w:tcPr>
          <w:p>
            <w:pPr>
              <w:jc w:val="center"/>
              <w:ind w:left="1692"/>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00" w:type="dxa"/>
            <w:vAlign w:val="bottom"/>
          </w:tcPr>
          <w:p>
            <w:pPr>
              <w:spacing w:after="0"/>
              <w:rPr>
                <w:sz w:val="18"/>
                <w:szCs w:val="18"/>
                <w:color w:val="auto"/>
              </w:rPr>
            </w:pPr>
          </w:p>
        </w:tc>
      </w:tr>
      <w:tr>
        <w:trPr>
          <w:trHeight w:val="234"/>
        </w:trPr>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400" w:type="dxa"/>
            <w:vAlign w:val="bottom"/>
          </w:tcPr>
          <w:p>
            <w:pPr>
              <w:spacing w:after="0"/>
              <w:rPr>
                <w:sz w:val="20"/>
                <w:szCs w:val="20"/>
                <w:color w:val="auto"/>
              </w:rPr>
            </w:pPr>
          </w:p>
        </w:tc>
      </w:tr>
    </w:tbl>
    <w:p>
      <w:pPr>
        <w:spacing w:after="0" w:line="22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60" w:type="dxa"/>
            <w:vAlign w:val="bottom"/>
          </w:tcPr>
          <w:p>
            <w:pPr>
              <w:spacing w:after="0"/>
              <w:rPr>
                <w:sz w:val="18"/>
                <w:szCs w:val="18"/>
                <w:color w:val="auto"/>
              </w:rPr>
            </w:pPr>
          </w:p>
        </w:tc>
        <w:tc>
          <w:tcPr>
            <w:tcW w:w="37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ARMK</w:t>
            </w:r>
          </w:p>
        </w:tc>
        <w:tc>
          <w:tcPr>
            <w:tcW w:w="260" w:type="dxa"/>
            <w:vAlign w:val="bottom"/>
          </w:tcPr>
          <w:p>
            <w:pPr>
              <w:spacing w:after="0"/>
              <w:rPr>
                <w:sz w:val="17"/>
                <w:szCs w:val="17"/>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4" w:lineRule="exact"/>
        <w:rPr>
          <w:sz w:val="24"/>
          <w:szCs w:val="24"/>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42" w:lineRule="exact"/>
        <w:rPr>
          <w:sz w:val="24"/>
          <w:szCs w:val="24"/>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42" w:lineRule="exact"/>
        <w:rPr>
          <w:sz w:val="24"/>
          <w:szCs w:val="24"/>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207" w:lineRule="exact"/>
        <w:tabs>
          <w:tab w:leader="none" w:pos="1960" w:val="left"/>
          <w:tab w:leader="none" w:pos="8420" w:val="left"/>
          <w:tab w:leader="none" w:pos="109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7" w:lineRule="exact"/>
        <w:rPr>
          <w:sz w:val="24"/>
          <w:szCs w:val="24"/>
          <w:color w:val="auto"/>
        </w:rPr>
      </w:pPr>
    </w:p>
    <w:p>
      <w:pPr>
        <w:ind w:right="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420" w:right="136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January 26, 2024, the number of shares of the registrant's common stock outstanding is 262,453,791.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1" w:name="page2"/>
    <w:bookmarkEnd w:id="1"/>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4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160" w:type="dxa"/>
            <w:vAlign w:val="bottom"/>
          </w:tcPr>
          <w:p>
            <w:pPr>
              <w:spacing w:after="0"/>
              <w:rPr>
                <w:sz w:val="24"/>
                <w:szCs w:val="24"/>
                <w:color w:val="auto"/>
              </w:rPr>
            </w:pP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300" w:type="dxa"/>
            <w:vAlign w:val="bottom"/>
            <w:gridSpan w:val="9"/>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3820" w:type="dxa"/>
            <w:vAlign w:val="bottom"/>
            <w:gridSpan w:val="8"/>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860" w:type="dxa"/>
            <w:vAlign w:val="bottom"/>
            <w:gridSpan w:val="4"/>
          </w:tcPr>
          <w:p>
            <w:pPr>
              <w:spacing w:after="0"/>
              <w:rPr>
                <w:sz w:val="18"/>
                <w:szCs w:val="18"/>
                <w:color w:val="auto"/>
              </w:rPr>
            </w:pPr>
          </w:p>
        </w:tc>
        <w:tc>
          <w:tcPr>
            <w:tcW w:w="2660" w:type="dxa"/>
            <w:vAlign w:val="bottom"/>
            <w:gridSpan w:val="3"/>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60" w:type="dxa"/>
            <w:vAlign w:val="bottom"/>
            <w:gridSpan w:val="2"/>
          </w:tcPr>
          <w:p>
            <w:pPr>
              <w:spacing w:after="0"/>
              <w:rPr>
                <w:sz w:val="18"/>
                <w:szCs w:val="18"/>
                <w:color w:val="auto"/>
              </w:rPr>
            </w:pPr>
          </w:p>
        </w:tc>
        <w:tc>
          <w:tcPr>
            <w:tcW w:w="2880" w:type="dxa"/>
            <w:vAlign w:val="bottom"/>
            <w:gridSpan w:val="4"/>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20" w:type="dxa"/>
            <w:vAlign w:val="bottom"/>
            <w:tcBorders>
              <w:top w:val="single" w:sz="8" w:color="0000FF"/>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900" w:type="dxa"/>
            <w:vAlign w:val="bottom"/>
            <w:gridSpan w:val="13"/>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680" w:type="dxa"/>
            <w:vAlign w:val="bottom"/>
            <w:gridSpan w:val="3"/>
          </w:tcPr>
          <w:p>
            <w:pPr>
              <w:spacing w:after="0"/>
              <w:rPr>
                <w:sz w:val="18"/>
                <w:szCs w:val="18"/>
                <w:color w:val="auto"/>
              </w:rPr>
            </w:pP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3"/>
          </w:tcPr>
          <w:p>
            <w:pPr>
              <w:spacing w:after="0"/>
              <w:rPr>
                <w:sz w:val="18"/>
                <w:szCs w:val="18"/>
                <w:color w:val="auto"/>
              </w:rPr>
            </w:pP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84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920" w:type="dxa"/>
            <w:vAlign w:val="bottom"/>
            <w:gridSpan w:val="1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60" w:type="dxa"/>
            <w:vAlign w:val="bottom"/>
            <w:gridSpan w:val="12"/>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920" w:type="dxa"/>
            <w:vAlign w:val="bottom"/>
            <w:gridSpan w:val="1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w:t>
      </w:r>
    </w:p>
    <w:p>
      <w:pPr>
        <w:spacing w:after="0" w:line="5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but not limited to, the ongoing conflict between Russia and Ukraine and the growing conflict in the Middle East, global supply chain disruptions,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 qualified personnel or increases in labor costs; our expansion strategy and our ability to successfully integrate the businesses we acquire and costs and timing related thereto; risks associated with the recently completed spin-off of Aramark Uniform and Career Apparel ("Uniform") as an independent publicly traded company to our stockholders;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21, 2023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200" w:type="dxa"/>
            <w:vAlign w:val="bottom"/>
          </w:tcPr>
          <w:p>
            <w:pPr>
              <w:spacing w:after="0"/>
              <w:rPr>
                <w:sz w:val="16"/>
                <w:szCs w:val="16"/>
                <w:color w:val="auto"/>
              </w:rPr>
            </w:pPr>
          </w:p>
        </w:tc>
        <w:tc>
          <w:tcPr>
            <w:tcW w:w="16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8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1,927,088</w:t>
            </w:r>
          </w:p>
        </w:tc>
        <w:tc>
          <w:tcPr>
            <w:tcW w:w="0" w:type="dxa"/>
            <w:vAlign w:val="bottom"/>
          </w:tcPr>
          <w:p>
            <w:pPr>
              <w:spacing w:after="0"/>
              <w:rPr>
                <w:sz w:val="1"/>
                <w:szCs w:val="1"/>
                <w:color w:val="auto"/>
              </w:rPr>
            </w:pPr>
          </w:p>
        </w:tc>
      </w:tr>
      <w:tr>
        <w:trPr>
          <w:trHeight w:val="195"/>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Receivables (less allowances: $36,836 and $31,506)</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2,198,781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1,970,782</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403,707</w:t>
            </w:r>
          </w:p>
        </w:tc>
        <w:tc>
          <w:tcPr>
            <w:tcW w:w="0" w:type="dxa"/>
            <w:vAlign w:val="bottom"/>
          </w:tcPr>
          <w:p>
            <w:pPr>
              <w:spacing w:after="0"/>
              <w:rPr>
                <w:sz w:val="1"/>
                <w:szCs w:val="1"/>
                <w:color w:val="auto"/>
              </w:rPr>
            </w:pPr>
          </w:p>
        </w:tc>
      </w:tr>
      <w:tr>
        <w:trPr>
          <w:trHeight w:val="195"/>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297,519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620,931</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3,167,420</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5,220,027</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1,490,475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1,425,973</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4,661,018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4,615,986</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1,824,457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1,804,473</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572,268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728,678</w:t>
            </w:r>
          </w:p>
        </w:tc>
        <w:tc>
          <w:tcPr>
            <w:tcW w:w="0" w:type="dxa"/>
            <w:vAlign w:val="bottom"/>
          </w:tcPr>
          <w:p>
            <w:pPr>
              <w:spacing w:after="0"/>
              <w:rPr>
                <w:sz w:val="1"/>
                <w:szCs w:val="1"/>
                <w:color w:val="auto"/>
              </w:rPr>
            </w:pPr>
          </w:p>
        </w:tc>
      </w:tr>
      <w:tr>
        <w:trPr>
          <w:trHeight w:val="19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200" w:type="dxa"/>
            <w:vAlign w:val="bottom"/>
          </w:tcPr>
          <w:p>
            <w:pPr>
              <w:spacing w:after="0"/>
              <w:rPr>
                <w:sz w:val="17"/>
                <w:szCs w:val="17"/>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2,503,836</w:t>
            </w:r>
          </w:p>
        </w:tc>
        <w:tc>
          <w:tcPr>
            <w:tcW w:w="0" w:type="dxa"/>
            <w:vAlign w:val="bottom"/>
          </w:tcPr>
          <w:p>
            <w:pPr>
              <w:spacing w:after="0"/>
              <w:rPr>
                <w:sz w:val="1"/>
                <w:szCs w:val="1"/>
                <w:color w:val="auto"/>
              </w:rPr>
            </w:pPr>
          </w:p>
        </w:tc>
      </w:tr>
      <w:tr>
        <w:trPr>
          <w:trHeight w:val="221"/>
        </w:trPr>
        <w:tc>
          <w:tcPr>
            <w:tcW w:w="74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12,419,449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16,871,241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Current maturities of long-term borrowings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41,513</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1,543,032</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51,271</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1,096,193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1,271,859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479,827</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934,191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1,288,454</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395,524</w:t>
            </w: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2,489,414</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5,029,967</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5,930,220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5,098,662</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245,871</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410,935</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503,129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1,861,735</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11)</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480" w:type="dxa"/>
            <w:vAlign w:val="bottom"/>
            <w:shd w:val="clear" w:color="auto" w:fill="CCEEFF"/>
          </w:tcPr>
          <w:p>
            <w:pPr>
              <w:ind w:left="480"/>
              <w:spacing w:after="0" w:line="147" w:lineRule="exact"/>
              <w:rPr>
                <w:sz w:val="20"/>
                <w:szCs w:val="20"/>
                <w:color w:val="auto"/>
              </w:rPr>
            </w:pPr>
            <w:r>
              <w:rPr>
                <w:rFonts w:ascii="Times New Roman" w:cs="Times New Roman" w:eastAsia="Times New Roman" w:hAnsi="Times New Roman"/>
                <w:sz w:val="14"/>
                <w:szCs w:val="14"/>
                <w:color w:val="auto"/>
              </w:rPr>
              <w:t>Common stock, par value $0.01 (authorized: 600,000,000 shares; issued: 302,432,929 shares and 301,069,012 shares;</w:t>
            </w:r>
          </w:p>
        </w:tc>
        <w:tc>
          <w:tcPr>
            <w:tcW w:w="20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0" w:type="dxa"/>
            <w:vAlign w:val="bottom"/>
          </w:tcPr>
          <w:p>
            <w:pPr>
              <w:spacing w:after="0"/>
              <w:rPr>
                <w:sz w:val="1"/>
                <w:szCs w:val="1"/>
                <w:color w:val="auto"/>
              </w:rPr>
            </w:pPr>
          </w:p>
        </w:tc>
      </w:tr>
      <w:tr>
        <w:trPr>
          <w:trHeight w:val="198"/>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and outstanding: 262,368,455 shares and 261,450,373 shares)</w:t>
            </w:r>
          </w:p>
        </w:tc>
        <w:tc>
          <w:tcPr>
            <w:tcW w:w="20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Capital surplus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3,847,489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3,825,620</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964,158</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(98,237)</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Treasury stock (shares held in treasury: 40,064,474 shares and 39,618,639 shares)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(994,167)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(981,834)</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2,846,634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3,712,718</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12,419,449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16,871,241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20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216"/>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4,407,765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3,913,720</w:t>
            </w: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3,591,802</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102,597</w:t>
            </w:r>
          </w:p>
        </w:tc>
      </w:tr>
      <w:tr>
        <w:trPr>
          <w:trHeight w:val="216"/>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67,636</w:t>
            </w:r>
          </w:p>
        </w:tc>
      </w:tr>
      <w:tr>
        <w:trPr>
          <w:trHeight w:val="210"/>
        </w:trPr>
        <w:tc>
          <w:tcPr>
            <w:tcW w:w="7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4,240,815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3,762,035</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151,685</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100,951</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50,734</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 from Continuing Operations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12,736</w:t>
            </w:r>
          </w:p>
        </w:tc>
      </w:tr>
      <w:tr>
        <w:trPr>
          <w:trHeight w:val="212"/>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37,998</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 attributable to Aramark stockholders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38,498</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35,653</w:t>
            </w:r>
          </w:p>
        </w:tc>
      </w:tr>
      <w:tr>
        <w:trPr>
          <w:trHeight w:val="234"/>
        </w:trPr>
        <w:tc>
          <w:tcPr>
            <w:tcW w:w="76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attributable to Aramark stockholders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07"/>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6"/>
        </w:trPr>
        <w:tc>
          <w:tcPr>
            <w:tcW w:w="7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34"/>
        </w:trPr>
        <w:tc>
          <w:tcPr>
            <w:tcW w:w="76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259,454</w:t>
            </w:r>
          </w:p>
        </w:tc>
      </w:tr>
      <w:tr>
        <w:trPr>
          <w:trHeight w:val="219"/>
        </w:trPr>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261,414</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4"/>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229"/>
        </w:trPr>
        <w:tc>
          <w:tcPr>
            <w:tcW w:w="724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37,998</w:t>
            </w:r>
          </w:p>
        </w:tc>
      </w:tr>
      <w:tr>
        <w:trPr>
          <w:trHeight w:val="230"/>
        </w:trPr>
        <w:tc>
          <w:tcPr>
            <w:tcW w:w="7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35,653</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73,651</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34,837</w:t>
            </w:r>
          </w:p>
        </w:tc>
      </w:tr>
      <w:tr>
        <w:trPr>
          <w:trHeight w:val="229"/>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r>
      <w:tr>
        <w:trPr>
          <w:trHeight w:val="230"/>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28,080</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101,731</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7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189"/>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 of Continuing Operations:</w:t>
            </w: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195"/>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28,517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37,998</w:t>
            </w:r>
          </w:p>
        </w:tc>
      </w:tr>
      <w:tr>
        <w:trPr>
          <w:trHeight w:val="146"/>
        </w:trPr>
        <w:tc>
          <w:tcPr>
            <w:tcW w:w="782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4"/>
                <w:szCs w:val="14"/>
                <w:color w:val="auto"/>
              </w:rPr>
              <w:t>Adjustments to reconcile Net income from Continuing Operations to Net cash used in operating activities of Continuing</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98"/>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Operations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105,544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102,597</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Asset write-downs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18,316</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Reduction of contingent consideration liability (see Note 13)</w:t>
            </w:r>
          </w:p>
        </w:tc>
        <w:tc>
          <w:tcPr>
            <w:tcW w:w="16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(29,941)</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12,806</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20,574</w:t>
            </w:r>
          </w:p>
        </w:tc>
      </w:tr>
      <w:tr>
        <w:trPr>
          <w:trHeight w:val="210"/>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Receivables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(100,528)</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4,549</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(254,225)</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(460,413)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(415,251)</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made to clients on contracts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(33,868)</w:t>
            </w:r>
          </w:p>
        </w:tc>
      </w:tr>
      <w:tr>
        <w:trPr>
          <w:trHeight w:val="196"/>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64,220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14,357</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 of Continuing Operations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(615,748)</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 of Continuing Operations: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(88,904)</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r>
      <w:tr>
        <w:trPr>
          <w:trHeight w:val="196"/>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17,874</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 of Continuing Operations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(197,968)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(71,188)</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 of Continuing Operations: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301,790</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(1,538,997)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(19,415)</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395,065</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Payments of dividends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(28,566)</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28,198</w:t>
            </w:r>
          </w:p>
        </w:tc>
      </w:tr>
      <w:tr>
        <w:trPr>
          <w:trHeight w:val="196"/>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(14,538)</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 of Continuing Operations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(779,003)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662,534</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8,543</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Discontinued Operations</w:t>
            </w:r>
          </w:p>
        </w:tc>
        <w:tc>
          <w:tcPr>
            <w:tcW w:w="16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(9,869)</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 and restricted cash</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Decrease in cash and cash equivalents and restricted cash</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(1,628,714)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(22,610)</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1,972,367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365,431</w:t>
            </w: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343,653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342,821</w:t>
            </w:r>
          </w:p>
        </w:tc>
      </w:tr>
      <w:tr>
        <w:trPr>
          <w:trHeight w:val="27"/>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60" w:type="dxa"/>
            <w:vAlign w:val="bottom"/>
          </w:tcPr>
          <w:p>
            <w:pPr>
              <w:spacing w:after="0"/>
              <w:rPr>
                <w:sz w:val="16"/>
                <w:szCs w:val="16"/>
                <w:color w:val="auto"/>
              </w:rPr>
            </w:pPr>
          </w:p>
        </w:tc>
        <w:tc>
          <w:tcPr>
            <w:tcW w:w="326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0" w:type="dxa"/>
            <w:vAlign w:val="bottom"/>
          </w:tcPr>
          <w:p>
            <w:pPr>
              <w:spacing w:after="0"/>
              <w:rPr>
                <w:sz w:val="1"/>
                <w:szCs w:val="1"/>
                <w:color w:val="auto"/>
              </w:rPr>
            </w:pPr>
          </w:p>
        </w:tc>
      </w:tr>
      <w:tr>
        <w:trPr>
          <w:trHeight w:val="20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0" w:type="dxa"/>
            <w:vAlign w:val="bottom"/>
          </w:tcPr>
          <w:p>
            <w:pPr>
              <w:spacing w:after="0"/>
              <w:rPr>
                <w:sz w:val="1"/>
                <w:szCs w:val="1"/>
                <w:color w:val="auto"/>
              </w:rPr>
            </w:pP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60" w:type="dxa"/>
            <w:vAlign w:val="bottom"/>
          </w:tcPr>
          <w:p>
            <w:pPr>
              <w:spacing w:after="0"/>
              <w:rPr>
                <w:sz w:val="16"/>
                <w:szCs w:val="16"/>
                <w:color w:val="auto"/>
              </w:rPr>
            </w:pPr>
          </w:p>
        </w:tc>
        <w:tc>
          <w:tcPr>
            <w:tcW w:w="326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0" w:type="dxa"/>
            <w:vAlign w:val="bottom"/>
          </w:tcPr>
          <w:p>
            <w:pPr>
              <w:spacing w:after="0"/>
              <w:rPr>
                <w:sz w:val="1"/>
                <w:szCs w:val="1"/>
                <w:color w:val="auto"/>
              </w:rPr>
            </w:pPr>
          </w:p>
        </w:tc>
      </w:tr>
      <w:tr>
        <w:trPr>
          <w:trHeight w:val="20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295,597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288,228</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 Prepayments and other current assets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48,056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 Current assets of discontinued operations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16,822</w:t>
            </w:r>
          </w:p>
        </w:tc>
        <w:tc>
          <w:tcPr>
            <w:tcW w:w="0" w:type="dxa"/>
            <w:vAlign w:val="bottom"/>
          </w:tcPr>
          <w:p>
            <w:pPr>
              <w:spacing w:after="0"/>
              <w:rPr>
                <w:sz w:val="1"/>
                <w:szCs w:val="1"/>
                <w:color w:val="auto"/>
              </w:rPr>
            </w:pPr>
          </w:p>
        </w:tc>
      </w:t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343,653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342,821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29, 2023</w:t>
      </w:r>
    </w:p>
    <w:p>
      <w:pPr>
        <w:spacing w:after="0" w:line="27" w:lineRule="exact"/>
        <w:rPr>
          <w:sz w:val="20"/>
          <w:szCs w:val="20"/>
          <w:color w:val="auto"/>
        </w:rPr>
      </w:pPr>
    </w:p>
    <w:p>
      <w:pPr>
        <w:ind w:left="260" w:right="460"/>
        <w:spacing w:after="0" w:line="234" w:lineRule="auto"/>
        <w:rPr>
          <w:sz w:val="20"/>
          <w:szCs w:val="20"/>
          <w:color w:val="auto"/>
        </w:rPr>
      </w:pPr>
      <w:r>
        <w:rPr>
          <w:rFonts w:ascii="Times New Roman" w:cs="Times New Roman" w:eastAsia="Times New Roman" w:hAnsi="Times New Roman"/>
          <w:sz w:val="18"/>
          <w:szCs w:val="18"/>
          <w:color w:val="auto"/>
        </w:rPr>
        <w:t>Net income attributable to Aramark stockholders</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7" w:lineRule="exact"/>
        <w:rPr>
          <w:sz w:val="20"/>
          <w:szCs w:val="20"/>
          <w:color w:val="auto"/>
        </w:rPr>
      </w:pPr>
    </w:p>
    <w:p>
      <w:pPr>
        <w:ind w:left="260" w:right="260"/>
        <w:spacing w:after="0" w:line="234" w:lineRule="auto"/>
        <w:rPr>
          <w:sz w:val="20"/>
          <w:szCs w:val="20"/>
          <w:color w:val="auto"/>
        </w:rPr>
      </w:pPr>
      <w:r>
        <w:rPr>
          <w:rFonts w:ascii="Times New Roman" w:cs="Times New Roman" w:eastAsia="Times New Roman" w:hAnsi="Times New Roman"/>
          <w:sz w:val="18"/>
          <w:szCs w:val="18"/>
          <w:color w:val="auto"/>
        </w:rPr>
        <w:t>Capital contributions from issuance of common stock</w:t>
      </w:r>
    </w:p>
    <w:p>
      <w:pPr>
        <w:spacing w:after="0" w:line="10" w:lineRule="exact"/>
        <w:rPr>
          <w:sz w:val="20"/>
          <w:szCs w:val="20"/>
          <w:color w:val="auto"/>
        </w:rPr>
      </w:pPr>
    </w:p>
    <w:p>
      <w:pPr>
        <w:ind w:left="260" w:right="480"/>
        <w:spacing w:after="0" w:line="284" w:lineRule="auto"/>
        <w:rPr>
          <w:sz w:val="20"/>
          <w:szCs w:val="20"/>
          <w:color w:val="auto"/>
        </w:rPr>
      </w:pPr>
      <w:r>
        <w:rPr>
          <w:rFonts w:ascii="Times New Roman" w:cs="Times New Roman" w:eastAsia="Times New Roman" w:hAnsi="Times New Roman"/>
          <w:sz w:val="17"/>
          <w:szCs w:val="17"/>
          <w:color w:val="auto"/>
        </w:rPr>
        <w:t>Share-based compensation expense Repurchases of common stock</w:t>
      </w:r>
    </w:p>
    <w:p>
      <w:pPr>
        <w:spacing w:after="0" w:line="1"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18"/>
          <w:szCs w:val="18"/>
          <w:color w:val="auto"/>
        </w:rPr>
        <w:t>Separation of Uniform Segment (see Note 2)</w:t>
      </w:r>
    </w:p>
    <w:p>
      <w:pPr>
        <w:spacing w:after="0" w:line="10" w:lineRule="exact"/>
        <w:rPr>
          <w:sz w:val="20"/>
          <w:szCs w:val="20"/>
          <w:color w:val="auto"/>
        </w:rPr>
      </w:pPr>
    </w:p>
    <w:p>
      <w:pPr>
        <w:ind w:left="20" w:right="20" w:firstLine="229"/>
        <w:spacing w:after="0" w:line="313" w:lineRule="auto"/>
        <w:rPr>
          <w:sz w:val="20"/>
          <w:szCs w:val="20"/>
          <w:color w:val="auto"/>
        </w:rPr>
      </w:pPr>
      <w:r>
        <w:rPr>
          <w:rFonts w:ascii="Times New Roman" w:cs="Times New Roman" w:eastAsia="Times New Roman" w:hAnsi="Times New Roman"/>
          <w:sz w:val="18"/>
          <w:szCs w:val="18"/>
          <w:color w:val="auto"/>
        </w:rPr>
        <w:t>Payments of dividends ($0.095 per share) Balance, December 29, 2023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3,712,718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3,825,620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964,158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(98,237)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(22,183)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31,409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2,846,634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3,847,489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79,299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9"/>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7"/>
              </w:rPr>
              <w:t>(89,011)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(994,167)</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-1722120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-1285240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-873760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-582295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-170815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3280" w:space="40"/>
            <w:col w:w="7920"/>
          </w:cols>
          <w:pgMar w:left="320" w:top="175" w:right="339" w:bottom="1440" w:gutter="0" w:footer="0" w:header="0"/>
          <w:type w:val="continuous"/>
        </w:sect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p>
      <w:pPr>
        <w:spacing w:after="0" w:line="27" w:lineRule="exact"/>
        <w:rPr>
          <w:sz w:val="20"/>
          <w:szCs w:val="20"/>
          <w:color w:val="auto"/>
        </w:rPr>
      </w:pPr>
    </w:p>
    <w:p>
      <w:pPr>
        <w:ind w:left="260" w:right="340"/>
        <w:spacing w:after="0" w:line="234" w:lineRule="auto"/>
        <w:rPr>
          <w:sz w:val="20"/>
          <w:szCs w:val="20"/>
          <w:color w:val="auto"/>
        </w:rPr>
      </w:pPr>
      <w:r>
        <w:rPr>
          <w:rFonts w:ascii="Times New Roman" w:cs="Times New Roman" w:eastAsia="Times New Roman" w:hAnsi="Times New Roman"/>
          <w:sz w:val="18"/>
          <w:szCs w:val="18"/>
          <w:color w:val="auto"/>
        </w:rPr>
        <w:t>Net income attributable to Aramark stockholders</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7" w:lineRule="exact"/>
        <w:rPr>
          <w:sz w:val="20"/>
          <w:szCs w:val="20"/>
          <w:color w:val="auto"/>
        </w:rPr>
      </w:pPr>
    </w:p>
    <w:p>
      <w:pPr>
        <w:ind w:left="260" w:right="140"/>
        <w:spacing w:after="0" w:line="234" w:lineRule="auto"/>
        <w:rPr>
          <w:sz w:val="20"/>
          <w:szCs w:val="20"/>
          <w:color w:val="auto"/>
        </w:rPr>
      </w:pPr>
      <w:r>
        <w:rPr>
          <w:rFonts w:ascii="Times New Roman" w:cs="Times New Roman" w:eastAsia="Times New Roman" w:hAnsi="Times New Roman"/>
          <w:sz w:val="18"/>
          <w:szCs w:val="18"/>
          <w:color w:val="auto"/>
        </w:rPr>
        <w:t>Capital contributions from issuance of common stock</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Payments of dividends ($0.11 per share)</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3,029,640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3,681,966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406,784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(950,515)</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3,143,263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3,739,583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(966,074)</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-1473835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-1036320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-624840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-334010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60"/>
            <w:col w:w="7920"/>
          </w:cols>
          <w:pgMar w:left="320" w:top="175" w:right="339" w:bottom="1440" w:gutter="0" w:footer="0" w:header="0"/>
          <w:type w:val="continuous"/>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Aramark (the "Company") is a leading global provider of food and facilities services to education, healthcare, business &amp; industry and sports, leisure &amp; corrections clients. The Company's core market is the United States, which is supplemented by an additional 14-country footprint. The Company also provides services on a more limited basis in several additional countries and in offshore locations. The Company operates its business in two reportable segments that share many of the same operating characteristics: Food and Support Services United States ("FSS United States") and Food and Support Services International ("FSS International").</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30, 2023, the Company completed the previously announced separation and distribution of its Aramark Uniform and Career Apparel ("Uniform") segment into an independent publicly traded company, Vestis Corporation ("Vestis"), and the historical results of the Uniform segment have been reflected as discontinued operations in the Company's condensed consolidated financial statements for all periods prior to the separation and distribution. Assets and liabilities associated with the Uniform segment are classified as assets and liabilities of discontinued operations in the Company's Condensed Consolidated Balance Sheets as of September 29, 2023. Additional disclosures regarding the separation and distribution are provided in Note 2.</w:t>
      </w:r>
    </w:p>
    <w:p>
      <w:pPr>
        <w:spacing w:after="0" w:line="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pursuant to the rules and regulations of the Securities and Exchange Commission (the "SEC") and should be read in conjunction with the audited consolidated financial statements, and the notes to those statements, included in the Company's Form 10-K filed with the SEC on November 21, 2023. The Condensed Consolidated Balance Sheet as of September 29, 2023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 (from most to least recent date of issuance)</w:t>
      </w:r>
    </w:p>
    <w:p>
      <w:pPr>
        <w:spacing w:after="0" w:line="10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w:t>
      </w:r>
      <w:r>
        <w:rPr>
          <w:rFonts w:ascii="Times New Roman" w:cs="Times New Roman" w:eastAsia="Times New Roman" w:hAnsi="Times New Roman"/>
          <w:sz w:val="18"/>
          <w:szCs w:val="18"/>
          <w:i w:val="1"/>
          <w:iCs w:val="1"/>
          <w:color w:val="auto"/>
        </w:rPr>
        <w:t>Accounting Standard Update ("ASU") 2022-04 Liabilities - 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Finance Programs (Subtopic 405-50) </w:t>
      </w:r>
      <w:r>
        <w:rPr>
          <w:rFonts w:ascii="Times New Roman" w:cs="Times New Roman" w:eastAsia="Times New Roman" w:hAnsi="Times New Roman"/>
          <w:sz w:val="18"/>
          <w:szCs w:val="18"/>
          <w:color w:val="auto"/>
        </w:rPr>
        <w:t>to enhance the transparency of supplier finance programs, which may be referred to as reverse factoring, payables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or structured payables arrangements. The guidance requires that a buyer in a supplier finance program disclose the program's nature, activity and potential magnitude. The guidance was effective for the Company in the first quarter of fiscal 2024. The Company reviewed existing supplier finance agreements and enhanced disclosures with qualitative and quantitative information about its supplier finance program, but the adoption of this guidance did not have a material impact on the condensed consolidated financial statements.</w:t>
      </w:r>
    </w:p>
    <w:p>
      <w:pPr>
        <w:spacing w:after="0" w:line="6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w:t>
      </w:r>
      <w:r>
        <w:rPr>
          <w:rFonts w:ascii="Times New Roman" w:cs="Times New Roman" w:eastAsia="Times New Roman" w:hAnsi="Times New Roman"/>
          <w:sz w:val="18"/>
          <w:szCs w:val="18"/>
          <w:i w:val="1"/>
          <w:iCs w:val="1"/>
          <w:color w:val="auto"/>
        </w:rPr>
        <w:t>ASU 2021-08 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which required that an entity (acquirer)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 if it had originated the contracts. The guidance was effective for the Company in the first quarter of fiscal 2024. The adoption of this guidance did not have a material impact on the condensed consolidated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xml:space="preserve"> 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is currently evaluating the impact of this standard.</w:t>
      </w:r>
    </w:p>
    <w:p>
      <w:pPr>
        <w:spacing w:after="0" w:line="58"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 Segment Disclosures</w:t>
      </w:r>
      <w:r>
        <w:rPr>
          <w:rFonts w:ascii="Times New Roman" w:cs="Times New Roman" w:eastAsia="Times New Roman" w:hAnsi="Times New Roman"/>
          <w:sz w:val="18"/>
          <w:szCs w:val="18"/>
          <w:color w:val="auto"/>
        </w:rPr>
        <w:t xml:space="preserve"> to enhance the reportable segment disclosures. The guidance will require additional disclosures about significant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segment expenses. The guidance is effective for the Company's annual disclosures for fiscal 2025 and early adoption is permitted. The Company is currently evaluating the impact of this standard.</w:t>
      </w:r>
    </w:p>
    <w:p>
      <w:pPr>
        <w:spacing w:after="0" w:line="2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Comprehensive income includes all changes to stockholders' equity during a period, except those resulting from investments by and distributions to stockholders. Components of comprehensive income include net income, changes in foreign currency translation adjustments (net of tax), changes in the fair value of cash flow hedges (net of tax) and changes to the share of any equity investees' comprehensive loss (net of tax).</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1100" w:type="dxa"/>
            <w:vAlign w:val="bottom"/>
          </w:tcPr>
          <w:p>
            <w:pPr>
              <w:jc w:val="right"/>
              <w:ind w:right="278"/>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60" w:type="dxa"/>
            <w:vAlign w:val="bottom"/>
          </w:tcPr>
          <w:p>
            <w:pPr>
              <w:jc w:val="right"/>
              <w:ind w:right="135"/>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1"/>
                <w:szCs w:val="11"/>
                <w:color w:val="auto"/>
              </w:rPr>
            </w:pPr>
          </w:p>
        </w:tc>
        <w:tc>
          <w:tcPr>
            <w:tcW w:w="1100" w:type="dxa"/>
            <w:vAlign w:val="bottom"/>
          </w:tcPr>
          <w:p>
            <w:pPr>
              <w:jc w:val="right"/>
              <w:ind w:right="264"/>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60" w:type="dxa"/>
            <w:vAlign w:val="bottom"/>
          </w:tcPr>
          <w:p>
            <w:pPr>
              <w:jc w:val="right"/>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95"/>
        </w:trPr>
        <w:tc>
          <w:tcPr>
            <w:tcW w:w="50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73,651</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15,349</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120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37,069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34,837</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(50,719)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(37,532)</w:t>
            </w:r>
          </w:p>
        </w:tc>
        <w:tc>
          <w:tcPr>
            <w:tcW w:w="12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(8,331)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equity investee's comprehensive loss</w:t>
            </w: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(592)</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1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(35,370)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28,146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101,731</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102,231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amounts in the table above exclude the impact of a $5.1 million pension plan adjustment and $26.3 million currency translation adjustment during the three months ended December 29, 2023 related to the separation and distribution of the Uniform segment (see Note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109,119</w:t>
            </w:r>
          </w:p>
        </w:tc>
      </w:tr>
      <w:tr>
        <w:trPr>
          <w:trHeight w:val="223"/>
        </w:trPr>
        <w:tc>
          <w:tcPr>
            <w:tcW w:w="76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(98,237)</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Argentina remeasurement was a foreign currency transaction loss of $3.9 million and $1.1 million during the three month periods ended December 29, 2023 and December 30, 2022, respectively. The impact of foreign currency transaction gains and losses exclusive of Argentina's operations included in the Company's operating results during the three month periods of both fiscal 2024 and 2023 were immaterial to the condensed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insures portions of its risk in general liability, automobile liability, workers’ compensation liability claims as well as certain property damage risks through a wholly owned captive insurance subsidiary (the "Captive") as part of its approach to risk finance.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December 29, 2023. These regulations may have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effect of limiting the Company's ability to access certain cash and cash equivalents held by the Captive for uses other than for the payment of its general liability, automobile liability, workers' compensation liability, certain property damage and related Captive costs. As of December 29, 2023 and September 29, 2023, cash and cash equivalents at the Captive were $14.4 million and $32.8 million, respectively. The Captive also invests in United States Treasury securities where the amount as of December 29, 2023 and September 29, 2023 was $111.7 million and $110.7 million, respectively, and is recorded in "Prepayments and other current assets" on the Condensed Consolidated Balance Sheets.</w:t>
      </w:r>
    </w:p>
    <w:p>
      <w:pPr>
        <w:spacing w:after="0" w:line="48"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Within the FSS International segment, the Company receives certain cash on behalf of the Company's clients, which is contractually restricted from withdrawal and usage. This restricted cash is recorded in "Prepayments and other current assets" on the Condensed Consolidated Balance Sheets.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and Operating Lease Right-of-use Assets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fiscal 2023, the Company completed a strategic review of certain administrative locations, taking into account facility capacity and current utilization, among other factors. Based on this review, the Company vacated or otherwise reduced its usage at certain of these locations, resulting in an analysis of the recoverability of the assets associated with the locations. As a result, for the three months ended December 30, 2022, the Company recorded an impairment charge of $18.3 million within its FSS United States segment, which is included in "Cost of services provided (exclusive of depreciation and amortization)" on the Condensed Consolidated Statements of Income. The impairment charge consisted of operating lease right-of-use assets of $7.9 million and property and equipment of $10.4 million.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Other assets consist primarily of costs to obtain or fulfill contracts (including employee sales commissions), long-term receivables, investments in 50% or less owned entities and computer software costs.</w:t>
      </w:r>
    </w:p>
    <w:p>
      <w:pPr>
        <w:spacing w:after="0" w:line="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investments in 50% or less owned entities accounted for under the equity method of accounting, the carrying amount as of December 29, 2023 and September 29, 2023 was $71.2 million and $73.5 million, respectively.</w:t>
      </w:r>
    </w:p>
    <w:p>
      <w:pPr>
        <w:spacing w:after="0" w:line="27"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both December 29, 2023 and September 29, 2023 was $83.6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Supply Chain Finance Program</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 not provide asset pledges, or other forms of guarantees, as security for the committed payment to the financial institutions. As of December 29, 2023 and September 29, 2023, the Company had $3.1 million and $2.8 million, respectively, of outstanding payment obligations to the financial institutions as part of the SCF Program recorded in "Accounts payable" on the Condensed Consolidated Balance Sheets.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and Noncurrent Liabilities</w:t>
      </w:r>
    </w:p>
    <w:p>
      <w:pPr>
        <w:spacing w:after="0" w:line="108"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The Company is self-insured for certain obligations related to its employee health care benefit programs as well as for certain risks retained under its general liability, automobile liability, workers' compensation liability and certain property damage programs. Reserves for these programs are estimated through actuarial methods, with the assistance of third-party actuaries using loss development assumptions based on the Company's claims history.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Impact of COVID-19</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provided for deferred payment of the employer portion of social security taxes through the end of calendar 2020, with 50% of the deferred amount due December 31, 2021 and the remaining 50% of the amount due December 31, 2022. Approximately $47.6 million of deferred social security taxes were paid in fiscal 2023.</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30, 2023, the Company completed the previously announced separation and distribution of its Uniform segment into an independent publicly traded company, Vestis. The separation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New York Stock Exchange.</w:t>
      </w:r>
    </w:p>
    <w:p>
      <w:pPr>
        <w:spacing w:after="0" w:line="6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 connection with the separation and distribution, the Company entered into or adopted several agreements that provide a framework for the relationship between the Company and Vestis, including, but not limited to the following:</w:t>
      </w:r>
    </w:p>
    <w:p>
      <w:pPr>
        <w:spacing w:after="0" w:line="1" w:lineRule="exact"/>
        <w:rPr>
          <w:sz w:val="20"/>
          <w:szCs w:val="20"/>
          <w:color w:val="auto"/>
        </w:rPr>
      </w:pPr>
    </w:p>
    <w:p>
      <w:pPr>
        <w:ind w:left="50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Separation and Distribution Agreement </w:t>
      </w:r>
      <w:r>
        <w:rPr>
          <w:rFonts w:ascii="Times New Roman" w:cs="Times New Roman" w:eastAsia="Times New Roman" w:hAnsi="Times New Roman"/>
          <w:sz w:val="18"/>
          <w:szCs w:val="18"/>
          <w:color w:val="auto"/>
        </w:rPr>
        <w:t>- governs the rights and obligations of the parties regarding the distribution following the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including the transfer of assets and assumption of liabilities, and establishes certain rights and obligations between the Company and Vestis following the distribution, including procedures with respect to claims subject to indemnification and related matters.</w:t>
      </w:r>
    </w:p>
    <w:p>
      <w:pPr>
        <w:spacing w:after="0" w:line="11" w:lineRule="exact"/>
        <w:rPr>
          <w:sz w:val="20"/>
          <w:szCs w:val="20"/>
          <w:color w:val="auto"/>
        </w:rPr>
      </w:pPr>
    </w:p>
    <w:p>
      <w:pPr>
        <w:ind w:left="500" w:right="20"/>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Transition Services Agreement </w:t>
      </w:r>
      <w:r>
        <w:rPr>
          <w:rFonts w:ascii="Times New Roman" w:cs="Times New Roman" w:eastAsia="Times New Roman" w:hAnsi="Times New Roman"/>
          <w:sz w:val="17"/>
          <w:szCs w:val="17"/>
          <w:color w:val="auto"/>
        </w:rPr>
        <w:t>- governs services between the Company and Vestis and their respective affiliates to provide each other on an interim,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transitional basis, various services, including, but not limited to, administrative, information technology and cybersecurity support services and certain finance, treasury, tax and governmental function services. The services will terminate no later than 24 months following the distribution date.</w:t>
      </w:r>
    </w:p>
    <w:p>
      <w:pPr>
        <w:spacing w:after="0" w:line="1" w:lineRule="exact"/>
        <w:rPr>
          <w:sz w:val="20"/>
          <w:szCs w:val="20"/>
          <w:color w:val="auto"/>
        </w:rPr>
      </w:pPr>
    </w:p>
    <w:p>
      <w:pPr>
        <w:ind w:left="500" w:right="640"/>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Tax Matters Agreement </w:t>
      </w:r>
      <w:r>
        <w:rPr>
          <w:rFonts w:ascii="Times New Roman" w:cs="Times New Roman" w:eastAsia="Times New Roman" w:hAnsi="Times New Roman"/>
          <w:sz w:val="18"/>
          <w:szCs w:val="18"/>
          <w:color w:val="auto"/>
        </w:rPr>
        <w:t>- governs the parties’ respective rights, responsibilities and obligations with respect to tax liabilities and benefits,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attributes, the preparation and filing of tax returns, the control of audits and other tax proceedings and other matters regarding taxes.</w:t>
      </w:r>
    </w:p>
    <w:p>
      <w:pPr>
        <w:spacing w:after="0" w:line="1" w:lineRule="exact"/>
        <w:rPr>
          <w:sz w:val="20"/>
          <w:szCs w:val="20"/>
          <w:color w:val="auto"/>
        </w:rPr>
      </w:pPr>
    </w:p>
    <w:p>
      <w:pPr>
        <w:ind w:left="50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Matters Agreement </w:t>
      </w:r>
      <w:r>
        <w:rPr>
          <w:rFonts w:ascii="Times New Roman" w:cs="Times New Roman" w:eastAsia="Times New Roman" w:hAnsi="Times New Roman"/>
          <w:sz w:val="18"/>
          <w:szCs w:val="18"/>
          <w:color w:val="auto"/>
        </w:rPr>
        <w:t>- governs the allocation of liabilities and responsibilities relating to employment matters, employee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plans and programs and other related matters.</w:t>
      </w:r>
    </w:p>
    <w:p>
      <w:pPr>
        <w:spacing w:after="0" w:line="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these agreements, the Company will continue to provide certain services to Vestis following the separation and distribution. The agreements do not provide the Company with the ability to influence the operating or financial policies of Vestis subsequent to the separation date. During the three months ended December 29, 2023, the value of the services provided to Vestis were immaterial to the Company's financial statements with no outstanding receivables balance as of December 29, 2023.</w:t>
      </w:r>
    </w:p>
    <w:p>
      <w:pPr>
        <w:spacing w:after="0" w:line="1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historical results of the Uniform segment have been reflected as discontinued operations in the Company's consolidated financial statements for all periods prior to the separation and distribution on September 30,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"Income from Discontinued Operations, net of tax"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9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9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21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687,278</w:t>
            </w:r>
          </w:p>
        </w:tc>
      </w:tr>
      <w:tr>
        <w:trPr>
          <w:trHeight w:val="19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570,282</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33,887</w:t>
            </w:r>
          </w:p>
        </w:tc>
      </w:tr>
      <w:tr>
        <w:trPr>
          <w:trHeight w:val="216"/>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35,148</w:t>
            </w:r>
          </w:p>
        </w:tc>
      </w:tr>
      <w:tr>
        <w:trPr>
          <w:trHeight w:val="210"/>
        </w:trPr>
        <w:tc>
          <w:tcPr>
            <w:tcW w:w="9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639,317</w:t>
            </w:r>
          </w:p>
        </w:tc>
      </w:tr>
      <w:tr>
        <w:trPr>
          <w:trHeight w:val="212"/>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47,961</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47,567</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 from Discontinued Operations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11,914</w:t>
            </w:r>
          </w:p>
        </w:tc>
      </w:tr>
      <w:tr>
        <w:trPr>
          <w:trHeight w:val="234"/>
        </w:trPr>
        <w:tc>
          <w:tcPr>
            <w:tcW w:w="9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30, 2022, the Company incurred charges of $5.0 million related to the Company's separation and distribution of its Uniform segment, including salaries and benefits, recruiting and relocation costs, accounting and legal related expenses, branding and other costs, of which $3.5 million was recorded within "Income from Discontinued Operations, net of tax" and $1.5 million was recorded within "Selling and general corporate expenses" on the Condensed Consolidated Statements of Income.</w:t>
      </w:r>
    </w:p>
    <w:p>
      <w:pPr>
        <w:spacing w:after="0" w:line="5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29, 2023, the Company incurred $20.0 million of banker fees related to the separation and distribution of its Uniform segment and $8.8 million of charitable contribution expense for the contribution of Vestis shares to a donor advised fund in order to fund charitable contributions, which were recorded within "Selling and general corporate expenses" on the Condensed Consolidated Statements of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Uniform segment assets and liabilities classified as discontinued operations in the Company's Condensed Consolidated Balance Sheets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19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36,051</w:t>
            </w:r>
          </w:p>
        </w:tc>
      </w:tr>
      <w:tr>
        <w:trPr>
          <w:trHeight w:val="21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(less allowance: $25,066)</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392,916</w:t>
            </w:r>
          </w:p>
        </w:tc>
      </w:tr>
      <w:tr>
        <w:trPr>
          <w:trHeight w:val="213"/>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174,720</w:t>
            </w:r>
          </w:p>
        </w:tc>
      </w:tr>
      <w:tr>
        <w:trPr>
          <w:trHeight w:val="21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17,244</w:t>
            </w:r>
          </w:p>
        </w:tc>
      </w:tr>
      <w:tr>
        <w:trPr>
          <w:trHeight w:val="207"/>
        </w:trPr>
        <w:tc>
          <w:tcPr>
            <w:tcW w:w="9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620,931</w:t>
            </w:r>
          </w:p>
        </w:tc>
      </w:tr>
      <w:tr>
        <w:trPr>
          <w:trHeight w:val="212"/>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664,530</w:t>
            </w:r>
          </w:p>
        </w:tc>
      </w:tr>
      <w:tr>
        <w:trPr>
          <w:trHeight w:val="213"/>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963,543</w:t>
            </w:r>
          </w:p>
        </w:tc>
      </w:tr>
      <w:tr>
        <w:trPr>
          <w:trHeight w:val="21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238,609</w:t>
            </w:r>
          </w:p>
        </w:tc>
      </w:tr>
      <w:tr>
        <w:trPr>
          <w:trHeight w:val="213"/>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57,890</w:t>
            </w:r>
          </w:p>
        </w:tc>
      </w:tr>
      <w:tr>
        <w:trPr>
          <w:trHeight w:val="21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579,264</w:t>
            </w:r>
          </w:p>
        </w:tc>
      </w:tr>
      <w:tr>
        <w:trPr>
          <w:trHeight w:val="207"/>
        </w:trPr>
        <w:tc>
          <w:tcPr>
            <w:tcW w:w="9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Noncurrent Assets of Discontinued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2,503,836</w:t>
            </w:r>
          </w:p>
        </w:tc>
      </w:tr>
      <w:tr>
        <w:trPr>
          <w:trHeight w:val="239"/>
        </w:trPr>
        <w:tc>
          <w:tcPr>
            <w:tcW w:w="9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14"/>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8"/>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53,910</w:t>
            </w:r>
          </w:p>
        </w:tc>
      </w:tr>
      <w:tr>
        <w:trPr>
          <w:trHeight w:val="213"/>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19,935</w:t>
            </w:r>
          </w:p>
        </w:tc>
      </w:tr>
      <w:tr>
        <w:trPr>
          <w:trHeight w:val="21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134,497</w:t>
            </w:r>
          </w:p>
        </w:tc>
      </w:tr>
      <w:tr>
        <w:trPr>
          <w:trHeight w:val="213"/>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payroll and other related expenses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113,770</w:t>
            </w:r>
          </w:p>
        </w:tc>
      </w:tr>
      <w:tr>
        <w:trPr>
          <w:trHeight w:val="21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73,412</w:t>
            </w:r>
          </w:p>
        </w:tc>
      </w:tr>
      <w:tr>
        <w:trPr>
          <w:trHeight w:val="207"/>
        </w:trPr>
        <w:tc>
          <w:tcPr>
            <w:tcW w:w="9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395,524</w:t>
            </w:r>
          </w:p>
        </w:tc>
      </w:tr>
      <w:tr>
        <w:trPr>
          <w:trHeight w:val="212"/>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1,567,910</w:t>
            </w:r>
          </w:p>
        </w:tc>
      </w:tr>
      <w:tr>
        <w:trPr>
          <w:trHeight w:val="213"/>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46,084</w:t>
            </w:r>
          </w:p>
        </w:tc>
      </w:tr>
      <w:tr>
        <w:trPr>
          <w:trHeight w:val="21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199,535</w:t>
            </w:r>
          </w:p>
        </w:tc>
      </w:tr>
      <w:tr>
        <w:trPr>
          <w:trHeight w:val="213"/>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48,206</w:t>
            </w:r>
          </w:p>
        </w:tc>
      </w:tr>
      <w:tr>
        <w:trPr>
          <w:trHeight w:val="209"/>
        </w:trPr>
        <w:tc>
          <w:tcPr>
            <w:tcW w:w="9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1,861,735</w:t>
            </w:r>
          </w:p>
        </w:tc>
      </w:tr>
    </w:tbl>
    <w:p>
      <w:pPr>
        <w:spacing w:after="0" w:line="1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2023, the Uniform legal entity entered into the Uniform credit agreement. The Uniform credit agreement included a revolving credit facility, a United States dollar denominated term loan in the amount of $800.0 million due September 2025 and a United States dollar denominated term loan in the amount of $700.0 million due September 2028, which are recorded in "Noncurrent Liabilities of Discontinued Operations" on the Condensed Consolidated Balance Sheets as of September 29, 2023. Also in the fourth quarter of fiscal 2023, the Uniform legal entity paid a cash dividend to the Company of $1,456.7 million. On October 2, 2023, the Company used the proceeds from the cash dividend, along with cash on hand, to repay the $1,500.0 million 6.375% Senior Notes due May 1, 2025 (the "6.375% 2025 Notes") (see Note 4).</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recorded its distribution of Vestis' net assets as a decrease in "Retained Earnings". The amount recorded reflected the carrying amounts, as of September 29, 2023, of the net assets distributed offset by the holdback of Vestis shares upon distribution of $8.8 million and $3.6 million of net cash received from Vestis post-separation. The Company also recorded a net decrease to "Accumulated other comprehensive loss" of $31.4 million to derecognize foreign currency translation adjustments and pension plan adjustments which were attributable to Vestis.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OTHER INTANGIBLE ASSETS:</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the three months ended December 29, 2023 are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6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3"/>
                <w:szCs w:val="13"/>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34"/>
        </w:trPr>
        <w:tc>
          <w:tcPr>
            <w:tcW w:w="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FSS 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4,188,609</w:t>
            </w: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FSS International</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472,409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4,661,018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683,030</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1,122,443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1,137,535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1,121,443</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1,804,473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of intangible assets for the three months ended December 29, 2023 and December 30, 2022 was $23.9 million and $21.7 million,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 due April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2026</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January 2027</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835,631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2028</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724,393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June 2030</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1,078,588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notes, due April 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549,348</w:t>
            </w: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3.125% senior notes, due April 2025</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senior notes, due May 2025</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1,492,153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senior notes, due February 2028</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1,142,910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 due July 2026</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w:t>
            </w:r>
          </w:p>
        </w:tc>
      </w:tr>
      <w:tr>
        <w:trPr>
          <w:trHeight w:val="223"/>
        </w:trPr>
        <w:tc>
          <w:tcPr>
            <w:tcW w:w="7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6,641,694</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(1,543,032)</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5,098,662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20" w:hanging="394"/>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is a Euro denominated borrowing.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29, 2023, there were approximately $762.3 million of outstanding foreign currency borrowings.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29, 2023, the Company had approximately $737.0 million of availability under the senior secured revolving credit facility.</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2, 2023, the Company repaid the $1,500.0 million 6.375% 2025 Notes in conjunction with the separation and distribution of the Uniform segment (see Note 2). The Company recorded $31.8 million of charges to "Interest Expense, net" in the Condensed Consolidated Statements of Income for the three months ended December 29, 2023, consisting of the payment of a $23.9 million call premium and a $7.9 million non-cash loss for the write-off of unamortized deferred financing costs on the 6.375% 2025 Notes. The amount paid for the call premium is included within "Other financing activities" on the Condensed Consolidated Statements of Cash Flows for the three months ended December 29,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INSTRUMENTS: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including interest rate swap agreements, that are recognized as either assets or liabilities on the balance sheet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$2.3 billion notional amount of outstanding interest rate swap agreements as of December 29, 2023, which fix the rate on a like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variable rate borrowings with varying maturities through December of fiscal 2028. During the first quarter of fiscal 2024, the Company entered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million notional amount of forward starting interest rate swap agreements to hedge the cash flow risk of variability in interest payments on variable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borrowings.</w:t>
      </w:r>
    </w:p>
    <w:p>
      <w:pPr>
        <w:spacing w:after="0" w:line="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As of December 29, 2023 and September 29, 2023, $71.6 million and $109.1 million, respectively, of unrealized net of tax gains related to the interest rate swaps were included in "Accumulated other comprehensive loss" on the Condensed Consolidated Balance Sheets.</w:t>
      </w:r>
    </w:p>
    <w:p>
      <w:pPr>
        <w:spacing w:after="0" w:line="48"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effect of the Company's derivatives designated as cash flow hedging instruments on Other comprehensive income (loss) (in thousands):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bl>
    <w:p>
      <w:pPr>
        <w:spacing w:after="0" w:line="17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13 for a description of the fair value levels), of the Company's derivatives designated as hedging instruments on the Condensed Consolidated Balance Sheets (in thousands):</w:t>
      </w: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8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428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147,458</w:t>
            </w:r>
          </w:p>
        </w:tc>
      </w:tr>
    </w:tbl>
    <w:p>
      <w:pPr>
        <w:spacing w:after="0" w:line="22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of the gain reclassified from "Accumulated other comprehensive loss" into earnings for derivatives designated as hedging instruments on the Condensed Consolidated Statements of Income (in thousands):</w:t>
      </w: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36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29, 2023, the Company has a Euro denominated term loan in the amount of €66.5 million. The term loan was designated as a hedge of the Company's net Euro currency exposure represented by certain holdings in the Company's European affiliates.</w:t>
      </w:r>
    </w:p>
    <w:p>
      <w:pPr>
        <w:spacing w:after="0" w:line="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 December 29, 2023, the net of tax gain expected to be reclassified from "Accumulated other comprehensive loss" into earnings over the next twelve months based on current market rates is approximately $44.4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REVENUE RECOGNITION: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20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216"/>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&amp; Industry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r>
      <w:tr>
        <w:trPr>
          <w:trHeight w:val="230"/>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Education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r>
      <w:tr>
        <w:trPr>
          <w:trHeight w:val="229"/>
        </w:trPr>
        <w:tc>
          <w:tcPr>
            <w:tcW w:w="770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Healthcare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29"/>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r>
      <w:tr>
        <w:trPr>
          <w:trHeight w:val="230"/>
        </w:trPr>
        <w:tc>
          <w:tcPr>
            <w:tcW w:w="7700" w:type="dxa"/>
            <w:vAlign w:val="bottom"/>
            <w:tcBorders>
              <w:bottom w:val="single" w:sz="8" w:color="CCEEFF"/>
            </w:tcBorders>
          </w:tcPr>
          <w:p>
            <w:pPr>
              <w:ind w:left="200"/>
              <w:spacing w:after="0" w:line="230" w:lineRule="exact"/>
              <w:rPr>
                <w:sz w:val="20"/>
                <w:szCs w:val="20"/>
                <w:color w:val="auto"/>
              </w:rPr>
            </w:pPr>
            <w:r>
              <w:rPr>
                <w:rFonts w:ascii="Times New Roman" w:cs="Times New Roman" w:eastAsia="Times New Roman" w:hAnsi="Times New Roman"/>
                <w:sz w:val="18"/>
                <w:szCs w:val="18"/>
                <w:color w:val="auto"/>
              </w:rPr>
              <w:t>Facilities &amp; Other</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w:t>
            </w:r>
          </w:p>
        </w:tc>
      </w:tr>
      <w:tr>
        <w:trPr>
          <w:trHeight w:val="223"/>
        </w:trPr>
        <w:tc>
          <w:tcPr>
            <w:tcW w:w="7700" w:type="dxa"/>
            <w:vAlign w:val="bottom"/>
            <w:shd w:val="clear" w:color="auto" w:fill="CCEEFF"/>
          </w:tcPr>
          <w:p>
            <w:pPr>
              <w:jc w:val="right"/>
              <w:ind w:right="5470"/>
              <w:spacing w:after="0"/>
              <w:rPr>
                <w:sz w:val="20"/>
                <w:szCs w:val="20"/>
                <w:color w:val="auto"/>
              </w:rPr>
            </w:pPr>
            <w:r>
              <w:rPr>
                <w:rFonts w:ascii="Times New Roman" w:cs="Times New Roman" w:eastAsia="Times New Roman" w:hAnsi="Times New Roman"/>
                <w:sz w:val="18"/>
                <w:szCs w:val="18"/>
                <w:color w:val="auto"/>
              </w:rPr>
              <w:t>Total FSS United States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r>
      <w:tr>
        <w:trPr>
          <w:trHeight w:val="270"/>
        </w:trPr>
        <w:tc>
          <w:tcPr>
            <w:tcW w:w="7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30"/>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23"/>
        </w:trPr>
        <w:tc>
          <w:tcPr>
            <w:tcW w:w="7700" w:type="dxa"/>
            <w:vAlign w:val="bottom"/>
          </w:tcPr>
          <w:p>
            <w:pPr>
              <w:jc w:val="right"/>
              <w:ind w:right="5470"/>
              <w:spacing w:after="0"/>
              <w:rPr>
                <w:sz w:val="20"/>
                <w:szCs w:val="20"/>
                <w:color w:val="auto"/>
              </w:rPr>
            </w:pPr>
            <w:r>
              <w:rPr>
                <w:rFonts w:ascii="Times New Roman" w:cs="Times New Roman" w:eastAsia="Times New Roman" w:hAnsi="Times New Roman"/>
                <w:sz w:val="18"/>
                <w:szCs w:val="18"/>
                <w:color w:val="auto"/>
              </w:rPr>
              <w:t>Total FSS International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r>
      <w:tr>
        <w:trPr>
          <w:trHeight w:val="270"/>
        </w:trPr>
        <w:tc>
          <w:tcPr>
            <w:tcW w:w="77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3,913.7</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0" w:right="40" w:hanging="394"/>
        <w:spacing w:after="0" w:line="229" w:lineRule="auto"/>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in fiscal 2024, management began reporting results for healthcare facility services within "Healthcare", whereas the results were previously reported within "Facilities &amp; Other". As such, the "Healthcare" and "Facilities &amp; Other" three months ended December 30, 2022 results were recast to reflect this change.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deferred income is expected to be recognized in the next 12 months. If the Company cannot render its performance obligation according to contract terms after receiving the consideration in advance, amounts may be contractually required to be refunded to the customer.</w:t>
      </w:r>
    </w:p>
    <w:p>
      <w:pPr>
        <w:spacing w:after="0" w:line="6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During the three months ended December 29, 2023, deferred income increased related to customer prepayments and decreased related to income recognized during the period as a result of satisfying the performance obligation or return of funds related to non-performance. For the three months ended December 29, 2023, the Company recognized $217.2 million of revenue that was included in deferred income at the beginning of the period. Deferred income balances are summarized in the following table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29, 2023, the Company recorded a valuation allowance to the "Provision for Income Taxes from Continuing Operations" to the Condensed Consolidated Statements of Income of $7.1 million against certain foreign tax credits, as it is more likely than not a tax benefit will not be realized due to the reduction of future forecasted foreign income as a result of the separation and distribution of the Uniform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January 30, 2024, the Company's Board of Directors approved a $0.095 dividend per share of common stock, payable on February 28, 2024, to stockholders of record on the close of business on February 14, 2024.</w:t>
      </w:r>
    </w:p>
    <w:p>
      <w:pPr>
        <w:spacing w:after="0" w:line="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December 29, 2023 and September 29, 2023, zero shares of preferred stock were issued or outstanding.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w:t>
      </w:r>
    </w:p>
    <w:p>
      <w:pPr>
        <w:spacing w:after="0" w:line="9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On October 13, 2023, the Company's Compensation and Human Resources Committee of the Board of Directors (the "Committee"), pursuant to the terms of the Third Amended and Restated 2013 Stock Incentive Plan and to reflect the separation and distribution of the Company’s Uniform segment that occurred on September 30, 2023, approved amendments to the performance goals and performance periods for the Company’s outstanding Performance Stock Units ("PSUs"). For the PSUs granted in fiscal 2022, which were subject to performance targets for the three-year period ending September 27, 2024, two-thirds of these PSUs became subject to new adjusted performance targets and an adjusted performance period for the two-year period ending September 29, 2023 and the remaining one-third of these PSUs will be subject to new adjusted performance targets for the one-year period ending September 27, 2024. The PSUs granted in fiscal 2023, which were subject to performance targets for the three-year period ending October 3, 2025, were amended to be subject to adjusted performance targets primarily to reflect the Company on a post-spin off basis. The Committee also approved adjustments increasing the maximum aggregate number of shares authorized for awards under the 2023 Stock Plan by an additional 3.5 million shares.</w:t>
      </w:r>
    </w:p>
    <w:p>
      <w:pPr>
        <w:spacing w:after="0" w:line="7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share-based compensation expense and related information for Time-Based Options ("TBOs"), Retention Time-Based Options ("TBO-Rs"), Time-Based Restricted Stock Units ("RSUs"), PSUs, Deferred Stock Units and Employee Stock Purchase Plan ("ESPP") recorded within "Selling and general corporate expenses" on the Condensed Consolidated Statements of Income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4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229"/>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TBO-Rs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Stock Units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ESPP</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8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related to share-based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Option Exercises/ESPP Purchases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on Share Deliveries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400"/>
        <w:spacing w:after="0"/>
        <w:rPr>
          <w:sz w:val="20"/>
          <w:szCs w:val="20"/>
          <w:color w:val="auto"/>
        </w:rPr>
      </w:pPr>
      <w:r>
        <w:rPr>
          <w:rFonts w:ascii="Times New Roman" w:cs="Times New Roman" w:eastAsia="Times New Roman" w:hAnsi="Times New Roman"/>
          <w:sz w:val="13"/>
          <w:szCs w:val="13"/>
          <w:color w:val="auto"/>
        </w:rPr>
        <w:t>The Company suspended its ESPP beginning in the second quarter of fiscal 2023.</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the number of shares granted and the weighted-average grant-date fair value per unit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34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Shares Granted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(dollars per share)</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3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29"/>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EARNINGS PER SHARE:</w:t>
      </w:r>
    </w:p>
    <w:p>
      <w:pPr>
        <w:spacing w:after="0" w:line="9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4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attributable to the Company's stockholders (in thousands, except per share data):</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40" w:type="dxa"/>
            <w:vAlign w:val="bottom"/>
          </w:tcPr>
          <w:p>
            <w:pPr>
              <w:spacing w:after="0"/>
              <w:rPr>
                <w:sz w:val="16"/>
                <w:szCs w:val="16"/>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Aramark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35,653</w:t>
            </w:r>
          </w:p>
        </w:tc>
        <w:tc>
          <w:tcPr>
            <w:tcW w:w="0" w:type="dxa"/>
            <w:vAlign w:val="bottom"/>
          </w:tcPr>
          <w:p>
            <w:pPr>
              <w:spacing w:after="0"/>
              <w:rPr>
                <w:sz w:val="1"/>
                <w:szCs w:val="1"/>
                <w:color w:val="auto"/>
              </w:rPr>
            </w:pPr>
          </w:p>
        </w:tc>
      </w:tr>
      <w:tr>
        <w:trPr>
          <w:trHeight w:val="223"/>
        </w:trPr>
        <w:tc>
          <w:tcPr>
            <w:tcW w:w="8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259,454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3"/>
        </w:trPr>
        <w:tc>
          <w:tcPr>
            <w:tcW w:w="8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264,287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261,414</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Aramark stockholders: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8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 earnings per share attributable to Aramark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Aramark stockholders: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8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 earnings per share attributable to Aramark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Share-based awards to purchase 13.1 million and 9.1 million shares were outstanding for the three months ended December 29, 2023 and December 30, 2022, respectively, but were not included in the computation of diluted earnings per common share, as their effect would have been antidilutive. In addition, PSUs related to 1.3 million and 0.8 million shares were outstanding for the three months ended December 29, 2023 and December 30, 2022, respectively, but were not included in the computation of diluted earnings per common share, as the performance targets were not yet met.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Certain of the Company's lease arrangements, primarily vehicle leases, with terms of one to eight years, contain provisions related to residual value guarantees. The maximum potential liability to the Company under such arrangements was approximately $31.3 million at December 29, 2023 if the terminal fair value of vehicles coming off lease was zero. Consistent with past experience, management does not expect any significant payments will be required pursuant to these arrangements. No amounts have been accrued for guarantee arrangements at December 29,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BUSINESS SEGMENTS: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reports its operating results in two reportable segments: FSS United States and FSS International. Corporate includes general expenses not specifically allocated to an individual segment and share-based compensation expense (see Note 9). Approximately 74% of the global revenue is related to food services and 26% is related to facilities services. During the three months ended December 30, 2022, the Company received proceeds of $19.8 million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follows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40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vMerge w:val="continue"/>
          </w:tcPr>
          <w:p>
            <w:pPr>
              <w:spacing w:after="0"/>
              <w:rPr>
                <w:sz w:val="15"/>
                <w:szCs w:val="15"/>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7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Income from Continuing Operations Before Income Taxes</w:t>
            </w: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ASSETS AND FINANCIAL LIABILITIES: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54" w:lineRule="exact"/>
        <w:rPr>
          <w:sz w:val="20"/>
          <w:szCs w:val="20"/>
          <w:color w:val="auto"/>
        </w:rPr>
      </w:pPr>
    </w:p>
    <w:p>
      <w:pPr>
        <w:jc w:val="center"/>
        <w:ind w:left="5540" w:right="1240" w:hanging="4884"/>
        <w:spacing w:after="0" w:line="970" w:lineRule="auto"/>
        <w:tabs>
          <w:tab w:leader="none" w:pos="9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980" w:right="480" w:hanging="324"/>
        <w:spacing w:after="0" w:line="282" w:lineRule="auto"/>
        <w:tabs>
          <w:tab w:leader="none" w:pos="8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December 29, 2023 and September 29, 2023 was $5,973.0 million and $6,606.7 million, respectively. The carrying value of the Company's debt at December 29, 2023 and September 29, 2023 was $5,971.7 million and $6,641.7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5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part of the Union Supply acquisition completed in fiscal 2022, the Company recorded a contingent consideration obligation based on the fair value of the expected payments with a separate amount that will be accounted for as compensation expense to be recognized on the Condensed Consolidated Statements of Income over the earnout period. The Company performed a fair value assessment of the contingent consideration obligation based on the terms and conditions of the Union Supply purchase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The contingent consideration liability at December 29, 2023 and September 29, 2023 was $9.0 million and $8.4 million, respectively.</w:t>
      </w:r>
    </w:p>
    <w:p>
      <w:pPr>
        <w:spacing w:after="0" w:line="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the Next Level acquisition completed in fiscal 2021, the Company recorded a contingent consideration obligation based on the fair value of the expected payments. The Company performed a fair value assessment of the contingent consideration obligation based on the terms and conditions of the Next Level purchase agreement, as amended,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During the three months ended December 30, 2022, due to continued lower performance than expected mainly from inflationary cost pressures and the reduced prospective business opportunities, the Company adjusted the contingent consideration liability to the fair value of the future expected payment, resulting in income of $29.9 million, which is included in "Cost of services provided (exclusive of depreciation and amortization)" on the Condensed Consolidated Statements of Income for the three months ended December 30, 2022. The fair value of the contingent consideration liability at December 29, 2023 and September 29, 2023 was zero.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three months ended December 29, 2023 and December 30, 2022 should be read in conjunction with our audited consolidated financial statements and the notes to those statements for the fiscal year ended September 29, 2023 included in our Annual Report on Form 10-K, filed with the Securities and Exchange Commission (the "SEC") on November 21, 2023.</w:t>
      </w:r>
    </w:p>
    <w:p>
      <w:pPr>
        <w:spacing w:after="0" w:line="5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food and facilities services to education, healthcare, business &amp; industry and sports, leisure &amp; corrections clients. Our core market is the United States, which is supplemented by an additional 14-country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two reportable segments: Food and Support Services United States ("FSS United States") and Food and Support Services International ("FSS International").</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Administrative expenses not allocated to our two reportable segments are presented separately as corporate expenses.</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September 30, 2023, we completed the previously announced separation and distribution of our Aramark Uniform and Career Apparel ("Uniform") segment into an independent publicly traded company, Vestis Corporation ("Vestis"), and the historical results of the Uniform segment have been reflected as discontinued operations in our condensed consolidated financial statements for all periods prior to the separation and distribution. Assets and liabilities associated to the Uniform segment are classified as assets and liabilities of discontinued operations in our Condensed Consolidated Balance Sheets as of September 29, 2023. Additional disclosures regarding the separation and distribution are provided in Note 2 to the condensed consolidated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Business Environment</w:t>
      </w:r>
    </w:p>
    <w:p>
      <w:pPr>
        <w:spacing w:after="0" w:line="10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have seen improving inflation trends where inflationary costs in product, energy and labor have moderated over the past quarter, particularly in the United States. However, inflation remains elevated as compared to historical rates within the United States and abroad. In addition, we continue to see elevated market interest rates and significant changes in foreign currencies. We expect these conditions to continue in the near-term, and we regularly evaluate and believe we take appropriate actions to mitigate risk in these areas. These actions include management of operating costs, including supply chain initiatives and pricing actions, and managing interest rate risk through the use of interest rate swaps.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has been cash inflows during our fourth fiscal quarter due to an inflow of customer prepayments particularly within our Higher Education business in anticipation of the fall semester and higher activity within our sports and leisure clients.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September 30th. The fiscal years ending September 27, 2024 and September 29, 2023 are both fifty-two week periods.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three months ended December 29, 2023 and December 30, 2022 (in millions).</w:t>
      </w: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6"/>
                <w:szCs w:val="16"/>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3,913.7</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from Continuing Operations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4"/>
                <w:szCs w:val="24"/>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9"/>
                <w:szCs w:val="9"/>
                <w:b w:val="1"/>
                <w:bCs w:val="1"/>
                <w:color w:val="auto"/>
              </w:rPr>
              <w:t>(1)</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0"/>
                <w:szCs w:val="20"/>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240" w:firstLine="8"/>
        <w:spacing w:after="0" w:line="302"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72.9% and 74.6% and FSS International represented 27.1% and 25.4% for the three months ended December 29, 2023 and December 30, 2022, respectively.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Overview</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increased by approximately 12.6% during the three month period of fiscal 2024 compared to the prior year period. The increase during this period was primarily attributable to base business growth, including volume growth and contract price increases, and net new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the three months ended December 29, 2023 and December 30, 2022 (in millions).</w:t>
      </w: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190"/>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300" w:type="dxa"/>
            <w:vAlign w:val="bottom"/>
          </w:tcPr>
          <w:p>
            <w:pPr>
              <w:spacing w:after="0"/>
              <w:rPr>
                <w:sz w:val="16"/>
                <w:szCs w:val="16"/>
                <w:color w:val="auto"/>
              </w:rPr>
            </w:pPr>
          </w:p>
        </w:tc>
        <w:tc>
          <w:tcPr>
            <w:tcW w:w="214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19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w:t>
            </w: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29"/>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90.9 %</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2,646.4</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90.6 %</w:t>
            </w:r>
          </w:p>
        </w:tc>
      </w:tr>
      <w:tr>
        <w:trPr>
          <w:trHeight w:val="230"/>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95.2 %</w:t>
            </w:r>
          </w:p>
        </w:tc>
      </w:tr>
      <w:tr>
        <w:trPr>
          <w:trHeight w:val="248"/>
        </w:trPr>
        <w:tc>
          <w:tcPr>
            <w:tcW w:w="6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the three months ended December 29, 2023 and December 30, 2022.</w:t>
      </w: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3"/>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 components</w:t>
            </w:r>
          </w:p>
        </w:tc>
        <w:tc>
          <w:tcPr>
            <w:tcW w:w="18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gridSpan w:val="2"/>
            <w:vMerge w:val="continue"/>
          </w:tcPr>
          <w:p>
            <w:pPr>
              <w:spacing w:after="0"/>
              <w:rPr>
                <w:sz w:val="16"/>
                <w:szCs w:val="16"/>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7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Food and support service costs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0" w:firstLine="8"/>
        <w:spacing w:after="0" w:line="271"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support service costs represented a slightly lower proportion of total cost of services provided (exclusive of depreciation and amortization) during the three months ended December 29, 2023 compared to the prior year period mainly driven by other direct costs increasing at a higher proportion as compared to food and support service costs and the moderation of product inflationary costs.</w:t>
      </w:r>
    </w:p>
    <w:p>
      <w:pPr>
        <w:spacing w:after="0" w:line="62" w:lineRule="exact"/>
        <w:rPr>
          <w:rFonts w:ascii="Times New Roman" w:cs="Times New Roman" w:eastAsia="Times New Roman" w:hAnsi="Times New Roman"/>
          <w:sz w:val="14"/>
          <w:szCs w:val="14"/>
          <w:color w:val="auto"/>
        </w:rPr>
      </w:pPr>
    </w:p>
    <w:p>
      <w:pPr>
        <w:jc w:val="both"/>
        <w:ind w:right="160" w:firstLine="8"/>
        <w:spacing w:after="0" w:line="271"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decreased as a percentage of total cost of services provided (exclusive of depreciation and amortization) during the three months ended December 29, 2023 compared to the prior year period due to other direct costs increasing at a higher proportion as compared to personnel costs as well as efficiencies gained from headcount reductions taken during fiscal 2023 and moderation of labor inflationary costs.</w:t>
      </w:r>
    </w:p>
    <w:p>
      <w:pPr>
        <w:spacing w:after="0" w:line="62" w:lineRule="exact"/>
        <w:rPr>
          <w:rFonts w:ascii="Times New Roman" w:cs="Times New Roman" w:eastAsia="Times New Roman" w:hAnsi="Times New Roman"/>
          <w:sz w:val="14"/>
          <w:szCs w:val="14"/>
          <w:color w:val="auto"/>
        </w:rPr>
      </w:pPr>
    </w:p>
    <w:p>
      <w:pPr>
        <w:ind w:right="120" w:firstLine="8"/>
        <w:spacing w:after="0" w:line="271"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direct costs represented a higher proportion of total cost of services provided (exclusive of depreciation and amortization) during the three months ended December 29, 2023 compared to the prior year period due to lower non-cash income related to the reduction of the contingent consideration liabilities related to the acquisition earn outs, net of expense ($26.3 million) and prior year gain relating to the recovery of our investment (possessory interest) at one of the National Park sites ($19.8 million).</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Operating income increased by $15.3 million during the three month period of fiscal 2024 compared to the prior year period, driven by base business volume growth, cost management, improved supply chain economics and prior year non-cash charges for the impairment of operating lease right-of-use assets and property and equipment related to certain real estate properties ($18.3 million) (see Note 1 to the condensed consolidated financial statements). The increases in operating income during the three month period of fiscal 2024 more than offset higher expenses related to the separation and distribution of the Uniform segment ($27.5 million) (see Note 2 to the condensed consolidated financial statements), lower non-cash income related to the reduction of the contingent consideration liabilities related to the acquisition earn outs, net of expense ($26.3 million) (see Note 13 to the condensed consolidated financial statements), prior year gain relating to the recovery of our investment (possessory interest) at one of the National Park sites ($19.8 million) and prior year income related to favorable loss experience in older insurance years under our general liability, automobile liability and workers' compensation liability programs ($11.7 million).</w:t>
      </w:r>
    </w:p>
    <w:p>
      <w:pPr>
        <w:spacing w:after="0" w:line="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Expense, net, increased 13.5% during the three month period of fiscal 2024 compared to the prior year period. The increase during the three month period of fiscal 2024 was primarily due to the payment of a $23.9 million call premium and a $7.9 million non-cash loss for the write-off of unamortized deferred financing costs related to the repayment of the 6.375% Senior Notes due May 1, 2025 ("6.375% 2025 Notes"), partially offset by lower interest expense related to the repayment of the 6.375% 2025 Notes (see Note 4 to the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three month period of fiscal 2024 was recorded at an effective tax rate of 45.6%. The provision for income taxes for the three month period of fiscal 2023 was recorded at an effective tax rate of 25.1%. The elevated effective tax rate in the current year was primarily driven by a $7.1 million valuation allowance recorded against certain foreign tax credits, as it is more likely than not a tax benefit will not be realized due to the reduction of future forecasted foreign income as a result of the separation and distribution of the Uniform segment (see Note 7 to the condensed consolidated financial statements).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are summarized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18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34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14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Healthcare</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Facilities &amp; Other</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3"/>
        </w:trPr>
        <w:tc>
          <w:tcPr>
            <w:tcW w:w="718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92" w:lineRule="exact"/>
        <w:rPr>
          <w:sz w:val="20"/>
          <w:szCs w:val="20"/>
          <w:color w:val="auto"/>
        </w:rPr>
      </w:pPr>
    </w:p>
    <w:p>
      <w:pPr>
        <w:ind w:left="420" w:right="40" w:hanging="394"/>
        <w:spacing w:after="0" w:line="189" w:lineRule="auto"/>
        <w:tabs>
          <w:tab w:leader="none" w:pos="420" w:val="left"/>
        </w:tabs>
        <w:numPr>
          <w:ilvl w:val="0"/>
          <w:numId w:val="9"/>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1"/>
          <w:szCs w:val="11"/>
          <w:color w:val="auto"/>
        </w:rPr>
        <w:t>Beginning in fiscal 2024, management began reporting results for healthcare facility services within "Healthcare", whereas the results were previously reported within "Facilities &amp; Other". As such, the "Healthcare" and "Facilities &amp; Other" three months ended December 30, 2022 results were recast to reflect this change.</w:t>
      </w:r>
    </w:p>
    <w:p>
      <w:pPr>
        <w:spacing w:after="0" w:line="17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Healthcare, Education and Facilities &amp; Other sectors generally have high-single digit operating income margins and the Business &amp; Industry and Sports, Leisure &amp; Corrections sectors generally have mid-single digit operating income margins.</w:t>
      </w:r>
    </w:p>
    <w:p>
      <w:pPr>
        <w:spacing w:after="0" w:line="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10.0% during the three month period of fiscal 2024 compared to the prior year period. The increase was primarily attributable to base business growth, including volume growth primarily within our Sports &amp; Entertainment business and Business &amp; Industry sector and contract price increases primarily within our Higher Education and Corrections businesses.</w:t>
      </w:r>
    </w:p>
    <w:p>
      <w:pPr>
        <w:spacing w:after="0" w:line="4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Operating income increased by $16.2 million during the three month period of fiscal 2024 compared to the prior year period. The increase was primarily attributable to base business volume growth, cost management, improved supply chain economics and prior year non-cash charges for the impairment of operating lease right-of-use assets and property and equipment related to certain real estate properties ($18.3 million) (see Note 1 to the condensed consolidated financial statements). The increases were partially offset by lower non-cash income related to the reduction of the contingent consideration liabilities related to the acquisition earn outs, net of expense ($26.3 million) (see Note 13 to the condensed consolidated financial statements), prior year gain relating to the recovery of our investment (possessory interest) at one of the National Park sites ($19.8 million) and prior year income related to favorable loss experience in older insurance years under our general liability, automobile liability and workers' compensation liability programs ($11.7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20.4% during the three month period of fiscal 2024 compared to the prior year period. The increase was primarily attributable to base business growth, including volume growth and contract price increases, and net new business growth.</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income increased by $19.5 million during the three month period of fiscal 2024 compared to the prior year period. The increase during the three month period of fiscal 2024 was mainly attributable to the volume growth in base business and net new business, improved supply chain economics, lower personnel costs from headcount reductions taken during fiscal 2023 and prior year non-cash charges for the impairment of certain assets related to a business held-for-sale ($5.2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increased by $20.4 million during the three month period of fiscal 2024 compared to the prior year period. The increase during the three month period of fiscal 2024 was attributable to higher expenses related to the separation and distribution of the Uniform segment ($27.5 million) (see Note 2 to the condensed consolidated financial statements) that more than offset lower share-based compensation expense ($6.9 million) compared to the prior year period (see Note 9 to the condensed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29, 2023, we had $295.6 million of cash and cash equivalents, $111.7 million of marketable securities and approximately $737.0 million of availability under our senior secured revolving credit facility. A significant portion of our cash and cash equivalents are held in mature, liquid geographies where we have operations. As of December 29, 2023, there were approximately $762.3 million of outstanding foreign currency borrowings.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marketable securities and availability under our revolving credit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21,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of Continuing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 of Continuing Operations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 of Continuing Operations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r>
    </w:tbl>
    <w:p>
      <w:pPr>
        <w:spacing w:after="0" w:line="157" w:lineRule="exact"/>
        <w:rPr>
          <w:sz w:val="20"/>
          <w:szCs w:val="20"/>
          <w:color w:val="auto"/>
        </w:rPr>
      </w:pPr>
    </w:p>
    <w:p>
      <w:pPr>
        <w:ind w:right="2040"/>
        <w:spacing w:after="0" w:line="352" w:lineRule="auto"/>
        <w:rPr>
          <w:sz w:val="20"/>
          <w:szCs w:val="20"/>
          <w:color w:val="auto"/>
        </w:rPr>
      </w:pPr>
      <w:r>
        <w:rPr>
          <w:rFonts w:ascii="Times New Roman" w:cs="Times New Roman" w:eastAsia="Times New Roman" w:hAnsi="Times New Roman"/>
          <w:sz w:val="18"/>
          <w:szCs w:val="18"/>
          <w:color w:val="auto"/>
        </w:rPr>
        <w:t xml:space="preserve">Reference to the Condensed Consolidated Statements of Cash Flows will facilitate understanding of the discussion that follows. </w:t>
      </w:r>
      <w:r>
        <w:rPr>
          <w:rFonts w:ascii="Times New Roman" w:cs="Times New Roman" w:eastAsia="Times New Roman" w:hAnsi="Times New Roman"/>
          <w:sz w:val="18"/>
          <w:szCs w:val="18"/>
          <w:b w:val="1"/>
          <w:bCs w:val="1"/>
          <w:i w:val="1"/>
          <w:iCs w:val="1"/>
          <w:color w:val="auto"/>
        </w:rPr>
        <w:t>Cash Flows Used in Operating Activities</w:t>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increased by $41.3 million during fiscal 2024 compared to fiscal 2023. The change was driven by higher use of cash from the change in operating assets and liabilities that more than offset non-cash gains and losses and adjustments to non-operating cash transactions. The $66.5 million change in operating assets and liabilities compared to the prior year period was primarily due to:</w:t>
      </w:r>
    </w:p>
    <w:p>
      <w:pPr>
        <w:spacing w:after="0" w:line="54" w:lineRule="exact"/>
        <w:rPr>
          <w:sz w:val="20"/>
          <w:szCs w:val="20"/>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by $108.8 million, resulting in a higher use of cash during the three month period of fiscal 2024 compared to the three month period of fiscal 2023 impacted by base and new business growth and timing of collections; and</w:t>
      </w:r>
    </w:p>
    <w:p>
      <w:pPr>
        <w:spacing w:after="0" w:line="40"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by $45.2 million, resulting in a higher use of cash during the three month period of fiscal 2024 compared to the three month period of fiscal 2023 primarily due to higher recognition of deferred income in our Higher Education business, higher commission payments in our Sports &amp; Entertainment business, higher income tax payments and timing of other payments; partially offset by the prior year payment of social security taxes deferred under the CARES Act and lower employee incentive payments.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in operating assets and liabilities more than offset:</w:t>
      </w:r>
    </w:p>
    <w:p>
      <w:pPr>
        <w:spacing w:after="0" w:line="117" w:lineRule="exact"/>
        <w:rPr>
          <w:sz w:val="20"/>
          <w:szCs w:val="20"/>
          <w:color w:val="auto"/>
        </w:rPr>
      </w:pPr>
    </w:p>
    <w:p>
      <w:pPr>
        <w:ind w:left="660" w:right="400" w:hanging="328"/>
        <w:spacing w:after="0" w:line="255" w:lineRule="auto"/>
        <w:tabs>
          <w:tab w:leader="none" w:pos="648" w:val="left"/>
        </w:tabs>
        <w:numPr>
          <w:ilvl w:val="0"/>
          <w:numId w:val="11"/>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Accounts payable by $73.4 million, resulting in a lower use of cash during the three month period of fiscal 2024 compared to the three month period of fiscal 2023 from the timing of disbursements; and</w:t>
      </w:r>
    </w:p>
    <w:p>
      <w:pPr>
        <w:spacing w:after="0" w:line="62" w:lineRule="exact"/>
        <w:rPr>
          <w:rFonts w:ascii="Times New Roman" w:cs="Times New Roman" w:eastAsia="Times New Roman" w:hAnsi="Times New Roman"/>
          <w:sz w:val="20"/>
          <w:szCs w:val="20"/>
          <w:i w:val="1"/>
          <w:iCs w:val="1"/>
          <w:color w:val="212529"/>
        </w:rPr>
      </w:pPr>
    </w:p>
    <w:p>
      <w:pPr>
        <w:ind w:left="660" w:right="1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by $26.4 million, resulting in a higher source of cash during fiscal 2024 compared to fiscal 2023 due to improved purchasing activity in Sports, Leisure &amp; Corrections and Education sectors.</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 periods of fiscal 2024 and 2023, we received proceeds of approximately $1.0 million and $15.3 million, respectively, related to favorable loss experience in older insurance years under our general liability, automobile liability and workers' compensation liability programs. The "Other operating activities" caption in both periods reflect adjustments to net income in the current year and prior year periods related to non-cash gains and losses and adjustments to non-operating cash transactions.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net cash flows used in investing activities were $126.8 million higher during the three month period of fiscal 2024 compared to the three month period of fiscal 2023 due to higher acquisitions of certain businesses ($79.8 million) and higher purchases of property and equipment ($26.7 million) in the current year. The "Other investing activities" caption includes $19.8 million of proceeds received during the three month period of fiscal 2023, relating to the recovery of our investment (possessory interest) at one of the National Park Service sites within our Sports, Leisure &amp; Corrections sector.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month period of fiscal 2024, cash used in financing activities was primarily impacted by repayment of the 6.375% 2025 Notes ($1,500.0 million) offset by borrowings under the Receivables Facility ($600.0 million) and borrowings under the revolving credit facility ($209.7 million).</w:t>
      </w:r>
    </w:p>
    <w:p>
      <w:pPr>
        <w:spacing w:after="0" w:line="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 period of fiscal 2023, cash provided by financing activities was primarily impacted by borrowings under the Receivables Facility ($395.1 million) and borrowings under the revolving credit facility ($282.0 million).</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the three month periods of fiscal 2024 and fiscal 2023 primarily related to taxes paid by us when we withhold shares upon an employee's exercise or vesting of equity awards to cover income taxes. The three month period of fiscal 2024 also includes the payment of a call premium on the 6.375% 2025 Notes ($23.9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December 29, 2023, we were in compliance with these covenants.</w:t>
      </w:r>
    </w:p>
    <w:p>
      <w:pPr>
        <w:spacing w:after="0" w:line="6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4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of 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attributable to ASI stockholders, which is a U.S. GAAP measure of ASI's operating results, to Covenant Adjusted EBITDA as defined in our debt agreements. The terms and related calculations are defined in the Credit Agreement and the indentures governing our senior notes. Covenant Adjusted EBITDA is a measure of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 and its restricted subsidiaries only and does not include the results of Aramark.</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r>
      <w:tr>
        <w:trPr>
          <w:trHeight w:val="18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December 29, 2023</w:t>
            </w:r>
          </w:p>
        </w:tc>
      </w:tr>
      <w:tr>
        <w:trPr>
          <w:trHeight w:val="230"/>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ASI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29"/>
        </w:trPr>
        <w:tc>
          <w:tcPr>
            <w:tcW w:w="9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Less: Income from discontinued operations, net of tax</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23"/>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from continuing operations attributable to ASI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30"/>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29"/>
        </w:trPr>
        <w:tc>
          <w:tcPr>
            <w:tcW w:w="9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r>
      <w:tr>
        <w:trPr>
          <w:trHeight w:val="243"/>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9"/>
                <w:szCs w:val="9"/>
                <w:color w:val="auto"/>
              </w:rPr>
              <w:t>(1)</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30"/>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Unusual or non-recurring gains</w:t>
            </w:r>
            <w:r>
              <w:rPr>
                <w:rFonts w:ascii="Times New Roman" w:cs="Times New Roman" w:eastAsia="Times New Roman" w:hAnsi="Times New Roman"/>
                <w:sz w:val="9"/>
                <w:szCs w:val="9"/>
                <w:color w:val="auto"/>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29"/>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9"/>
                <w:szCs w:val="9"/>
                <w:color w:val="auto"/>
              </w:rPr>
              <w:t>(3)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9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(4)</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48"/>
        </w:trPr>
        <w:tc>
          <w:tcPr>
            <w:tcW w:w="9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Covenant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20" w:hanging="492"/>
        <w:spacing w:after="0" w:line="282" w:lineRule="auto"/>
        <w:tabs>
          <w:tab w:leader="none" w:pos="4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resulting from the application of accounting for stock options, restricted stock units, performance stock units, deferred stock unit awards and employee stock purchases (see Note 9 to the condensed consolidated financial statements).</w:t>
      </w:r>
    </w:p>
    <w:p>
      <w:pPr>
        <w:spacing w:after="0" w:line="40"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fiscal 2023 gain from the sale of our equity method investment in AIM Services, Co., Ltd. ($377.1 million) and the fiscal 2023 loss from the sale of a portion of our equity investment in the San Antonio Spurs NBA franchise ($1.1 million).</w:t>
      </w:r>
    </w:p>
    <w:p>
      <w:pPr>
        <w:spacing w:after="0" w:line="2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certain acquisitions made during the period.</w:t>
      </w:r>
    </w:p>
    <w:p>
      <w:pPr>
        <w:spacing w:after="0" w:line="103" w:lineRule="exact"/>
        <w:rPr>
          <w:rFonts w:ascii="Times New Roman" w:cs="Times New Roman" w:eastAsia="Times New Roman" w:hAnsi="Times New Roman"/>
          <w:sz w:val="18"/>
          <w:szCs w:val="18"/>
          <w:color w:val="auto"/>
        </w:rPr>
      </w:pPr>
    </w:p>
    <w:p>
      <w:pPr>
        <w:ind w:left="500" w:right="380" w:hanging="492"/>
        <w:spacing w:after="0" w:line="254" w:lineRule="auto"/>
        <w:tabs>
          <w:tab w:leader="none" w:pos="4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the reversal of contingent consideration liabilities related to acquisition earn outs, net of expense ($59.4 million), adjustments to remove the impact attributable to the adoption of certain accounting standards that are made to the calculation in accordance with the Credit Agreement and indentures ($50.3 million), charges related to our spin-off of the Uniform segment ($47.5 million), net severance charges ($39.1 million), the impact of hyperinflation in Argentina ($13.2 million), income related to non-United States governmental wage subsidies ($12.5 million), non-cash charges related to information technology assets ($8.2 million), net multiemployer pension plan withdrawal charges ($6.7 million), non-cash charges for inventory write-downs ($6.1 million), labor charges and other expenses associated with closed or partially closed locations from adverse weather ($5.4 million), non-cash charges for the impairment of operating lease right-of-use assets and property and equipment related to certain real estate properties ($3.3 million) and other miscellaneous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 and actual ratio for the twelve months ended December 29, 2023 are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6"/>
        </w:trPr>
        <w:tc>
          <w:tcPr>
            <w:tcW w:w="680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229"/>
        </w:trPr>
        <w:tc>
          <w:tcPr>
            <w:tcW w:w="6800" w:type="dxa"/>
            <w:vAlign w:val="bottom"/>
            <w:tcBorders>
              <w:top w:val="single" w:sz="8" w:color="CCEEFF"/>
            </w:tcBorders>
            <w:shd w:val="clear" w:color="auto" w:fill="CCEEFF"/>
          </w:tcPr>
          <w:p>
            <w:pPr>
              <w:ind w:left="60"/>
              <w:spacing w:after="0" w:line="229"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3"/>
                <w:szCs w:val="23"/>
                <w:color w:val="auto"/>
                <w:vertAlign w:val="superscript"/>
              </w:rPr>
              <w:t>(1)</w:t>
            </w:r>
          </w:p>
        </w:tc>
        <w:tc>
          <w:tcPr>
            <w:tcW w:w="16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5.125x</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8"/>
              </w:rPr>
              <w:t>2.93x</w:t>
            </w:r>
          </w:p>
        </w:tc>
      </w:tr>
      <w:tr>
        <w:trPr>
          <w:trHeight w:val="306"/>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17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2.000x</w:t>
            </w:r>
          </w:p>
        </w:tc>
        <w:tc>
          <w:tcPr>
            <w:tcW w:w="16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8"/>
              </w:rPr>
              <w:t>3.52x</w:t>
            </w:r>
          </w:p>
        </w:tc>
      </w:tr>
    </w:tbl>
    <w:p>
      <w:pPr>
        <w:spacing w:after="0" w:line="80" w:lineRule="exact"/>
        <w:rPr>
          <w:sz w:val="20"/>
          <w:szCs w:val="20"/>
          <w:color w:val="auto"/>
        </w:rPr>
      </w:pPr>
    </w:p>
    <w:p>
      <w:pPr>
        <w:ind w:left="500" w:right="40" w:hanging="492"/>
        <w:spacing w:after="0" w:line="254" w:lineRule="auto"/>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20" w:hanging="492"/>
        <w:spacing w:after="0" w:line="253" w:lineRule="auto"/>
        <w:tabs>
          <w:tab w:leader="none" w:pos="4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The indentures governing our senior notes include a similar requirement which is referred to as a Fixed Charge Coverage Ratio.</w:t>
      </w:r>
    </w:p>
    <w:p>
      <w:pPr>
        <w:spacing w:after="0" w:line="5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simplifies certain disclosure requirements for guarantors and issuers of guaranteed securities, we are not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activities do not include the use of unconsolidated special purpose entities and there are no significant business transactions that have not been reflected in the accompanying condensed consolidated financial statements. We insure portions of our risk in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December 29, 2023.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December 29, 2023 and September 29, 2023, cash and cash equivalents at the Captive were $14.4 million and $32.8 million, respectively. The Captive also invests in United States Treasury securities where the amount as of December 29, 2023 and September 29, 2023 was $111.7 million and $110.7 million, respectively, and is recorded in "Prepayments and other current assets"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the notes to the audited consolidated financial statements included in our Annual Report on Form 10-K, filed with the SEC on November 21, 2023.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21, 2023.</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 Updates</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full description of recent accounting standard updates, including the expected dates of adoption.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December 29, 2023 has not materially changed from September 29, 2023 (see Part II, Item 7A "Quantitative and Qualitative Disclosure About Market Risk" in our Annual Report on Form 10-K for the fiscal year ended September 29, 2023 filed with the SEC on November 21, 2023). However, we completed several debt related transactions during the first quarter of fiscal 2024 that significantly reduced our consolidated debt and therefore our related exposure to this market risk. First, we redeemed the 6.375% Senior Notes due 2025 of $1,500.0 million from the proceeds received in conjunction with the separation and distribution of the Uniform segment. In addition, the Uniform segment United States term loans of $800.0 million due 2025 and $700.0 million due 2028 were removed from our condensed consolidated financial statements as a result of the separation and distribution of the Uniform segment on September 30, 2023. See Note 4 to the condensed consolidated financial statements related to the changes in our debt levels. See Note 5 to the condensed consolidated financial statements for a discussion of our derivative instruments and Note 13 for the disclosure of the fair value and related carrying value of our debt obligations as of December 29, 2023.</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first quarter of fiscal 2024 that has materially affected, or is reasonably likely to materially affect, our internal control over financial reporting.</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international,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December 29, 2023.</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in our Annual Report on Form 10-K for the fiscal year ended September 29, 2023 filed with the SEC on November 21, 2023.</w:t>
      </w:r>
    </w:p>
    <w:p>
      <w:pPr>
        <w:spacing w:after="0" w:line="158" w:lineRule="exact"/>
        <w:rPr>
          <w:sz w:val="20"/>
          <w:szCs w:val="20"/>
          <w:color w:val="auto"/>
        </w:rPr>
      </w:pPr>
    </w:p>
    <w:p>
      <w:pPr>
        <w:ind w:right="296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29, 2023,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ind w:left="54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96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February 6, 2024.</w:t>
      </w:r>
    </w:p>
    <w:p>
      <w:pPr>
        <w:spacing w:after="0" w:line="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r>
      <w:tr>
        <w:trPr>
          <w:trHeight w:val="147"/>
        </w:trPr>
        <w:tc>
          <w:tcPr>
            <w:tcW w:w="9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Senior Vice President, Controller and Chief Accounting Officer</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2" w:name="page33"/>
    <w:bookmarkEnd w:id="32"/>
    <w:p>
      <w:pPr>
        <w:jc w:val="center"/>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52" w:lineRule="exact"/>
        <w:rPr>
          <w:sz w:val="20"/>
          <w:szCs w:val="20"/>
          <w:color w:val="auto"/>
        </w:rPr>
      </w:pPr>
    </w:p>
    <w:p>
      <w:pPr>
        <w:ind w:left="60"/>
        <w:spacing w:after="0"/>
        <w:tabs>
          <w:tab w:leader="none" w:pos="548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8" w:lineRule="exact"/>
        <w:rPr>
          <w:sz w:val="20"/>
          <w:szCs w:val="20"/>
          <w:color w:val="auto"/>
        </w:rPr>
      </w:pPr>
    </w:p>
    <w:p>
      <w:pPr>
        <w:ind w:left="820" w:right="180" w:hanging="548"/>
        <w:spacing w:after="0" w:line="237" w:lineRule="auto"/>
        <w:tabs>
          <w:tab w:leader="none" w:pos="800" w:val="left"/>
        </w:tabs>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51">
        <w:r>
          <w:rPr>
            <w:rFonts w:ascii="Times New Roman" w:cs="Times New Roman" w:eastAsia="Times New Roman" w:hAnsi="Times New Roman"/>
            <w:sz w:val="18"/>
            <w:szCs w:val="18"/>
            <w:u w:val="single" w:color="auto"/>
            <w:color w:val="0000FF"/>
          </w:rPr>
          <w:t>Offer Letter, dated as of December 11, 2023, by and between James Tarangelo and Aramark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Aramark's Current Report on Form 8-K filed with the SEC on December 11, 2023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820" w:right="100" w:hanging="548"/>
        <w:spacing w:after="0" w:line="236" w:lineRule="auto"/>
        <w:tabs>
          <w:tab w:leader="none" w:pos="800" w:val="left"/>
        </w:tabs>
        <w:rPr>
          <w:rFonts w:ascii="Times New Roman" w:cs="Times New Roman" w:eastAsia="Times New Roman" w:hAnsi="Times New Roman"/>
          <w:sz w:val="17"/>
          <w:szCs w:val="17"/>
          <w:u w:val="single" w:color="auto"/>
          <w:color w:val="0000FF"/>
        </w:rPr>
      </w:pPr>
      <w:hyperlink r:id="rId52">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52">
        <w:r>
          <w:rPr>
            <w:rFonts w:ascii="Times New Roman" w:cs="Times New Roman" w:eastAsia="Times New Roman" w:hAnsi="Times New Roman"/>
            <w:sz w:val="17"/>
            <w:szCs w:val="17"/>
            <w:u w:val="single" w:color="auto"/>
            <w:color w:val="0000FF"/>
          </w:rPr>
          <w:t>Agreement relating to Employment and Post-Employment Competition, dated as of December 11, 2023, by and between James Tarangelo</w:t>
        </w:r>
      </w:hyperlink>
      <w:r>
        <w:rPr>
          <w:rFonts w:ascii="Times New Roman" w:cs="Times New Roman" w:eastAsia="Times New Roman" w:hAnsi="Times New Roman"/>
          <w:sz w:val="17"/>
          <w:szCs w:val="17"/>
          <w:u w:val="single" w:color="auto"/>
          <w:color w:val="0000FF"/>
        </w:rPr>
        <w:t xml:space="preserve"> </w:t>
      </w:r>
      <w:hyperlink r:id="rId52">
        <w:r>
          <w:rPr>
            <w:rFonts w:ascii="Times New Roman" w:cs="Times New Roman" w:eastAsia="Times New Roman" w:hAnsi="Times New Roman"/>
            <w:sz w:val="17"/>
            <w:szCs w:val="17"/>
            <w:u w:val="single" w:color="auto"/>
            <w:color w:val="0000FF"/>
          </w:rPr>
          <w:t>and Aramark (incorporated by reference to exhibit 10.2 to Aramark's Current Report on Form 8-K filed with the SEC on December 11,</w:t>
        </w:r>
      </w:hyperlink>
    </w:p>
    <w:p>
      <w:pPr>
        <w:ind w:left="820"/>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2023 (file number 001-36223)).</w:t>
        </w:r>
      </w:hyperlink>
    </w:p>
    <w:p>
      <w:pPr>
        <w:ind w:left="280"/>
        <w:spacing w:after="0"/>
        <w:tabs>
          <w:tab w:leader="none" w:pos="800" w:val="left"/>
        </w:tabs>
        <w:rPr>
          <w:rFonts w:ascii="Times New Roman" w:cs="Times New Roman" w:eastAsia="Times New Roman" w:hAnsi="Times New Roman"/>
          <w:sz w:val="17"/>
          <w:szCs w:val="17"/>
          <w:u w:val="single" w:color="auto"/>
          <w:color w:val="0000FF"/>
        </w:rPr>
      </w:pPr>
      <w:hyperlink r:id="rId53">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53">
        <w:r>
          <w:rPr>
            <w:rFonts w:ascii="Times New Roman" w:cs="Times New Roman" w:eastAsia="Times New Roman" w:hAnsi="Times New Roman"/>
            <w:sz w:val="17"/>
            <w:szCs w:val="17"/>
            <w:u w:val="single" w:color="auto"/>
            <w:color w:val="0000FF"/>
          </w:rPr>
          <w:t>Letter Agreement, dated as of December 11, 2023, by and between Thomas Ondrof and Aramark (incorporated by reference to exhibit</w:t>
        </w:r>
      </w:hyperlink>
    </w:p>
    <w:p>
      <w:pPr>
        <w:ind w:left="820"/>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10.3 to Aramark's Current Report on Form 8-K filed with the SEC on December 11, 2023 (file number 001-36223)).</w:t>
        </w:r>
      </w:hyperlink>
    </w:p>
    <w:p>
      <w:pPr>
        <w:spacing w:after="0" w:line="16" w:lineRule="exact"/>
        <w:rPr>
          <w:sz w:val="20"/>
          <w:szCs w:val="20"/>
          <w:color w:val="auto"/>
        </w:rPr>
      </w:pPr>
    </w:p>
    <w:p>
      <w:pPr>
        <w:ind w:left="28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u w:val="single" w:color="auto"/>
          <w:color w:val="0000FF"/>
        </w:rPr>
        <w:t>Certification of John J. Zillmer, Chief Executive Officer, pursuant to Section 302 of the Sarbanes-Oxley Act of 2002.</w:t>
      </w:r>
    </w:p>
    <w:p>
      <w:pPr>
        <w:spacing w:after="0" w:line="27" w:lineRule="exact"/>
        <w:rPr>
          <w:sz w:val="20"/>
          <w:szCs w:val="20"/>
          <w:color w:val="auto"/>
        </w:rPr>
      </w:pPr>
    </w:p>
    <w:p>
      <w:pPr>
        <w:ind w:left="28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u w:val="single" w:color="auto"/>
          <w:color w:val="0000FF"/>
        </w:rPr>
        <w:t>Certification of James J. Tarangelo, Chief Financial Officer, pursuant to Section 302 of the Sarbanes-Oxley Act of 2002.</w:t>
      </w:r>
    </w:p>
    <w:p>
      <w:pPr>
        <w:spacing w:after="0" w:line="23" w:lineRule="exact"/>
        <w:rPr>
          <w:sz w:val="20"/>
          <w:szCs w:val="20"/>
          <w:color w:val="auto"/>
        </w:rPr>
      </w:pPr>
    </w:p>
    <w:p>
      <w:pPr>
        <w:ind w:left="820" w:right="240" w:hanging="548"/>
        <w:spacing w:after="0" w:line="234"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32.1*</w:t>
        <w:tab/>
        <w:t>Certification of John J. Zillmer, Chief Executive Officer, and James J. Tarangelo, Chief Financial Officer, pursuant to Section 906 of the Sarbanes-Oxley Act of 2002.</w:t>
      </w:r>
    </w:p>
    <w:p>
      <w:pPr>
        <w:spacing w:after="0" w:line="10" w:lineRule="exact"/>
        <w:rPr>
          <w:sz w:val="20"/>
          <w:szCs w:val="20"/>
          <w:color w:val="auto"/>
        </w:rPr>
      </w:pPr>
    </w:p>
    <w:p>
      <w:pPr>
        <w:ind w:left="820" w:right="80" w:hanging="414"/>
        <w:spacing w:after="0" w:line="217" w:lineRule="auto"/>
        <w:tabs>
          <w:tab w:leader="none" w:pos="820" w:val="left"/>
        </w:tabs>
        <w:numPr>
          <w:ilvl w:val="0"/>
          <w:numId w:val="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following financial information from Aramark's Quarterly Report on Form 10-Q for the period ended December 29, 2023 formatted in inline XBRL: (i) Condensed Consolidated Balance Sheets as of December 29, 2023 and September 29, 2023; (ii) Condensed Consolidated Statements of Income for the three months ended December 29, 2023 and December 30, 2022; (iii) Condensed Consolidated Statements of Comprehensive Income for the three months ended December 29, 2023 and December 30, 2022; (iv) Condensed Consolidated Statements of Cash Flows for the three months ended December 29, 2023 and December 30, 2022; (v) Condensed Consolidated Statements of Stockholders' Equity for the three months ended December 29, 2023 and December 30, 2022; and (vi) Notes to condensed consolidated financial statements.</w:t>
      </w:r>
    </w:p>
    <w:p>
      <w:pPr>
        <w:spacing w:after="0" w:line="4" w:lineRule="exact"/>
        <w:rPr>
          <w:sz w:val="20"/>
          <w:szCs w:val="20"/>
          <w:color w:val="auto"/>
        </w:rPr>
      </w:pPr>
    </w:p>
    <w:p>
      <w:pPr>
        <w:ind w:right="1080" w:firstLine="406"/>
        <w:spacing w:after="0" w:line="365" w:lineRule="auto"/>
        <w:tabs>
          <w:tab w:leader="none" w:pos="8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Exhibit 101 Inline XBRL document set. * Filed herewith.</w:t>
      </w: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tab/>
        <w:t>Identifies exhibits that consist of management contract or compensatory arrangement.</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60"/>
          </w:cols>
          <w:pgMar w:left="660" w:top="1359"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December 29, 2023;</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wp:posOffset>
            </wp:positionV>
            <wp:extent cx="3000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2024</w:t>
      </w:r>
    </w:p>
    <w:p>
      <w:pPr>
        <w:sectPr>
          <w:pgSz w:w="11900" w:h="16838" w:orient="portrait"/>
          <w:cols w:equalWidth="0" w:num="1">
            <w:col w:w="11240"/>
          </w:cols>
          <w:pgMar w:left="320" w:top="104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Tarangelo, Senior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December 29, 2023;</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wp:posOffset>
            </wp:positionV>
            <wp:extent cx="3000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1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ind w:left="1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2024</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8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Aramark (the “Company”) on Form 10-Q for the fiscal quarter ended December 29, 2023, as filed with the Securities and Exchange Commission on the date hereof (the “Report”), we, John J. Zillmer, Chief Executive Officer of the Company, and James J. Tarangelo, Senior Vice President and Chief Financial Officer of the Company, each certify, pursuant to 18 U.S.C. Section 1350, as adopted pursuant to Section 906 of the Sarbanes-Oxley Act of 2002, that, based on each of our knowledge:</w:t>
      </w:r>
    </w:p>
    <w:p>
      <w:pPr>
        <w:spacing w:after="0" w:line="382"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right="140" w:firstLine="332"/>
        <w:spacing w:after="0" w:line="783" w:lineRule="auto"/>
        <w:tabs>
          <w:tab w:leader="none" w:pos="6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6, 2024</w:t>
      </w:r>
    </w:p>
    <w:p>
      <w:pPr>
        <w:spacing w:after="0" w:line="25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2"/>
    </w:lvl>
  </w:abstractNum>
  <w:abstractNum w:abstractNumId="14">
    <w:nsid w:val="25E45D32"/>
    <w:multiLevelType w:val="hybridMultilevel"/>
    <w:lvl w:ilvl="0">
      <w:lvlJc w:val="left"/>
      <w:lvlText w:val="%1"/>
      <w:numFmt w:val="decimal"/>
      <w:start w:val="101"/>
    </w:lvl>
  </w:abstractNum>
  <w:abstractNum w:abstractNumId="15">
    <w:nsid w:val="519B500D"/>
    <w:multiLevelType w:val="hybridMultilevel"/>
    <w:lvl w:ilvl="0">
      <w:lvlJc w:val="left"/>
      <w:lvlText w:val="*"/>
      <w:numFmt w:val="bullet"/>
      <w:start w:val="1"/>
    </w:lvl>
    <w:lvl w:ilvl="1">
      <w:lvlJc w:val="left"/>
      <w:lvlText w:val="%2"/>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1" Type="http://schemas.openxmlformats.org/officeDocument/2006/relationships/hyperlink" Target="https://www.sec.gov/Archives/edgar/data/1584509/000119312523292690/d75026dex101.htm" TargetMode="External"/><Relationship Id="rId52" Type="http://schemas.openxmlformats.org/officeDocument/2006/relationships/hyperlink" Target="https://www.sec.gov/Archives/edgar/data/1584509/000119312523292690/d75026dex102.htm" TargetMode="External"/><Relationship Id="rId53" Type="http://schemas.openxmlformats.org/officeDocument/2006/relationships/hyperlink" Target="https://www.sec.gov/Archives/edgar/data/1584509/000119312523292690/d7502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2024-02-06T15:27:32Z</dcterms:created>
  <dcterms:modified xsi:type="dcterms:W3CDTF">2024-02-06T15:27:32Z</dcterms:modified>
</cp:coreProperties>
</file>