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40" w:hanging="368"/>
        <w:spacing w:after="0"/>
        <w:tabs>
          <w:tab w:leader="none" w:pos="2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27, 2024</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1960" w:val="left"/>
          <w:tab w:leader="none" w:pos="842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420" w:right="13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January 24, 2025, the number of shares of the registrant's common stock outstanding is 265,104,846.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820" w:type="dxa"/>
            <w:vAlign w:val="bottom"/>
            <w:gridSpan w:val="7"/>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18"/>
                <w:szCs w:val="18"/>
                <w:color w:val="auto"/>
              </w:rPr>
            </w:pPr>
          </w:p>
        </w:tc>
        <w:tc>
          <w:tcPr>
            <w:tcW w:w="2660" w:type="dxa"/>
            <w:vAlign w:val="bottom"/>
            <w:gridSpan w:val="2"/>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ongoing conflict in the Middle East, global supply chain disruptions,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19, 2024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0" w:type="dxa"/>
            <w:vAlign w:val="bottom"/>
          </w:tcPr>
          <w:p>
            <w:pPr>
              <w:spacing w:after="0"/>
              <w:rPr>
                <w:sz w:val="16"/>
                <w:szCs w:val="16"/>
                <w:color w:val="auto"/>
              </w:rPr>
            </w:pP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$35,959 and $34,259)</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2,201,099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2,096,928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387,601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242,875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249,550</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3,294,813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3,406,562</w:t>
            </w:r>
          </w:p>
        </w:tc>
        <w:tc>
          <w:tcPr>
            <w:tcW w:w="0" w:type="dxa"/>
            <w:vAlign w:val="bottom"/>
          </w:tcPr>
          <w:p>
            <w:pPr>
              <w:spacing w:after="0"/>
              <w:rPr>
                <w:sz w:val="1"/>
                <w:szCs w:val="1"/>
                <w:color w:val="auto"/>
              </w:rPr>
            </w:pPr>
          </w:p>
        </w:tc>
      </w:tr>
      <w:tr>
        <w:trPr>
          <w:trHeight w:val="18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1,602,582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1,573,193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4,677,201</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1,826,131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1,804,602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638,659</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592,420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574,154</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12,706,666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942,833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964,286</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54,163</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1,394,007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518,912</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1,282,842</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3,496,855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4,214,210</w:t>
            </w:r>
          </w:p>
        </w:tc>
        <w:tc>
          <w:tcPr>
            <w:tcW w:w="0" w:type="dxa"/>
            <w:vAlign w:val="bottom"/>
          </w:tcPr>
          <w:p>
            <w:pPr>
              <w:spacing w:after="0"/>
              <w:rPr>
                <w:sz w:val="1"/>
                <w:szCs w:val="1"/>
                <w:color w:val="auto"/>
              </w:rPr>
            </w:pPr>
          </w:p>
        </w:tc>
      </w:tr>
      <w:tr>
        <w:trPr>
          <w:trHeight w:val="18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4,976,953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4,307,171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241,012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375,378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490,132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9)</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306,798,710 shares and 304,285,195 shares;</w:t>
            </w:r>
          </w:p>
        </w:tc>
        <w:tc>
          <w:tcPr>
            <w:tcW w:w="20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and outstanding: 265,649,625 shares and 263,939,983 shares)</w:t>
            </w:r>
          </w:p>
        </w:tc>
        <w:tc>
          <w:tcPr>
            <w:tcW w:w="20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Capital surplus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3,931,932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239,709</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(132,457)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Treasury stock (held in treasury: 41,149,085 shares and 40,345,212 shares)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(1,003,253)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3,081,884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3,038,974</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12,706,666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4,552,086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4,407,765</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4,045,078</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105,544</w:t>
            </w: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90,193</w:t>
            </w:r>
          </w:p>
        </w:tc>
      </w:tr>
      <w:tr>
        <w:trPr>
          <w:trHeight w:val="207"/>
        </w:trPr>
        <w:tc>
          <w:tcPr>
            <w:tcW w:w="76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4,334,822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4,240,815</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114,562</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23,871</w:t>
            </w:r>
          </w:p>
        </w:tc>
      </w:tr>
      <w:tr>
        <w:trPr>
          <w:trHeight w:val="212"/>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28,517</w:t>
            </w:r>
          </w:p>
        </w:tc>
      </w:tr>
      <w:tr>
        <w:trPr>
          <w:trHeight w:val="213"/>
        </w:trPr>
        <w:tc>
          <w:tcPr>
            <w:tcW w:w="76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5"/>
        </w:trPr>
        <w:tc>
          <w:tcPr>
            <w:tcW w:w="7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Aramark stockholders: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262,053</w:t>
            </w: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264,287</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r>
      <w:tr>
        <w:trPr>
          <w:trHeight w:val="229"/>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(37,532)</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105,703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28,517</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105,544</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Increase in contingent consideration liability (see Note 11)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13,654</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Receivables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(209,339)</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33,303</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(180,799)</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(460,413)</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(45,075)</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64,220</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(587,152)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(657,077)</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(115,621)</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(83,316)</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(197,968)</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180,793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228,221</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(1,538,997)</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(24,915)</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(47,808)</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642,698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(779,003)</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 and restricted cash</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 and restricted cash</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(194,253)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(1,628,714)</w:t>
            </w: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732,613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1,972,367</w:t>
            </w:r>
          </w:p>
        </w:tc>
      </w:t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538,360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343,653</w:t>
            </w: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60" w:type="dxa"/>
            <w:vAlign w:val="bottom"/>
          </w:tcPr>
          <w:p>
            <w:pPr>
              <w:spacing w:after="0"/>
              <w:rPr>
                <w:sz w:val="16"/>
                <w:szCs w:val="16"/>
                <w:color w:val="auto"/>
              </w:rPr>
            </w:pPr>
          </w:p>
        </w:tc>
        <w:tc>
          <w:tcPr>
            <w:tcW w:w="326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111,464</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7"/>
                <w:szCs w:val="17"/>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295,597</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54,211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48,056</w:t>
            </w: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538,360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343,653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September 27, 2024</w:t>
      </w:r>
    </w:p>
    <w:p>
      <w:pPr>
        <w:spacing w:after="0" w:line="27" w:lineRule="exact"/>
        <w:rPr>
          <w:sz w:val="20"/>
          <w:szCs w:val="20"/>
          <w:color w:val="auto"/>
        </w:rPr>
      </w:pPr>
    </w:p>
    <w:p>
      <w:pPr>
        <w:ind w:left="280" w:right="18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7" w:lineRule="exact"/>
        <w:rPr>
          <w:sz w:val="20"/>
          <w:szCs w:val="20"/>
          <w:color w:val="auto"/>
        </w:rPr>
      </w:pPr>
    </w:p>
    <w:p>
      <w:pPr>
        <w:ind w:left="28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80" w:right="20"/>
        <w:spacing w:after="0" w:line="237" w:lineRule="auto"/>
        <w:rPr>
          <w:sz w:val="20"/>
          <w:szCs w:val="20"/>
          <w:color w:val="auto"/>
        </w:rPr>
      </w:pPr>
      <w:r>
        <w:rPr>
          <w:rFonts w:ascii="Times New Roman" w:cs="Times New Roman" w:eastAsia="Times New Roman" w:hAnsi="Times New Roman"/>
          <w:sz w:val="18"/>
          <w:szCs w:val="18"/>
          <w:color w:val="auto"/>
        </w:rPr>
        <w:t>Share-based compensation expense of equity awards</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Purchase of noncontrolling interest</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Dividends declared ($0.105 per share)</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December 27, 2024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3,931,932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239,709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(1,003,253)</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105,619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3,081,884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3,959,269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315,470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(1,034,546)</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-1739900</wp:posOffset>
            </wp:positionV>
            <wp:extent cx="70980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-1302385</wp:posOffset>
            </wp:positionV>
            <wp:extent cx="709803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-890905</wp:posOffset>
            </wp:positionV>
            <wp:extent cx="709803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-479425</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-187960</wp:posOffset>
            </wp:positionV>
            <wp:extent cx="70980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300"/>
            <w:col w:w="790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29, 2023</w:t>
      </w:r>
    </w:p>
    <w:p>
      <w:pPr>
        <w:spacing w:after="0" w:line="27" w:lineRule="exact"/>
        <w:rPr>
          <w:sz w:val="20"/>
          <w:szCs w:val="20"/>
          <w:color w:val="auto"/>
        </w:rPr>
      </w:pPr>
    </w:p>
    <w:p>
      <w:pPr>
        <w:ind w:left="260" w:right="20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7"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0" w:lineRule="exact"/>
        <w:rPr>
          <w:sz w:val="20"/>
          <w:szCs w:val="20"/>
          <w:color w:val="auto"/>
        </w:rPr>
      </w:pPr>
    </w:p>
    <w:p>
      <w:pPr>
        <w:ind w:left="260" w:right="20"/>
        <w:spacing w:after="0" w:line="237" w:lineRule="auto"/>
        <w:rPr>
          <w:sz w:val="20"/>
          <w:szCs w:val="20"/>
          <w:color w:val="auto"/>
        </w:rPr>
      </w:pPr>
      <w:r>
        <w:rPr>
          <w:rFonts w:ascii="Times New Roman" w:cs="Times New Roman" w:eastAsia="Times New Roman" w:hAnsi="Times New Roman"/>
          <w:sz w:val="18"/>
          <w:szCs w:val="18"/>
          <w:color w:val="auto"/>
        </w:rPr>
        <w:t>Share-based compensation expense of equity awards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7" w:lineRule="exact"/>
        <w:rPr>
          <w:sz w:val="20"/>
          <w:szCs w:val="20"/>
          <w:color w:val="auto"/>
        </w:rPr>
      </w:pPr>
    </w:p>
    <w:p>
      <w:pPr>
        <w:ind w:left="260" w:right="100"/>
        <w:spacing w:after="0" w:line="234" w:lineRule="auto"/>
        <w:rPr>
          <w:sz w:val="20"/>
          <w:szCs w:val="20"/>
          <w:color w:val="auto"/>
        </w:rPr>
      </w:pPr>
      <w:r>
        <w:rPr>
          <w:rFonts w:ascii="Times New Roman" w:cs="Times New Roman" w:eastAsia="Times New Roman" w:hAnsi="Times New Roman"/>
          <w:sz w:val="18"/>
          <w:szCs w:val="18"/>
          <w:color w:val="auto"/>
        </w:rPr>
        <w:t>Separation of Uniform Segment (See Note 1)</w:t>
      </w:r>
    </w:p>
    <w:p>
      <w:pPr>
        <w:spacing w:after="0" w:line="10" w:lineRule="exact"/>
        <w:rPr>
          <w:sz w:val="20"/>
          <w:szCs w:val="20"/>
          <w:color w:val="auto"/>
        </w:rPr>
      </w:pPr>
    </w:p>
    <w:p>
      <w:pPr>
        <w:ind w:left="20" w:right="20" w:firstLine="229"/>
        <w:spacing w:after="0" w:line="344" w:lineRule="auto"/>
        <w:rPr>
          <w:sz w:val="20"/>
          <w:szCs w:val="20"/>
          <w:color w:val="auto"/>
        </w:rPr>
      </w:pPr>
      <w:r>
        <w:rPr>
          <w:rFonts w:ascii="Times New Roman" w:cs="Times New Roman" w:eastAsia="Times New Roman" w:hAnsi="Times New Roman"/>
          <w:sz w:val="18"/>
          <w:szCs w:val="18"/>
          <w:color w:val="auto"/>
        </w:rPr>
        <w:t>Dividends declared ($0.095 per share) Balance, December 29,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964,158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(98,237)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(22,183)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2,846,634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3,847,489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(89,011)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(994,167)</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-1859915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-1422400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-1010920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-599440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-187960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3020" w:space="300"/>
            <w:col w:w="7920"/>
          </w:cols>
          <w:pgMar w:left="320" w:top="175" w:right="339" w:bottom="1440" w:gutter="0" w:footer="0" w:header="0"/>
          <w:type w:val="continuous"/>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19, 2024. The Condensed Consolidated Balance Sheet as of September 27, 2024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w:t>
      </w:r>
      <w:r>
        <w:rPr>
          <w:rFonts w:ascii="Times New Roman" w:cs="Times New Roman" w:eastAsia="Times New Roman" w:hAnsi="Times New Roman"/>
          <w:sz w:val="17"/>
          <w:szCs w:val="17"/>
          <w:i w:val="1"/>
          <w:iCs w:val="1"/>
          <w:color w:val="auto"/>
        </w:rPr>
        <w:t>Accounting Standard Update ("ASU") 2024-03, 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The guidance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requires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w:t>
      </w:r>
    </w:p>
    <w:p>
      <w:pPr>
        <w:spacing w:after="0" w:line="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climate-related disclosure rules under SEC Release Nos. 33-11275 and 34-99678, </w:t>
      </w:r>
      <w:r>
        <w:rPr>
          <w:rFonts w:ascii="Times New Roman" w:cs="Times New Roman" w:eastAsia="Times New Roman" w:hAnsi="Times New Roman"/>
          <w:sz w:val="18"/>
          <w:szCs w:val="18"/>
          <w:i w:val="1"/>
          <w:iCs w:val="1"/>
          <w:color w:val="auto"/>
        </w:rPr>
        <w:t>The Enhancement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Standardization of Climate-Related Disclosures for Investors</w:t>
      </w:r>
      <w:r>
        <w:rPr>
          <w:rFonts w:ascii="Times New Roman" w:cs="Times New Roman" w:eastAsia="Times New Roman" w:hAnsi="Times New Roman"/>
          <w:sz w:val="18"/>
          <w:szCs w:val="18"/>
          <w:color w:val="auto"/>
        </w:rPr>
        <w:t>. The rules require disclosure of governance, risk management and strategy related to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climate-related risks as well as disclosure of material greenhouse gas emissions in registration statements and annual reports. In addition, the rules require presentation of certain material climate-related disclosures in the annual consolidated financial statements. On April 4, 2024, the SEC voluntarily stayed the effective date of the final rules pending completion of judicial review following legal challenges. The new rules are applicable for the Company for annual periods beginning in fiscal 2026, pending resolution of the stay. The Company is currently assessing the impact of the new guidance on its financial statement disclosures.</w:t>
      </w:r>
    </w:p>
    <w:p>
      <w:pPr>
        <w:spacing w:after="0" w:line="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assessing the impact of the new guidance on its financial statement disclosures.</w:t>
      </w:r>
    </w:p>
    <w:p>
      <w:pPr>
        <w:spacing w:after="0" w:line="18"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xml:space="preserve"> to enhance the reportable segment disclosures. The guidance will require additional disclosures about significant segment expenses. The guidance is effective for the Company's annual disclosures for fiscal 2025 and for interim periods beginning in fiscal 2026; early adoption is permitted. The Company is currently assessing the impact of the new guidance on its financial statement disclosures.</w:t>
      </w:r>
    </w:p>
    <w:p>
      <w:pPr>
        <w:spacing w:after="0" w:line="4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 translation adjustments (net of tax) and changes in the fair value of cash flow hedges (net of tax).</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10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right"/>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1"/>
                <w:szCs w:val="11"/>
                <w:color w:val="auto"/>
              </w:rPr>
            </w:pPr>
          </w:p>
        </w:tc>
        <w:tc>
          <w:tcPr>
            <w:tcW w:w="110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right"/>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rPr>
              <w:t>(41,747)</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15,349</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1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rPr>
              <w:t>17,334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(50,719)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Borders>
              <w:top w:val="single" w:sz="8" w:color="auto"/>
              <w:bottom w:val="single" w:sz="8" w:color="auto"/>
            </w:tcBorders>
          </w:tcPr>
          <w:p>
            <w:pPr>
              <w:jc w:val="center"/>
              <w:ind w:left="159"/>
              <w:spacing w:after="0"/>
              <w:rPr>
                <w:sz w:val="20"/>
                <w:szCs w:val="20"/>
                <w:color w:val="auto"/>
              </w:rPr>
            </w:pPr>
            <w:r>
              <w:rPr>
                <w:rFonts w:ascii="Times New Roman" w:cs="Times New Roman" w:eastAsia="Times New Roman" w:hAnsi="Times New Roman"/>
                <w:sz w:val="18"/>
                <w:szCs w:val="18"/>
                <w:color w:val="auto"/>
              </w:rPr>
              <w:t>(24,413)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184"/>
              <w:spacing w:after="0"/>
              <w:rPr>
                <w:sz w:val="20"/>
                <w:szCs w:val="20"/>
                <w:color w:val="auto"/>
              </w:rPr>
            </w:pPr>
            <w:r>
              <w:rPr>
                <w:rFonts w:ascii="Times New Roman" w:cs="Times New Roman" w:eastAsia="Times New Roman" w:hAnsi="Times New Roman"/>
                <w:sz w:val="18"/>
                <w:szCs w:val="18"/>
                <w:color w:val="auto"/>
                <w:w w:val="97"/>
              </w:rPr>
              <w:t>(35,370)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29, 2023, the amounts in the table above exclude the impact of a $5.1 million pension plan adjustment and a $26.3 million currency translation adjustment related to the separation and distribution of the Uniform segment (discussed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w:t>
            </w:r>
          </w:p>
        </w:tc>
      </w:tr>
      <w:tr>
        <w:trPr>
          <w:trHeight w:val="223"/>
        </w:trPr>
        <w:tc>
          <w:tcPr>
            <w:tcW w:w="7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was a foreign currency transaction loss of $0.7 million and $3.9 million during the three month periods ended December 27, 2024 and December 29, 2023, respectively, to the Condensed Consolidated Statements of Income. The impact of foreign currency transaction gains and losses exclusive of Argentina's operations included in the Company's operating results during the three month periods of both fiscal 2025 and 2024 were immaterial to the condensed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insures portions of its risk related to general liability, automobile liability, workers’ compensation liability claims as well as certain property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 risks through a wholly owned captive insurance subsidiary (the "Captive") as part of its approach to risk finance. The Captive is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within its domicile of Bermuda, including regulations established by the Bermuda Monetary Authority (the "BMA") relating to levels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solvency as such concepts are defined by the BMA. The Captive was in compliance with these regulations as of December 27, 2024.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may have the effect of limiting the Company's ability to access certain cash and cash equivalents held by the Captive for uses other than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its general liability, automobile liability, workers' compensation liability, certain property damage and related Captive costs.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2024 and September 27, 2024, cash and cash equivalents at the Captive were $98.7 million and $94.7 million, respectively. The Captive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invests in United States Treasury securities where the amount of these investments as of December 27, 2024 and September 27, 2024 was $42.8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million, respectively, and is recorded in "Prepayments and other current assets" on the Condensed Consolidated Balance Sheets.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long-term receivables, interest rate swaps, investments in 50% or less owned entities and computer software costs.</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December 27, 2024 and September 27, 2024 was $83.8 million and $84.0 million, respectively.</w:t>
      </w:r>
    </w:p>
    <w:p>
      <w:pPr>
        <w:spacing w:after="0" w:line="2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December 27, 2024 and September 27, 2024 was $33.6 million and $35.4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December 27, 2024 and September 27, 2024, the Company had $1.7 million and $2.6 million, respectively, of outstanding payment obligations to the financial institutions as part of the SCF Program recorded in "Accounts payable" on the Condensed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eight years, contain provisions related to residual value guarantees. The maximum potential liability to the Company under such arrangements was approximately $37.8 million at December 27, 2024 if the terminal fair value of vehicles coming off lease was zero. Consistent with past experience, management does not expect any significant payments will be required pursuant to these arrangements. No amounts have been accrued for the guarantee arrangements at December 27,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9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of Aramark Uniform and Career Apparel</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spacing w:after="0" w:line="4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Transition Services Agreement </w:t>
      </w:r>
      <w:r>
        <w:rPr>
          <w:rFonts w:ascii="Times New Roman" w:cs="Times New Roman" w:eastAsia="Times New Roman" w:hAnsi="Times New Roman"/>
          <w:sz w:val="18"/>
          <w:szCs w:val="18"/>
          <w:color w:val="auto"/>
        </w:rPr>
        <w:t>- governs services between the Company and Vestis and their respective affiliates to provide each other on an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transitional basis, various services, including, but not limited to, administrative,</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left="500" w:right="220"/>
        <w:spacing w:after="0" w:line="280" w:lineRule="auto"/>
        <w:rPr>
          <w:sz w:val="20"/>
          <w:szCs w:val="20"/>
          <w:color w:val="auto"/>
        </w:rPr>
      </w:pPr>
      <w:r>
        <w:rPr>
          <w:rFonts w:ascii="Times New Roman" w:cs="Times New Roman" w:eastAsia="Times New Roman" w:hAnsi="Times New Roman"/>
          <w:sz w:val="18"/>
          <w:szCs w:val="18"/>
          <w:color w:val="auto"/>
        </w:rPr>
        <w:t>information technology and cybersecurity support services and certain finance, treasury, tax and governmental function services. The services will terminate no later than 24 months following the distribution date.</w:t>
      </w:r>
    </w:p>
    <w:p>
      <w:pPr>
        <w:spacing w:after="0" w:line="1" w:lineRule="exact"/>
        <w:rPr>
          <w:sz w:val="20"/>
          <w:szCs w:val="20"/>
          <w:color w:val="auto"/>
        </w:rPr>
      </w:pPr>
    </w:p>
    <w:p>
      <w:pPr>
        <w:ind w:left="500" w:right="64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months ended December 27, 2024 and December 29, 2023, the value of the services provided to Vestis were immaterial to the Company's financial statements with no outstanding receivables balance as of December 27, 2024 and September 27, 2024.</w:t>
      </w:r>
    </w:p>
    <w:p>
      <w:pPr>
        <w:spacing w:after="0" w:line="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29, 2023,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spacing w:after="0" w:line="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recorded its distribution of Vestis' net assets as a change in "Retained Earnings." The amount recorded reflected the carrying amounts, as of September 29, 2023, of the net assets distributed offset by the holdback of Vestis shares upon distribution of $8.8 million and $3.6 million of net cash received from Vestis post-separation. The Company also recorded a net decrease to "Accumulated other comprehensive loss" of $31.4 million to derecognize foreign currency translation adjustments and pension plan adjustments which were attributable to Vestis.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OTHER INTANGIBLE ASSETS: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three months ended December 27, 2024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3"/>
                <w:szCs w:val="13"/>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27, 2024</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4,190,766</w:t>
            </w: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647,006</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1,157,596</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intangible assets for the three months ended December 27, 2024 and December 29, 2023 was $28.5 million and $23.9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Billion Revolving Credit Facility due August 2029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A Loans due August 2029</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June 2030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April 2028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January 2027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836,680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February 2028</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1,144,404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April 2025</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550,789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 Senior Unsecured Notes (EUR) due April 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July 2026</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23"/>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5,271,457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(964,286)</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4,307,171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2024, there were $862.2 million of outstanding foreign currency borrowings.</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27, 2024, there were $1,158.1 million of availability under the senior secured revolving credit facility and $75.0 million of availability under the Receivables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5.000% Senior Notes Due April 2025 Redemption Notice</w:t>
      </w:r>
    </w:p>
    <w:p>
      <w:pPr>
        <w:spacing w:after="0" w:line="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January 17, 2025, the Company issued a notice of conditional redemption for the 5.000% Senior Notes due April 2025 (the "5.000% 2025 Notes”). The Company notified holders of the election to redeem the entire $551.5 million aggregate principal amount of the 5.000% 2025 Notes on February 18, 2025, at a redemption price equal to 100.000% of the aggregate principal amount, plus accrued and unpaid interest to the date of redemption.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6.375% Senior Notes due 2025 Repayment</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 2023, the Company fully redeemed the $1,500.0 million 6.375% Senior Notes due May 1, 2025 (the “6.375% 2025 Notes”) in conjunction with the separation and distribution of the Uniform segment (see Note 1). The Company recorded $31.8 million of charges to "Interest Expense, net" in the Condensed Consolidated Statements of Income for the three months ended December 29, 2023,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three months ended December 29,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INSTRUMENTS: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which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approximately $2.3 billion notional amount of outstanding interest rate swap agreements as of December 27, 2024, which fix the rate on a like amount of variable rate borrowings with varying maturities through December of fiscal 2028.</w:t>
      </w:r>
    </w:p>
    <w:p>
      <w:pPr>
        <w:spacing w:after="0" w:line="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December 27, 2024 and September 27, 2024, $49.3 million and $36.5 million, respectively, of unrealized net of tax gains related to the interest rate swaps were included in "Accumulated other comprehensive loss" on the Condensed Consolidated Balance Sheets.</w:t>
      </w:r>
    </w:p>
    <w:p>
      <w:pPr>
        <w:spacing w:after="0" w:line="6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unrealized gain (loss) arising from the Company's derivatives designated as cash flow hedging instruments on Other comprehensive loss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29"/>
        </w:trPr>
        <w:tc>
          <w:tcPr>
            <w:tcW w:w="78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w:t>
            </w:r>
          </w:p>
        </w:tc>
      </w:tr>
    </w:tbl>
    <w:p>
      <w:pPr>
        <w:spacing w:after="0" w:line="103" w:lineRule="exact"/>
        <w:rPr>
          <w:sz w:val="20"/>
          <w:szCs w:val="20"/>
          <w:color w:val="auto"/>
        </w:rPr>
      </w:pPr>
    </w:p>
    <w:p>
      <w:pPr>
        <w:ind w:left="320" w:hanging="294"/>
        <w:spacing w:after="0"/>
        <w:tabs>
          <w:tab w:leader="none" w:pos="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the amounts driven by changes in forward interest rates.</w:t>
      </w:r>
    </w:p>
    <w:p>
      <w:pPr>
        <w:spacing w:after="0" w:line="20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11 for a description of the fair value levels), of the Company's derivatives designated as hedging instruments on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42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r>
    </w:tbl>
    <w:p>
      <w:pPr>
        <w:spacing w:after="0" w:line="2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reclassified from "Accumulated other comprehensive loss" into earnings for derivatives designated as hedging instruments on the Condensed Consolidated Statements of Income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35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27, 2024, the Company has a Euro denominated term loan in the amount of €92.9 million. The term loan was designated as a hedge of the Company's net Euro currency exposure represented by certain holdings in the Company's European affiliates.</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December 27, 2024, the net of tax gain expected to be reclassified from "Accumulated other comprehensive loss" into earnings over the next twelve months based on current market rates is approximately $22.1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RECOGNITION: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1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29"/>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30"/>
        </w:trPr>
        <w:tc>
          <w:tcPr>
            <w:tcW w:w="7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Facilities &amp; Other</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23"/>
        </w:trPr>
        <w:tc>
          <w:tcPr>
            <w:tcW w:w="7700" w:type="dxa"/>
            <w:vAlign w:val="bottom"/>
            <w:shd w:val="clear" w:color="auto" w:fill="CCEEFF"/>
          </w:tcPr>
          <w:p>
            <w:pPr>
              <w:jc w:val="right"/>
              <w:ind w:right="5470"/>
              <w:spacing w:after="0"/>
              <w:rPr>
                <w:sz w:val="20"/>
                <w:szCs w:val="20"/>
                <w:color w:val="auto"/>
              </w:rPr>
            </w:pPr>
            <w:r>
              <w:rPr>
                <w:rFonts w:ascii="Times New Roman" w:cs="Times New Roman" w:eastAsia="Times New Roman" w:hAnsi="Times New Roman"/>
                <w:sz w:val="18"/>
                <w:szCs w:val="18"/>
                <w:color w:val="auto"/>
              </w:rPr>
              <w:t>Total FSS United States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r>
      <w:tr>
        <w:trPr>
          <w:trHeight w:val="270"/>
        </w:trPr>
        <w:tc>
          <w:tcPr>
            <w:tcW w:w="7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r>
      <w:tr>
        <w:trPr>
          <w:trHeight w:val="230"/>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r>
      <w:tr>
        <w:trPr>
          <w:trHeight w:val="223"/>
        </w:trPr>
        <w:tc>
          <w:tcPr>
            <w:tcW w:w="7700" w:type="dxa"/>
            <w:vAlign w:val="bottom"/>
          </w:tcPr>
          <w:p>
            <w:pPr>
              <w:jc w:val="right"/>
              <w:ind w:right="5470"/>
              <w:spacing w:after="0"/>
              <w:rPr>
                <w:sz w:val="20"/>
                <w:szCs w:val="20"/>
                <w:color w:val="auto"/>
              </w:rPr>
            </w:pPr>
            <w:r>
              <w:rPr>
                <w:rFonts w:ascii="Times New Roman" w:cs="Times New Roman" w:eastAsia="Times New Roman" w:hAnsi="Times New Roman"/>
                <w:sz w:val="18"/>
                <w:szCs w:val="18"/>
                <w:color w:val="auto"/>
              </w:rPr>
              <w:t>Total FSS International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70"/>
        </w:trPr>
        <w:tc>
          <w:tcPr>
            <w:tcW w:w="77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4,407.8</w:t>
            </w:r>
          </w:p>
        </w:tc>
      </w:tr>
      <w:tr>
        <w:trPr>
          <w:trHeight w:val="21"/>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spacing w:after="0" w:line="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27, 2024, deferred income increased related to customer prepayments and decreased related to income recognized during the period as a result of satisfying the performance obligation or return of funds related to non-performance. For the three months ended December 27, 2024, the Company recognized $224.3 million of revenue that was included in deferred income at the beginning of the period. Deferred income balances are summarized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29, 2023, the Company recorded a valuation allowance adjustment to the "Provision for Income Taxes" on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w:t>
      </w:r>
    </w:p>
    <w:p>
      <w:pPr>
        <w:spacing w:after="0" w:line="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2021,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Guided by the OECD framework, more than 140 countries have agreed to enact Pillar Two legislation. The Company currently operates in several countries which will be subject to Pillar Two. In certain countries that have enacted legislation incorporating the global minimum tax, the legislation became effective for the Company at the beginning of fiscal 2025. There was no material impact on the condensed consolidated financial statements. The Company is continuing to monitor and evaluate the potential impact of newly enacted legislation incorporating the global minimum tax in additional countries and does not anticipate the impact will be material.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94"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On January 24, 2025, a $0.105 dividend per share of common stock was declared, payable on February 24, 2025, to stockholders of record on the close of business on February 10, 2025.</w:t>
      </w:r>
    </w:p>
    <w:p>
      <w:pPr>
        <w:spacing w:after="0" w:line="2"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The share repurchase program does not have a fixed expiration date and may be terminated at any time. During the three months ended December 27, 2024, the Company repurchased 24,743 shares of its common stock for $0.9 million.</w:t>
      </w:r>
    </w:p>
    <w:p>
      <w:pPr>
        <w:spacing w:after="0" w:line="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December 27, 2024 and September 27, 2024, zero shares of preferred stock were issued or outstanding.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262,053</w:t>
            </w:r>
          </w:p>
        </w:tc>
      </w:tr>
      <w:tr>
        <w:trPr>
          <w:trHeight w:val="230"/>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3"/>
        </w:trPr>
        <w:tc>
          <w:tcPr>
            <w:tcW w:w="7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264,287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shares that were outstanding but were not included in the diluted earnings per common share (in millions):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29"/>
        </w:trPr>
        <w:tc>
          <w:tcPr>
            <w:tcW w:w="7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Share-based awards</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r>
              <w:rPr>
                <w:rFonts w:ascii="Times New Roman" w:cs="Times New Roman" w:eastAsia="Times New Roman" w:hAnsi="Times New Roman"/>
                <w:sz w:val="23"/>
                <w:szCs w:val="23"/>
                <w:color w:val="auto"/>
                <w:vertAlign w:val="superscript"/>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15" w:lineRule="exact"/>
        <w:rPr>
          <w:sz w:val="20"/>
          <w:szCs w:val="20"/>
          <w:color w:val="auto"/>
        </w:rPr>
      </w:pPr>
    </w:p>
    <w:p>
      <w:pPr>
        <w:ind w:left="320" w:hanging="294"/>
        <w:spacing w:after="0"/>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awards were not included in the computation of diluted earnings per common share, as their effect would have been antidilutive.</w:t>
      </w:r>
    </w:p>
    <w:p>
      <w:pPr>
        <w:spacing w:after="0" w:line="26" w:lineRule="exact"/>
        <w:rPr>
          <w:rFonts w:ascii="Times New Roman" w:cs="Times New Roman" w:eastAsia="Times New Roman" w:hAnsi="Times New Roman"/>
          <w:sz w:val="13"/>
          <w:szCs w:val="13"/>
          <w:color w:val="auto"/>
        </w:rPr>
      </w:pPr>
    </w:p>
    <w:p>
      <w:pPr>
        <w:ind w:left="320" w:hanging="294"/>
        <w:spacing w:after="0"/>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stock units were not included in the computation of diluted earnings per common share, as the performance targets were not yet met.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results and outlook. The lawsuit seeks unspecified damages and other relief. On November 22, 2024, the complaint was amended to add the Company and its Chief Executive Officer as additional defendants. The Company intends to vigorously defend this matter.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reports its operating results in two reportable segments: FSS United States and FSS International. The Company defines its segments as those operations whose results the chief operating decision maker, identified as the Chief Executive Officer, regularly reviews to analyze performance and allocate resources. Generally, on an annual basis, approximately 84% of the global revenue is related to food services and 16% is related to facilities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is as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top w:val="single" w:sz="8" w:color="auto"/>
            </w:tcBorders>
            <w:shd w:val="clear" w:color="auto" w:fill="CCEEFF"/>
          </w:tcPr>
          <w:p>
            <w:pPr>
              <w:spacing w:after="0"/>
              <w:rPr>
                <w:sz w:val="20"/>
                <w:szCs w:val="20"/>
                <w:color w:val="auto"/>
              </w:rPr>
            </w:pPr>
          </w:p>
        </w:tc>
        <w:tc>
          <w:tcPr>
            <w:tcW w:w="7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20" w:type="dxa"/>
            <w:vAlign w:val="bottom"/>
            <w:tcBorders>
              <w:top w:val="single" w:sz="8" w:color="auto"/>
            </w:tcBorders>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0" w:type="dxa"/>
            <w:vAlign w:val="bottom"/>
          </w:tcPr>
          <w:p>
            <w:pPr>
              <w:spacing w:after="0"/>
              <w:rPr>
                <w:sz w:val="2"/>
                <w:szCs w:val="2"/>
                <w:color w:val="auto"/>
              </w:rPr>
            </w:pPr>
          </w:p>
        </w:tc>
        <w:tc>
          <w:tcPr>
            <w:tcW w:w="7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7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Corporate includes general expenses not specifically allocated to an individual segment and share-based compensation expense for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Before Income Taxes</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OF FINANCIAL ASSETS AND FINANCIAL LIABILITIES: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90"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8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accounts payable, borrowings and derivatives. Management believes that the carrying value of cash and cash equivalents, marketable securities,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December 27, 2024 and September 27, 2024 was $5,926.9 million and $5,300.7 million, respectively. The carrying value of the Company's debt at December 27, 2024 and September 27, 2024 was $5,919.8 million and $5,271.5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the Company recorded a contingent consideration obligation. During the three months ended December 27, 2024, the Company adjusted the contingent consideration liability, resulting in expense of $11.1 million, which is included in "Cost of services provided (exclusive of depreciation and amortization)" on the Condensed Consolidated Statements of Income. The earnout period has ended and the contingent consideration liability at December 27, 2024 and September 27, 2024 was $11.1 million and zero, respectively. The contingent consideration liability is expected to be fully paid out in the second quarter of fiscal 2025.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months ended December 27, 2024 and December 29, 2023 should be read in conjunction with our audited consolidated financial statements and the notes to those statements for the fiscal year ended September 27, 2024 included in our Annual Report on Form 10-K, filed with the Securities and Exchange Commission (the "SEC") on November 19, 2024.</w:t>
      </w:r>
    </w:p>
    <w:p>
      <w:pPr>
        <w:spacing w:after="0" w:line="5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geographic reportable segments: Food and Support Services United States ("FSS United States") and Food and Support Services International ("FSS International").</w:t>
      </w:r>
    </w:p>
    <w:p>
      <w:pPr>
        <w:spacing w:after="0" w:line="1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see improving macroeconomic trends where global inflationary costs in product, energy and labor have moderated. In addition, we continue to see elevated market interest rates and volatility in foreign currencies. We expect these conditions to continue in the near-term, and we regularly evaluate and believe we take appropriate actions to mitigate risk in these areas. These actions include management of operating costs, including supply chain initiatives and pricing actions, and managing interest rate risk through the use of interest rate swaps.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 ending October 3, 2025 is a fifty-three week period and the fiscal year ended September 27, 2024 is a fifty-two week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months ended December 27, 2024 and December 29, 2023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meaningful</w:t>
      </w:r>
    </w:p>
    <w:p>
      <w:pPr>
        <w:spacing w:after="0" w:line="89" w:lineRule="exact"/>
        <w:rPr>
          <w:sz w:val="20"/>
          <w:szCs w:val="20"/>
          <w:color w:val="auto"/>
        </w:rPr>
      </w:pPr>
    </w:p>
    <w:p>
      <w:pPr>
        <w:ind w:right="240" w:firstLine="8"/>
        <w:spacing w:after="0" w:line="30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72.5% and 72.9% and FSS International represented 27.5% and 27.1% for the three months ended December 27, 2024 and December 29, 2023,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Revenue increased by approximately 3.3% during the three month period of fiscal 2025 compared to the prior year period. The increase during this period was primarily attributable to base business growth, including volume growth and contract price increases, partially offset by the negative impact of foreign currency translation (1.4%).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months ended December 27, 2024 and December 29, 2023 (in millions).</w:t>
      </w: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300" w:type="dxa"/>
            <w:vAlign w:val="bottom"/>
          </w:tcPr>
          <w:p>
            <w:pPr>
              <w:spacing w:after="0"/>
              <w:rPr>
                <w:sz w:val="16"/>
                <w:szCs w:val="16"/>
                <w:color w:val="auto"/>
              </w:rPr>
            </w:pPr>
          </w:p>
        </w:tc>
        <w:tc>
          <w:tcPr>
            <w:tcW w:w="216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19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r>
      <w:tr>
        <w:trPr>
          <w:trHeight w:val="23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94.2 %</w:t>
            </w: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months ended December 27, 2024 and December 29, 2023.</w:t>
      </w: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8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gridSpan w:val="2"/>
            <w:vMerge w:val="continue"/>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0" w:type="dxa"/>
            <w:vAlign w:val="bottom"/>
          </w:tcPr>
          <w:p>
            <w:pPr>
              <w:spacing w:after="0"/>
              <w:rPr>
                <w:sz w:val="1"/>
                <w:szCs w:val="1"/>
                <w:color w:val="auto"/>
              </w:rPr>
            </w:pPr>
          </w:p>
        </w:tc>
      </w:tr>
      <w:tr>
        <w:trPr>
          <w:trHeight w:val="229"/>
        </w:trPr>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 costs</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increased by $50.3 million during the three month period of fiscal 2025 compared to the prior year period driven by base business volume growth, cost management and improved supply chain economics. The increase in operating income was also attributable to prior year expenses related to the separation and distribution of the Uniform segment ($29.0 million), which was partially offset by higher contingent consideration expenses as compared to the prior year period ($10.6 million).</w:t>
      </w:r>
    </w:p>
    <w:p>
      <w:pPr>
        <w:spacing w:after="0" w:line="4"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Interest Expense, net, decreased by 33.8% during the three month period of fiscal 2025 compared to the prior year period. The decrease was primarily due to the prior year payment of a $23.9 million call premium, a prior year $7.9 million non-cash loss for the write-off of unamortized deferred financing costs related to the repayment of the 6.375% Senior Notes due May 1, 2025 (the "6.375% 2025 Notes") and lower Receivables Facility borrowings.</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 periods of fiscal 2025 and fiscal 2024 were recorded at an effective tax rate of 25.3% and 45.6%, respectively. During the three month period of fiscal 2024, we recorded a $7.1 million valuation allowance adjustment against certain foreign tax credits, as it is more likely than not a tax benefit will not be realized due to the reduction of future forecasted foreign income as a result of the separation and distribution of the Uniform segment (see Note 6 to the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0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702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FSS United States segment revenue increased by approximately 2.7% during the three month period of fiscal 2025 compared to the prior year period. The increase was primarily attributable to base business growth, including volume growth and contract price increases. The Business &amp; Industry increase was primarily due to net new business and higher volumes in base business. The Facilities &amp; Other decrease was due to the exit of some lower margin accounts occurring later in fiscal 2024.</w:t>
      </w:r>
    </w:p>
    <w:p>
      <w:pPr>
        <w:spacing w:after="0" w:line="6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Operating income increased by $18.9 million during the three month period of fiscal 2025 compared to the prior year period. The increase was primarily attributable to base business volume growth, cost management, and improved supply chain economics, which was partially offset by higher contingent consideration expenses as compared to the prior year period ($10.6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4.7% during the three month period of fiscal 2025 compared to the prior year period. The increase was primarily attributable to base business growth, including volume growth and contract price increases, and net new business growth, partially offset by the negative impact of foreign currency translation (5.1%).</w:t>
      </w:r>
    </w:p>
    <w:p>
      <w:pPr>
        <w:spacing w:after="0" w:line="4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Operating income increased by $7.4 million during the three month period of fiscal 2025 compared to the prior year period. The increase was mainly attributable to the volume growth in base business, net new business, cost management, improved supply chain economics and lower currency translation losses from Argentina hyperinflation ($3.2 million) (see Note 1 to the condensed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decreased by $24.0 million during the three month period of fiscal 2025 compared to the prior year period. The decrease was mainly attributable to prior year expenses related to the separation and distribution of the Uniform segment ($29.0 million), partially offset by increases in acquisition costs and share-based compensation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27, 2024, we had $484.1 million of cash and cash equivalents, $42.8 million of marketable securities, $1,158.1 million of availability under our senior secured revolving credit facility and $75.0 million of availability under our Receivables Facility. A significant portion of our cash and cash equivalents are held in mature, liquid geographies where we have operations. As of December 27, 2024, we had $862.2 million of outstanding foreign currency borrowings.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17, 2025, we issued a notice of conditional redemption for the 5.000% Senior Notes due April 2025 (the “5.000% 2025 Notes”). We notified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election to redeem the entire $551.5 million aggregate principal amount of the 5.000% 2025 Notes on February 18, 2025, at a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equal to 100.000% of the aggregate principal amount, plus accrued and unpaid interest up to the redemption date. In connection with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completed a syndication process for new United States dollar denominated term loans due June 2030 in an aggregate principal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$1,395.0 million (the “New United States Term B-8 Loans”), which shall be in the form of a fungible upsize to our existing United States Term B-8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2030. We anticipate that the New United States Term B-8 Loans will be incurred on February 18, 2025 concurrent with the redemption of the 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Notes, with the remaining proceeds following the redemption to be used to refinance existing term loans and pay related fees and expenses.</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19,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29, 2023</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(587.2)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48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w w:val="98"/>
              </w:rPr>
              <w:t>(230.8)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8"/>
              </w:rPr>
              <w:t>642.7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Condensed Consolidated Statements of Cash Flows will facilitate understanding of the discussion that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decreased by $69.9 million during the three month period of fiscal 2025 compared to the prior year period. The higher net income and a lower use of cash from the change in operating assets and liabilities more than offset non-cash gains and losses and adjustments to non-operating cash transactions compared to the prior year period. The favorable change in operating assets and liabilities compared to the prior year period of $23.7 million was primarily due to:</w:t>
      </w:r>
    </w:p>
    <w:p>
      <w:pPr>
        <w:spacing w:after="0" w:line="58" w:lineRule="exact"/>
        <w:rPr>
          <w:sz w:val="20"/>
          <w:szCs w:val="20"/>
          <w:color w:val="auto"/>
        </w:rPr>
      </w:pPr>
    </w:p>
    <w:p>
      <w:pPr>
        <w:ind w:left="660" w:right="2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$77.0 million, resulting in a lower use of cash primarily due to the timing of interest and income tax payments, lower recognition of deferred income in our Higher Education business, partially offset by higher employee incentive payments, the timing of payroll and higher commission payments mainly in our Sports business;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$49.5 million, resulting in a lower use of cash due to the timing of collections.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1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Accounts payable by $80.7 million, resulting in a higher use of cash due to the timing of disbursements; and</w:t>
      </w:r>
    </w:p>
    <w:p>
      <w:pPr>
        <w:spacing w:after="0" w:line="94" w:lineRule="exact"/>
        <w:rPr>
          <w:rFonts w:ascii="Times New Roman" w:cs="Times New Roman" w:eastAsia="Times New Roman" w:hAnsi="Times New Roman"/>
          <w:sz w:val="20"/>
          <w:szCs w:val="20"/>
          <w:i w:val="1"/>
          <w:iCs w:val="1"/>
          <w:color w:val="212529"/>
        </w:rPr>
      </w:pPr>
    </w:p>
    <w:p>
      <w:pPr>
        <w:ind w:left="640" w:hanging="308"/>
        <w:spacing w:after="0"/>
        <w:tabs>
          <w:tab w:leader="none" w:pos="640" w:val="left"/>
        </w:tabs>
        <w:numPr>
          <w:ilvl w:val="0"/>
          <w:numId w:val="8"/>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Inventories by $19.4 million, resulting in a lower source of cash due to increased purchases from new business.</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"Other operating activities" caption in both periods reflect adjustments to net income in the current year and prior year periods related to non-cash gains and losses and adjustments to non-operating cash transactions.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were $32.9 million higher during the three month period of fiscal 2025 compared to the prior year period primarily due to higher investment in the acquisitions of certain businesses ($28.1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10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During the three month period of fiscal 2025, cash provided by financing activities was primarily impacted by borrowings under the Receivables Facility ($525.0 million) and borrowings under the revolving credit facility ($178.4 million).</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 period of fiscal 2024, cash used in financing activities was primarily impacted by repayment of the 6.375% 2025 Notes ($1,500.0 million), which was offset by borrowings under the Receivables Facility ($600.0 million) and borrowings under the revolving credit facility ($209.7 million).</w:t>
      </w:r>
    </w:p>
    <w:p>
      <w:pPr>
        <w:spacing w:after="0" w:line="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three month periods of fiscal 2025 and fiscal 2024 primarily related to taxes paid by us when we withhold shares upon an employee's exercise or vesting of equity awards to cover income taxes. The three month period of fiscal 2024 also includes the payment of a call premium on the 6.375% 2025 Notes ($23.9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27, 2024, we were in compliance with these covenants.</w:t>
      </w:r>
    </w:p>
    <w:p>
      <w:pPr>
        <w:spacing w:after="0" w:line="6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r>
      <w:tr>
        <w:trPr>
          <w:trHeight w:val="18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December 27, 2024</w:t>
            </w:r>
          </w:p>
        </w:tc>
      </w:tr>
      <w:tr>
        <w:trPr>
          <w:trHeight w:val="230"/>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29"/>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29"/>
        </w:trPr>
        <w:tc>
          <w:tcPr>
            <w:tcW w:w="9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4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or non-recurring (gains) and losses</w:t>
            </w:r>
            <w:r>
              <w:rPr>
                <w:rFonts w:ascii="Times New Roman" w:cs="Times New Roman" w:eastAsia="Times New Roman" w:hAnsi="Times New Roman"/>
                <w:sz w:val="9"/>
                <w:szCs w:val="9"/>
                <w:color w:val="auto"/>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(4)</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8"/>
        </w:trPr>
        <w:tc>
          <w:tcPr>
            <w:tcW w:w="9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Covenant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400" w:hanging="492"/>
        <w:spacing w:after="0" w:line="282" w:lineRule="auto"/>
        <w:tabs>
          <w:tab w:leader="none" w:pos="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stock appreciation rights, restricted stock units, performance stock units and deferred stock unit awards.</w:t>
      </w:r>
    </w:p>
    <w:p>
      <w:pPr>
        <w:spacing w:after="0" w:line="40"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2024 gain from the sale of our remaining equity investment in the San Antonio Spurs NBA franchise ($25.1 million) and the fiscal 2024 non-cash charge for the impairment of certain assets related to a business that was sold ($2.3 million).</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and divestitures made during the period.</w:t>
      </w:r>
    </w:p>
    <w:p>
      <w:pPr>
        <w:spacing w:after="0" w:line="90" w:lineRule="exact"/>
        <w:rPr>
          <w:rFonts w:ascii="Times New Roman" w:cs="Times New Roman" w:eastAsia="Times New Roman" w:hAnsi="Times New Roman"/>
          <w:sz w:val="18"/>
          <w:szCs w:val="18"/>
          <w:color w:val="auto"/>
        </w:rPr>
      </w:pPr>
    </w:p>
    <w:p>
      <w:pPr>
        <w:ind w:left="500" w:right="60" w:hanging="492"/>
        <w:spacing w:after="0" w:line="256" w:lineRule="auto"/>
        <w:tabs>
          <w:tab w:leader="none" w:pos="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adjustments to remove the impact attributable to the adoption of certain accounting standards that are made to the calculation in accordance with the Credit Agreement and indentures ($52.3 million), non-cash adjustments to inventory based on expected usage ($18.2 million), charges related to a ruling on a foreign tax matter ($6.8 million), severance charges ($6.7 million), non-cash charges related to the impairment of a trade name ($3.3 million), contingent consideration expense related to acquisition earn outs, net of reversals ($2.4 million), the impact of hyperinflation in Argentina ($2.2 million), income related to non-United States governmental wage subsidies ($1.1 million) and other miscellaneous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twelve months ended December 27, 2024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4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8"/>
        </w:trPr>
        <w:tc>
          <w:tcPr>
            <w:tcW w:w="4880" w:type="dxa"/>
            <w:vAlign w:val="bottom"/>
            <w:tcBorders>
              <w:top w:val="single" w:sz="8" w:color="CCEEFF"/>
            </w:tcBorders>
            <w:shd w:val="clear" w:color="auto" w:fill="CCEEFF"/>
          </w:tcPr>
          <w:p>
            <w:pPr>
              <w:ind w:left="60"/>
              <w:spacing w:after="0" w:line="228"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28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2.58x</w:t>
            </w:r>
          </w:p>
        </w:tc>
      </w:tr>
      <w:tr>
        <w:trPr>
          <w:trHeight w:val="30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2820" w:type="dxa"/>
            <w:vAlign w:val="bottom"/>
          </w:tcPr>
          <w:p>
            <w:pPr>
              <w:spacing w:after="0"/>
              <w:rPr>
                <w:sz w:val="24"/>
                <w:szCs w:val="24"/>
                <w:color w:val="auto"/>
              </w:rPr>
            </w:pPr>
          </w:p>
        </w:tc>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2.000x</w:t>
            </w:r>
          </w:p>
        </w:tc>
        <w:tc>
          <w:tcPr>
            <w:tcW w:w="172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3.95x</w:t>
            </w:r>
          </w:p>
        </w:tc>
      </w:tr>
      <w:tr>
        <w:trPr>
          <w:trHeight w:val="828"/>
        </w:trPr>
        <w:tc>
          <w:tcPr>
            <w:tcW w:w="4880" w:type="dxa"/>
            <w:vAlign w:val="bottom"/>
          </w:tcPr>
          <w:p>
            <w:pPr>
              <w:spacing w:after="0"/>
              <w:rPr>
                <w:sz w:val="24"/>
                <w:szCs w:val="24"/>
                <w:color w:val="auto"/>
              </w:rPr>
            </w:pPr>
          </w:p>
        </w:tc>
        <w:tc>
          <w:tcPr>
            <w:tcW w:w="282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9"/>
        </w:trPr>
        <w:tc>
          <w:tcPr>
            <w:tcW w:w="488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40" w:hanging="492"/>
        <w:spacing w:after="0" w:line="254"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spacing w:after="0" w:line="56"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certain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certain specified exceptions, and (2) make certain restricted payments, other than pursuant to certain specified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w:t>
      </w:r>
    </w:p>
    <w:p>
      <w:pPr>
        <w:spacing w:after="0" w:line="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December 27, 2024.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December 27, 2024 and September 27, 2024, cash and cash equivalents at the Captive were $98.7 million and $94.7 million, respectively. The Captive also invests in United States Treasury securities where the amount as of December 27, 2024 and September 27, 2024 was $42.8 million and $42.3 million, respectively, and is recorded in "Prepayments and other current assets" on the Condensed Consolidated Balance Sheets.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our Annual Report on Form 10-K, filed with the SEC on November 19, 2024. For a more complete discussion of the critical accounting policies and estimates that we have identified in the preparation of our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refer to our Management's Discussion and Analysis of Financial Condition and Results of Operations included in our Annual Report on Form 10-K, filed with the SEC on November 19, 2024.</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December 27, 2024 has not materially changed from September 27, 2024 (see Part II, Item 7A "Quantitative and Qualitative Disclosure About Market Risk" in our Annual Report on Form 10-K for the fiscal year ended September 27, 2024 filed with the SEC on November 19, 2024). See Note 3 to the condensed consolidated financial statements related to the changes in our debt levels. See Note 4 to the condensed consolidated financial statements for a discussion of our derivative instruments and Note 11 for the disclosure of the fair value and related carrying value of our debt obligations as of December 27, 2024.</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first quarter of fiscal 2025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ESG-related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27,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the condensed consolidated financial statements.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September 27, 2024 filed with the SEC on November 19, 2024.</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December 27, 2024 was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28, 2024 to October 25,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26, 2024 to November 22,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23, 2024 to December 27, 2024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of Shares (or</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That May Yet</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8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175"/>
        </w:trPr>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80" w:type="dxa"/>
            <w:vAlign w:val="bottom"/>
          </w:tcPr>
          <w:p>
            <w:pPr>
              <w:spacing w:after="0"/>
              <w:rPr>
                <w:sz w:val="15"/>
                <w:szCs w:val="15"/>
                <w:color w:val="auto"/>
              </w:rPr>
            </w:pPr>
          </w:p>
        </w:tc>
        <w:tc>
          <w:tcPr>
            <w:tcW w:w="17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 Share (or Units)</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55"/>
              <w:spacing w:after="0" w:line="17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75"/>
        </w:trPr>
        <w:tc>
          <w:tcPr>
            <w:tcW w:w="16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Plans or Programs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8"/>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499,073</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-333375</wp:posOffset>
            </wp:positionV>
            <wp:extent cx="71151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-633730</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3660" w:space="720"/>
            <w:col w:w="6860"/>
          </w:cols>
          <w:pgMar w:left="320" w:top="175" w:right="339" w:bottom="1440" w:gutter="0" w:footer="0" w:header="0"/>
          <w:type w:val="continuous"/>
        </w:sectPr>
      </w:pPr>
    </w:p>
    <w:p>
      <w:pPr>
        <w:ind w:right="80" w:firstLine="8"/>
        <w:spacing w:after="0" w:line="271"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5, 2024, our Board of Directors approved a share repurchase program under which we are authorized to repurchase up to $500.0 million of our outstanding common stock. The share repurchase program does not have a fixed expiration date and may be terminated at any time.</w:t>
      </w: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2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line="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27, 2024,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4, 2025.</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9" w:name="page30"/>
    <w:bookmarkEnd w:id="29"/>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20955</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1"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James J. Tarangelo, Chief Financial Officer, pursuant to Section 302 of the Sarbanes-Oxley Act of 2002.</w:t>
      </w:r>
    </w:p>
    <w:p>
      <w:pPr>
        <w:spacing w:after="0" w:line="23" w:lineRule="exact"/>
        <w:rPr>
          <w:sz w:val="20"/>
          <w:szCs w:val="20"/>
          <w:color w:val="auto"/>
        </w:rPr>
      </w:pPr>
    </w:p>
    <w:p>
      <w:pPr>
        <w:ind w:left="900" w:right="260" w:hanging="548"/>
        <w:spacing w:after="0" w:line="234"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James J. Tarangelo, Chief Financial Officer, pursuant to Section 906 of the Sarbanes-Oxley Act of 2002.</w:t>
      </w:r>
    </w:p>
    <w:p>
      <w:pPr>
        <w:spacing w:after="0" w:line="10" w:lineRule="exact"/>
        <w:rPr>
          <w:sz w:val="20"/>
          <w:szCs w:val="20"/>
          <w:color w:val="auto"/>
        </w:rPr>
      </w:pPr>
    </w:p>
    <w:p>
      <w:pPr>
        <w:ind w:left="900" w:right="40" w:hanging="408"/>
        <w:spacing w:after="0" w:line="217" w:lineRule="auto"/>
        <w:tabs>
          <w:tab w:leader="none" w:pos="900"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December 27, 2024 formatted in inline XBRL: (i) Condensed Consolidated Balance Sheets as of December 27, 2024 and September 27, 2024; (ii) Condensed Consolidated Statements of Income for the three months ended December 27, 2024 and December 29, 2023; (iii) Condensed Consolidated Statements of Comprehensive Income for the three months ended December 27, 2024 and December 29, 2023; (iv) Condensed Consolidated Statements of Cash Flows for the three months ended December 27, 2024 and December 29, 2023; (v) Condensed Consolidated Statements of Stockholders' Equity for the three months ended December 27, 2024 and December 29, 2023; and (vi) Notes to condensed consolidated financial statements.</w:t>
      </w:r>
    </w:p>
    <w:p>
      <w:pPr>
        <w:spacing w:after="0" w:line="4" w:lineRule="exact"/>
        <w:rPr>
          <w:sz w:val="20"/>
          <w:szCs w:val="20"/>
          <w:color w:val="auto"/>
        </w:rPr>
      </w:pPr>
    </w:p>
    <w:p>
      <w:pPr>
        <w:ind w:left="140" w:right="1100" w:firstLine="352"/>
        <w:spacing w:after="0" w:line="380" w:lineRule="auto"/>
        <w:tabs>
          <w:tab w:leader="none" w:pos="9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102" w:lineRule="exact"/>
        <w:rPr>
          <w:sz w:val="20"/>
          <w:szCs w:val="20"/>
          <w:color w:val="auto"/>
        </w:rPr>
      </w:pPr>
    </w:p>
    <w:p>
      <w:pPr>
        <w:ind w:left="140"/>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520" w:top="1359" w:right="4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27, 2024;</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ectPr>
          <w:pgSz w:w="11900" w:h="16838" w:orient="portrait"/>
          <w:cols w:equalWidth="0" w:num="1">
            <w:col w:w="11240"/>
          </w:cols>
          <w:pgMar w:left="320" w:top="104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Tarangelo, Senior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December 27, 2024;</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wp:posOffset>
            </wp:positionV>
            <wp:extent cx="3000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ind w:left="1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December 27, 2024,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4, 2025</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2025-02-04T15:41:53Z</dcterms:created>
  <dcterms:modified xsi:type="dcterms:W3CDTF">2025-02-04T15:41:53Z</dcterms:modified>
</cp:coreProperties>
</file>