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December 28, 2018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257810</wp:posOffset>
            </wp:positionV>
            <wp:extent cx="247015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1900" w:type="dxa"/>
        <w:tblCellMar>
          <w:top w:w="0" w:type="dxa"/>
          <w:left w:w="0" w:type="dxa"/>
          <w:bottom w:w="0" w:type="dxa"/>
          <w:right w:w="0" w:type="dxa"/>
        </w:tblCellMar>
      </w:tblPr>
      <w:tr>
        <w:trPr>
          <w:trHeight w:val="421"/>
        </w:trPr>
        <w:tc>
          <w:tcPr>
            <w:tcW w:w="5780" w:type="dxa"/>
            <w:vAlign w:val="bottom"/>
          </w:tcPr>
          <w:p>
            <w:pPr>
              <w:jc w:val="center"/>
              <w:ind w:left="1752"/>
              <w:spacing w:after="0"/>
              <w:rPr>
                <w:sz w:val="20"/>
                <w:szCs w:val="20"/>
                <w:color w:val="auto"/>
              </w:rPr>
            </w:pPr>
            <w:r>
              <w:rPr>
                <w:rFonts w:ascii="Arial" w:cs="Arial" w:eastAsia="Arial" w:hAnsi="Arial"/>
                <w:sz w:val="32"/>
                <w:szCs w:val="32"/>
                <w:b w:val="1"/>
                <w:bCs w:val="1"/>
                <w:color w:val="auto"/>
              </w:rPr>
              <w:t>Aramark</w:t>
            </w:r>
          </w:p>
        </w:tc>
        <w:tc>
          <w:tcPr>
            <w:tcW w:w="1380" w:type="dxa"/>
            <w:vAlign w:val="bottom"/>
          </w:tcPr>
          <w:p>
            <w:pPr>
              <w:spacing w:after="0"/>
              <w:rPr>
                <w:sz w:val="24"/>
                <w:szCs w:val="24"/>
                <w:color w:val="auto"/>
              </w:rPr>
            </w:pPr>
          </w:p>
        </w:tc>
      </w:tr>
      <w:tr>
        <w:trPr>
          <w:trHeight w:val="203"/>
        </w:trPr>
        <w:tc>
          <w:tcPr>
            <w:tcW w:w="5780" w:type="dxa"/>
            <w:vAlign w:val="bottom"/>
          </w:tcPr>
          <w:p>
            <w:pPr>
              <w:jc w:val="center"/>
              <w:ind w:left="1752"/>
              <w:spacing w:after="0"/>
              <w:rPr>
                <w:sz w:val="20"/>
                <w:szCs w:val="20"/>
                <w:color w:val="auto"/>
              </w:rPr>
            </w:pPr>
            <w:r>
              <w:rPr>
                <w:rFonts w:ascii="Arial" w:cs="Arial" w:eastAsia="Arial" w:hAnsi="Arial"/>
                <w:sz w:val="14"/>
                <w:szCs w:val="14"/>
                <w:color w:val="auto"/>
                <w:w w:val="93"/>
              </w:rPr>
              <w:t>(Exact name of registrant as specified in its charter)</w:t>
            </w:r>
          </w:p>
        </w:tc>
        <w:tc>
          <w:tcPr>
            <w:tcW w:w="1380" w:type="dxa"/>
            <w:vAlign w:val="bottom"/>
          </w:tcPr>
          <w:p>
            <w:pPr>
              <w:spacing w:after="0"/>
              <w:rPr>
                <w:sz w:val="17"/>
                <w:szCs w:val="17"/>
                <w:color w:val="auto"/>
              </w:rPr>
            </w:pPr>
          </w:p>
        </w:tc>
      </w:tr>
      <w:tr>
        <w:trPr>
          <w:trHeight w:val="255"/>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1"/>
              </w:rPr>
              <w:t>Delaware</w:t>
            </w:r>
          </w:p>
        </w:tc>
        <w:tc>
          <w:tcPr>
            <w:tcW w:w="1380" w:type="dxa"/>
            <w:vAlign w:val="bottom"/>
          </w:tcPr>
          <w:p>
            <w:pPr>
              <w:jc w:val="right"/>
              <w:ind w:right="161"/>
              <w:spacing w:after="0"/>
              <w:rPr>
                <w:sz w:val="20"/>
                <w:szCs w:val="20"/>
                <w:color w:val="auto"/>
              </w:rPr>
            </w:pPr>
            <w:r>
              <w:rPr>
                <w:rFonts w:ascii="Arial" w:cs="Arial" w:eastAsia="Arial" w:hAnsi="Arial"/>
                <w:sz w:val="18"/>
                <w:szCs w:val="18"/>
                <w:b w:val="1"/>
                <w:bCs w:val="1"/>
                <w:color w:val="auto"/>
              </w:rPr>
              <w:t>20-8236097</w:t>
            </w:r>
          </w:p>
        </w:tc>
      </w:tr>
      <w:tr>
        <w:trPr>
          <w:trHeight w:val="184"/>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5"/>
              </w:rPr>
              <w:t>(State or other jurisdiction of</w:t>
            </w:r>
          </w:p>
        </w:tc>
        <w:tc>
          <w:tcPr>
            <w:tcW w:w="1380" w:type="dxa"/>
            <w:vAlign w:val="bottom"/>
          </w:tcPr>
          <w:p>
            <w:pPr>
              <w:jc w:val="center"/>
              <w:spacing w:after="0"/>
              <w:rPr>
                <w:sz w:val="20"/>
                <w:szCs w:val="20"/>
                <w:color w:val="auto"/>
              </w:rPr>
            </w:pPr>
            <w:r>
              <w:rPr>
                <w:rFonts w:ascii="Arial" w:cs="Arial" w:eastAsia="Arial" w:hAnsi="Arial"/>
                <w:sz w:val="14"/>
                <w:szCs w:val="14"/>
                <w:color w:val="auto"/>
                <w:w w:val="95"/>
              </w:rPr>
              <w:t>(I.R.S. Employer</w:t>
            </w:r>
          </w:p>
        </w:tc>
      </w:tr>
      <w:tr>
        <w:trPr>
          <w:trHeight w:val="182"/>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4"/>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color w:val="auto"/>
                <w:w w:val="97"/>
              </w:rPr>
              <w:t>Identification Number)</w:t>
            </w:r>
          </w:p>
        </w:tc>
      </w:tr>
      <w:tr>
        <w:trPr>
          <w:trHeight w:val="237"/>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3"/>
              </w:rPr>
              <w:t>2400 Market Street</w:t>
            </w:r>
          </w:p>
        </w:tc>
        <w:tc>
          <w:tcPr>
            <w:tcW w:w="1380" w:type="dxa"/>
            <w:vAlign w:val="bottom"/>
          </w:tcPr>
          <w:p>
            <w:pPr>
              <w:spacing w:after="0"/>
              <w:rPr>
                <w:sz w:val="20"/>
                <w:szCs w:val="20"/>
                <w:color w:val="auto"/>
              </w:rPr>
            </w:pPr>
          </w:p>
        </w:tc>
      </w:tr>
      <w:tr>
        <w:trPr>
          <w:trHeight w:val="234"/>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89"/>
              </w:rPr>
              <w:t>Philadelphia, Pennsylvania</w:t>
            </w:r>
          </w:p>
        </w:tc>
        <w:tc>
          <w:tcPr>
            <w:tcW w:w="1380" w:type="dxa"/>
            <w:vAlign w:val="bottom"/>
          </w:tcPr>
          <w:p>
            <w:pPr>
              <w:jc w:val="right"/>
              <w:ind w:right="361"/>
              <w:spacing w:after="0"/>
              <w:rPr>
                <w:sz w:val="20"/>
                <w:szCs w:val="20"/>
                <w:color w:val="auto"/>
              </w:rPr>
            </w:pPr>
            <w:r>
              <w:rPr>
                <w:rFonts w:ascii="Arial" w:cs="Arial" w:eastAsia="Arial" w:hAnsi="Arial"/>
                <w:sz w:val="18"/>
                <w:szCs w:val="18"/>
                <w:b w:val="1"/>
                <w:bCs w:val="1"/>
                <w:color w:val="auto"/>
              </w:rPr>
              <w:t>19103</w:t>
            </w:r>
          </w:p>
        </w:tc>
      </w:tr>
      <w:tr>
        <w:trPr>
          <w:trHeight w:val="218"/>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5"/>
              </w:rPr>
              <w:t>(Address of principal executive offices)</w:t>
            </w: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(Zip Code)</w:t>
            </w:r>
          </w:p>
        </w:tc>
      </w:tr>
      <w:tr>
        <w:trPr>
          <w:trHeight w:val="282"/>
        </w:trPr>
        <w:tc>
          <w:tcPr>
            <w:tcW w:w="5780" w:type="dxa"/>
            <w:vAlign w:val="bottom"/>
          </w:tcPr>
          <w:p>
            <w:pPr>
              <w:jc w:val="right"/>
              <w:ind w:right="1312"/>
              <w:spacing w:after="0"/>
              <w:rPr>
                <w:sz w:val="20"/>
                <w:szCs w:val="20"/>
                <w:color w:val="auto"/>
              </w:rPr>
            </w:pPr>
            <w:r>
              <w:rPr>
                <w:rFonts w:ascii="Arial" w:cs="Arial" w:eastAsia="Arial" w:hAnsi="Arial"/>
                <w:sz w:val="18"/>
                <w:szCs w:val="18"/>
                <w:b w:val="1"/>
                <w:bCs w:val="1"/>
                <w:color w:val="auto"/>
              </w:rPr>
              <w:t>(215) 238-3000</w:t>
            </w:r>
          </w:p>
        </w:tc>
        <w:tc>
          <w:tcPr>
            <w:tcW w:w="1380" w:type="dxa"/>
            <w:vAlign w:val="bottom"/>
          </w:tcPr>
          <w:p>
            <w:pPr>
              <w:spacing w:after="0"/>
              <w:rPr>
                <w:sz w:val="24"/>
                <w:szCs w:val="24"/>
                <w:color w:val="auto"/>
              </w:rPr>
            </w:pPr>
          </w:p>
        </w:tc>
      </w:tr>
      <w:tr>
        <w:trPr>
          <w:trHeight w:val="202"/>
        </w:trPr>
        <w:tc>
          <w:tcPr>
            <w:tcW w:w="5780" w:type="dxa"/>
            <w:vAlign w:val="bottom"/>
          </w:tcPr>
          <w:p>
            <w:pPr>
              <w:jc w:val="center"/>
              <w:ind w:left="1772"/>
              <w:spacing w:after="0"/>
              <w:rPr>
                <w:sz w:val="20"/>
                <w:szCs w:val="20"/>
                <w:color w:val="auto"/>
              </w:rPr>
            </w:pPr>
            <w:r>
              <w:rPr>
                <w:rFonts w:ascii="Arial" w:cs="Arial" w:eastAsia="Arial" w:hAnsi="Arial"/>
                <w:sz w:val="14"/>
                <w:szCs w:val="14"/>
                <w:color w:val="auto"/>
                <w:w w:val="92"/>
              </w:rPr>
              <w:t>(Registrant's telephone number, including area code)</w:t>
            </w:r>
          </w:p>
        </w:tc>
        <w:tc>
          <w:tcPr>
            <w:tcW w:w="1380" w:type="dxa"/>
            <w:vAlign w:val="bottom"/>
          </w:tcPr>
          <w:p>
            <w:pPr>
              <w:spacing w:after="0"/>
              <w:rPr>
                <w:sz w:val="17"/>
                <w:szCs w:val="17"/>
                <w:color w:val="auto"/>
              </w:rPr>
            </w:pPr>
          </w:p>
        </w:tc>
      </w:tr>
      <w:tr>
        <w:trPr>
          <w:trHeight w:val="230"/>
        </w:trPr>
        <w:tc>
          <w:tcPr>
            <w:tcW w:w="5780" w:type="dxa"/>
            <w:vAlign w:val="bottom"/>
          </w:tcPr>
          <w:p>
            <w:pPr>
              <w:jc w:val="right"/>
              <w:spacing w:after="0"/>
              <w:rPr>
                <w:sz w:val="20"/>
                <w:szCs w:val="20"/>
                <w:color w:val="auto"/>
              </w:rPr>
            </w:pPr>
            <w:r>
              <w:rPr>
                <w:rFonts w:ascii="Arial" w:cs="Arial" w:eastAsia="Arial" w:hAnsi="Arial"/>
                <w:sz w:val="18"/>
                <w:szCs w:val="18"/>
                <w:color w:val="auto"/>
              </w:rPr>
              <w:t>___________________________________________</w:t>
            </w:r>
          </w:p>
        </w:tc>
        <w:tc>
          <w:tcPr>
            <w:tcW w:w="138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Aramark Tower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1101 Market Street</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Philadelphia, Pennsylvania 19107</w:t>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w:t>
      </w:r>
    </w:p>
    <w:p>
      <w:pPr>
        <w:spacing w:after="0" w:line="290"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ind w:right="80" w:firstLine="405"/>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12" w:lineRule="exact"/>
        <w:rPr>
          <w:sz w:val="24"/>
          <w:szCs w:val="24"/>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p>
      <w:pPr>
        <w:ind w:left="40"/>
        <w:spacing w:after="0"/>
        <w:tabs>
          <w:tab w:leader="none" w:pos="1860" w:val="left"/>
          <w:tab w:leader="none" w:pos="2200" w:val="left"/>
          <w:tab w:leader="none" w:pos="3680" w:val="left"/>
          <w:tab w:leader="none" w:pos="4040" w:val="left"/>
          <w:tab w:leader="none" w:pos="5860" w:val="left"/>
          <w:tab w:leader="none" w:pos="6200" w:val="left"/>
          <w:tab w:leader="none" w:pos="8460" w:val="left"/>
          <w:tab w:leader="none" w:pos="8800" w:val="left"/>
          <w:tab w:leader="none" w:pos="11080" w:val="left"/>
        </w:tabs>
        <w:rPr>
          <w:sz w:val="20"/>
          <w:szCs w:val="20"/>
          <w:color w:val="auto"/>
        </w:rPr>
      </w:pPr>
      <w:r>
        <w:rPr>
          <w:rFonts w:ascii="Arial" w:cs="Arial" w:eastAsia="Arial" w:hAnsi="Arial"/>
          <w:sz w:val="18"/>
          <w:szCs w:val="18"/>
          <w:color w:val="auto"/>
        </w:rPr>
        <w:t>Large accelerated filer</w:t>
        <w:tab/>
        <w:t>x</w:t>
        <w:tab/>
        <w:t>Accelerated filer</w:t>
      </w:r>
      <w:r>
        <w:rPr>
          <w:sz w:val="20"/>
          <w:szCs w:val="20"/>
          <w:color w:val="auto"/>
        </w:rPr>
        <w:tab/>
      </w:r>
      <w:r>
        <w:rPr>
          <w:rFonts w:ascii="Arial" w:cs="Arial" w:eastAsia="Arial" w:hAnsi="Arial"/>
          <w:sz w:val="18"/>
          <w:szCs w:val="18"/>
          <w:color w:val="auto"/>
        </w:rPr>
        <w:t>o</w:t>
        <w:tab/>
        <w:t>Non-accelerated filer</w:t>
      </w:r>
      <w:r>
        <w:rPr>
          <w:sz w:val="20"/>
          <w:szCs w:val="20"/>
          <w:color w:val="auto"/>
        </w:rPr>
        <w:tab/>
      </w:r>
      <w:r>
        <w:rPr>
          <w:rFonts w:ascii="Arial" w:cs="Arial" w:eastAsia="Arial" w:hAnsi="Arial"/>
          <w:sz w:val="18"/>
          <w:szCs w:val="18"/>
          <w:color w:val="auto"/>
        </w:rPr>
        <w:t>o</w:t>
        <w:tab/>
        <w:t>Smaller reporting company</w:t>
      </w:r>
      <w:r>
        <w:rPr>
          <w:sz w:val="20"/>
          <w:szCs w:val="20"/>
          <w:color w:val="auto"/>
        </w:rPr>
        <w:tab/>
      </w:r>
      <w:r>
        <w:rPr>
          <w:rFonts w:ascii="Arial" w:cs="Arial" w:eastAsia="Arial" w:hAnsi="Arial"/>
          <w:sz w:val="18"/>
          <w:szCs w:val="18"/>
          <w:color w:val="auto"/>
        </w:rPr>
        <w:t>o</w:t>
        <w:tab/>
        <w:t>Emerging growth company</w:t>
      </w:r>
      <w:r>
        <w:rPr>
          <w:sz w:val="20"/>
          <w:szCs w:val="20"/>
          <w:color w:val="auto"/>
        </w:rPr>
        <w:tab/>
      </w:r>
      <w:r>
        <w:rPr>
          <w:rFonts w:ascii="Arial" w:cs="Arial" w:eastAsia="Arial" w:hAnsi="Arial"/>
          <w:sz w:val="14"/>
          <w:szCs w:val="14"/>
          <w:color w:val="auto"/>
        </w:rPr>
        <w:t>o</w:t>
      </w:r>
    </w:p>
    <w:p>
      <w:pPr>
        <w:spacing w:after="0" w:line="90" w:lineRule="exact"/>
        <w:rPr>
          <w:sz w:val="24"/>
          <w:szCs w:val="24"/>
          <w:color w:val="auto"/>
        </w:rPr>
      </w:pPr>
    </w:p>
    <w:p>
      <w:pPr>
        <w:ind w:right="22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20" w:right="150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January 25, 2019, the number of shares of the registrant's common stock outstanding is 246,296,999.</w:t>
      </w:r>
    </w:p>
    <w:p>
      <w:pPr>
        <w:sectPr>
          <w:pgSz w:w="11900" w:h="16838" w:orient="portrait"/>
          <w:cols w:equalWidth="0" w:num="1">
            <w:col w:w="11360"/>
          </w:cols>
          <w:pgMar w:left="240" w:top="549"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22"/>
          <w:szCs w:val="22"/>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0" w:type="dxa"/>
            <w:vAlign w:val="bottom"/>
            <w:gridSpan w:val="4"/>
          </w:tcPr>
          <w:p>
            <w:pPr>
              <w:ind w:left="6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2260" w:type="dxa"/>
            <w:vAlign w:val="bottom"/>
            <w:gridSpan w:val="5"/>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 Financial Information</w:t>
              </w:r>
            </w:hyperlink>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60" w:type="dxa"/>
            <w:vAlign w:val="bottom"/>
            <w:tcBorders>
              <w:bottom w:val="single" w:sz="8" w:color="0000EE"/>
            </w:tcBorders>
            <w:gridSpan w:val="5"/>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40" w:type="dxa"/>
            <w:vAlign w:val="bottom"/>
          </w:tcPr>
          <w:p>
            <w:pPr>
              <w:spacing w:after="0"/>
              <w:rPr>
                <w:sz w:val="24"/>
                <w:szCs w:val="24"/>
                <w:color w:val="auto"/>
              </w:rPr>
            </w:pPr>
          </w:p>
        </w:tc>
        <w:tc>
          <w:tcPr>
            <w:tcW w:w="128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460" w:type="dxa"/>
            <w:vAlign w:val="bottom"/>
            <w:gridSpan w:val="15"/>
          </w:tcPr>
          <w:p>
            <w:pPr>
              <w:ind w:left="6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5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(Unaudited)</w:t>
              </w:r>
            </w:hyperlink>
          </w:p>
        </w:tc>
        <w:tc>
          <w:tcPr>
            <w:tcW w:w="1880" w:type="dxa"/>
            <w:vAlign w:val="bottom"/>
            <w:gridSpan w:val="2"/>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Stockholders' Equity (Unaudited)</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80" w:type="dxa"/>
            <w:vAlign w:val="bottom"/>
            <w:tcBorders>
              <w:top w:val="single" w:sz="8" w:color="0000EE"/>
            </w:tcBorders>
            <w:gridSpan w:val="11"/>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Notes to Condensed Consolidated Financial Statements (Unaudited)</w:t>
              </w:r>
            </w:hyperlink>
          </w:p>
        </w:tc>
        <w:tc>
          <w:tcPr>
            <w:tcW w:w="2100" w:type="dxa"/>
            <w:vAlign w:val="bottom"/>
            <w:gridSpan w:val="3"/>
          </w:tcPr>
          <w:p>
            <w:pPr>
              <w:spacing w:after="0"/>
              <w:rPr>
                <w:sz w:val="21"/>
                <w:szCs w:val="21"/>
                <w:color w:val="auto"/>
              </w:rPr>
            </w:pPr>
          </w:p>
        </w:tc>
        <w:tc>
          <w:tcPr>
            <w:tcW w:w="14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 About Market Risk</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6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PART II - Other Information</w:t>
              </w:r>
            </w:hyperlink>
          </w:p>
        </w:tc>
        <w:tc>
          <w:tcPr>
            <w:tcW w:w="2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1A.</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5.</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60" w:type="dxa"/>
            <w:vAlign w:val="bottom"/>
            <w:gridSpan w:val="1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128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80" w:type="dxa"/>
            <w:vAlign w:val="bottom"/>
          </w:tcPr>
          <w:p>
            <w:pPr>
              <w:spacing w:after="0"/>
              <w:rPr>
                <w:sz w:val="21"/>
                <w:szCs w:val="21"/>
                <w:color w:val="auto"/>
              </w:rPr>
            </w:pPr>
          </w:p>
        </w:tc>
        <w:tc>
          <w:tcPr>
            <w:tcW w:w="738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82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includes "forward-looking statements" within the meaning of the Private Securities Litigation Reform Act of 1995 that reflect our current views as to future events and financial performance with respect to, without limitation, conditions in our industry, our operations, our economic performance and financial condition, including, in particular, with respect to, without limitation, the benefits and costs of our acquisitions of each of Avendra, LLC ("Avendra") and AmeriPride Services, Inc. ("AmeriPride") and related financings, as well as statements regarding these companies' services and products and statements relating to our business and growth strategy. These statements can be identified by the fact that they do not relate strictly to historical or current facts. They use words such as "outlook," "aim," "anticipate," "are or remain confident," "have confidence," "estimate," "expect," "will be," "will continue," "will likely result," "project," "intend," "plan," "believe," "see," "look to" and other words and terms of similar meaning or the negative versions of such words.</w:t>
      </w:r>
    </w:p>
    <w:p>
      <w:pPr>
        <w:spacing w:after="0" w:line="8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Forward-looking statements speak only as of the date made. All statements we make relating to our estimated and projected earnings, costs, expenditures, cash flows, growth rates, financial results and our estimated benefits and costs of our acquisitions are forward-looking statements. In addition, we, through our senior management, from time to time make forward-looking public statements concerning our expected future operations and performance and other developments. These forward-looking statements are subject to risks and uncertainties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subsequent written and oral forward-looking statements attributable to us, or persons acting on our behalf, are expressly qualified in their entirety by the cautionary statements. Some of the factors that we believe could affect our results or the costs and benefits of the acquisitions include without limitation: unfavorable economic conditions; natural disasters, global calamities,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the inability to achieve cost savings through our cost reduction efforts; our expansion strategy; the failure to maintain food safety throughout our supply chain, food-borne illness concerns and claims of illness or injury;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currency risks and other risks associated with international operations, including Foreign Corrupt Practices Act, U.K. Bribery Act and other anti-corruption law compliance; continued or further unionization of our workforce; liability resulting from our participation in multiemployer defined benefit pension plans; risks associated with suppliers from whom our products are sourced; disruptions to our relationship with, or to the business of, our primary distributor; the inability to hire and retain sufficient qualified personnel or increases in labor costs; healthcare reform legislation; the contract intensive nature of our business, which may lead to client disputes; seasonality; disruptions in the availability of our computer systems or privacy breaches; failure to achieve and maintain effective internal controls; our leverage; the inability to generate sufficient cash to service all of our indebtedness; debt agreements that limit our flexibility in operating our business; our ability to successfully integrate the businesses of Avendra and AmeriPride and costs and timing related thereto, the risk of unanticipated restructuring costs or assumption of undisclosed liabilities, the risk that we are unable to achieve the anticipated benefits (including tax benefits) and synergies of the acquisition of AmeriPride and Avendra including whether the transactions will be accretive and within the expected timeframes, the availability of sufficient cash to repay certain indebtedness and our decision to utilize the cash for that purpose, the disruption of the transactions to each of Avendra and AmeriPride and their respective managements; the effect of the transactions on each of Avendra's and AmeriPride's ability to retain and hire key personnel and maintain relationships with customers, suppliers and other third parties, our ability to attract new or maintain existing customer and supplier relationships at reasonable cost, our ability to retain key personnel and other factors set forth under the headings Item 1A "Risk Factors," Item 3 "Legal Proceedings" and Item 7 "Management's Discussion and Analysis of Financial Condition and Results of Operations" and other sections of our Annual Report on Form 10-K, filed with the SEC on November 21, 2018 as such factors may be updated from time to time in our other periodic filings with the SEC, which are accessible on the SEC's website at www.sec.gov and which may be obtained by contacting Aramark's investor relations department via its website www.aramark.com.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report and in our other filings with the SEC. As a result of these risks and uncertainties, readers are cautioned not to place undue reliance on any forward-looking statements included herein or that may be made elsewhere from time to time by, or on behalf of, us. We undertake no obligation to publicly update or review any forward-looking statement, whether as a result of new information, future developments, changes in our expectations, or otherwise, except as required by law.</w:t>
      </w:r>
    </w:p>
    <w:p>
      <w:pPr>
        <w:sectPr>
          <w:pgSz w:w="11900" w:h="16838" w:orient="portrait"/>
          <w:cols w:equalWidth="0" w:num="1">
            <w:col w:w="11420"/>
          </w:cols>
          <w:pgMar w:left="240" w:top="17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 2018</w:t>
            </w:r>
          </w:p>
        </w:tc>
        <w:tc>
          <w:tcPr>
            <w:tcW w:w="200" w:type="dxa"/>
            <w:vAlign w:val="bottom"/>
          </w:tcPr>
          <w:p>
            <w:pPr>
              <w:spacing w:after="0"/>
              <w:rPr>
                <w:sz w:val="16"/>
                <w:szCs w:val="16"/>
                <w:color w:val="auto"/>
              </w:rPr>
            </w:pPr>
          </w:p>
        </w:tc>
        <w:tc>
          <w:tcPr>
            <w:tcW w:w="150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September 28, 2018</w:t>
            </w:r>
          </w:p>
        </w:tc>
      </w:tr>
      <w:tr>
        <w:trPr>
          <w:trHeight w:val="250"/>
        </w:trPr>
        <w:tc>
          <w:tcPr>
            <w:tcW w:w="7900" w:type="dxa"/>
            <w:vAlign w:val="bottom"/>
            <w:tcBorders>
              <w:top w:val="single" w:sz="8" w:color="CCEEFF"/>
              <w:bottom w:val="single" w:sz="8" w:color="CCEEFF"/>
            </w:tcBorders>
            <w:shd w:val="clear" w:color="auto" w:fill="CCEEFF"/>
          </w:tcPr>
          <w:p>
            <w:pPr>
              <w:ind w:left="36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Receivables (less allowances: 2019 - $51,399; 2018 - $52,682)</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1,880,299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1,790,433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724,802</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148,697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171,165</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2,649,988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2,901,425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2,153,154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1,378,094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5,508,603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2,096,893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2,136,844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1,330,304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1,693,171</w:t>
            </w: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13,738,942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13,720,102</w:t>
            </w:r>
          </w:p>
        </w:tc>
      </w:tr>
      <w:tr>
        <w:trPr>
          <w:trHeight w:val="67"/>
        </w:trPr>
        <w:tc>
          <w:tcPr>
            <w:tcW w:w="79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0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30,907</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866,162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1,018,920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1,277,672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1,440,332</w:t>
            </w:r>
          </w:p>
        </w:tc>
      </w:tr>
      <w:tr>
        <w:trPr>
          <w:trHeight w:val="237"/>
        </w:trPr>
        <w:tc>
          <w:tcPr>
            <w:tcW w:w="7900" w:type="dxa"/>
            <w:vAlign w:val="bottom"/>
          </w:tcPr>
          <w:p>
            <w:pPr>
              <w:ind w:left="1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2,197,275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2,490,159</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7,323,706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7,213,077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 and Other Noncurrent Liabilities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990,021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977,215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4"/>
              </w:rPr>
              <w:t>Common stock, par value $.01 (authorized: 600,000,000 shares; issued: 2019—280,666,074</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9"/>
        </w:trPr>
        <w:tc>
          <w:tcPr>
            <w:tcW w:w="79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9"/>
              </w:rPr>
              <w:t>shares and 2018—279,314,297 shares; and outstanding: 2019—245,883,193 shares and 2018</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—246,744,438 shares)</w:t>
            </w: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2,793</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Capital surplus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3,154,479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3,132,421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990,439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710,519</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(91,223)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7"/>
              </w:rPr>
              <w:t>Treasury stock (shares held in treasury: 2019—34,782,881 shares and 2018—32,569,859</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57"/>
        </w:trPr>
        <w:tc>
          <w:tcPr>
            <w:tcW w:w="79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(796,836)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r>
      <w:tr>
        <w:trPr>
          <w:trHeight w:val="237"/>
        </w:trPr>
        <w:tc>
          <w:tcPr>
            <w:tcW w:w="7900" w:type="dxa"/>
            <w:vAlign w:val="bottom"/>
          </w:tcPr>
          <w:p>
            <w:pPr>
              <w:ind w:left="1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3,217,893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3,029,558</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13,738,942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18"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 2018</w:t>
            </w:r>
          </w:p>
        </w:tc>
        <w:tc>
          <w:tcPr>
            <w:tcW w:w="240" w:type="dxa"/>
            <w:vAlign w:val="bottom"/>
          </w:tcPr>
          <w:p>
            <w:pPr>
              <w:spacing w:after="0"/>
              <w:rPr>
                <w:sz w:val="22"/>
                <w:szCs w:val="22"/>
                <w:color w:val="auto"/>
              </w:rPr>
            </w:pPr>
          </w:p>
        </w:tc>
        <w:tc>
          <w:tcPr>
            <w:tcW w:w="158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29, 2017</w:t>
            </w:r>
          </w:p>
        </w:tc>
      </w:tr>
      <w:tr>
        <w:trPr>
          <w:trHeight w:val="27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4,265,349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3,965,118</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3,794,445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3,522,230</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150,721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133,849</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92,168</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Gain on sale of Healthcare Technologies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(157,309)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3,891,987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3,748,247</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373,362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216,871</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74,133</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290,384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142,738</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(149,702)</w:t>
            </w:r>
          </w:p>
        </w:tc>
      </w:tr>
      <w:tr>
        <w:trPr>
          <w:trHeight w:val="237"/>
        </w:trPr>
        <w:tc>
          <w:tcPr>
            <w:tcW w:w="766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250,676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292,440</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37"/>
        </w:trPr>
        <w:tc>
          <w:tcPr>
            <w:tcW w:w="7660" w:type="dxa"/>
            <w:vAlign w:val="bottom"/>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250,682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292,284</w:t>
            </w:r>
          </w:p>
        </w:tc>
      </w:tr>
      <w:tr>
        <w:trPr>
          <w:trHeight w:val="67"/>
        </w:trPr>
        <w:tc>
          <w:tcPr>
            <w:tcW w:w="76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78"/>
        </w:trPr>
        <w:tc>
          <w:tcPr>
            <w:tcW w:w="76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Earnings per share attributable to Aramark stockholders: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246,887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245,086</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253,656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252,244</w:t>
            </w:r>
          </w:p>
        </w:tc>
      </w:tr>
      <w:tr>
        <w:trPr>
          <w:trHeight w:val="27"/>
        </w:trPr>
        <w:tc>
          <w:tcPr>
            <w:tcW w:w="7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9"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 2018</w:t>
            </w:r>
          </w:p>
        </w:tc>
        <w:tc>
          <w:tcPr>
            <w:tcW w:w="240" w:type="dxa"/>
            <w:vAlign w:val="bottom"/>
          </w:tcPr>
          <w:p>
            <w:pPr>
              <w:spacing w:after="0"/>
              <w:rPr>
                <w:sz w:val="22"/>
                <w:szCs w:val="22"/>
                <w:color w:val="auto"/>
              </w:rPr>
            </w:pPr>
          </w:p>
        </w:tc>
        <w:tc>
          <w:tcPr>
            <w:tcW w:w="158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29,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250,676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292,440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(18,007)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6,384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5,205</w:t>
            </w:r>
          </w:p>
        </w:tc>
      </w:tr>
      <w:tr>
        <w:trPr>
          <w:trHeight w:val="243"/>
        </w:trPr>
        <w:tc>
          <w:tcPr>
            <w:tcW w:w="7660" w:type="dxa"/>
            <w:vAlign w:val="bottom"/>
          </w:tcPr>
          <w:p>
            <w:pPr>
              <w:ind w:left="440"/>
              <w:spacing w:after="0"/>
              <w:rPr>
                <w:sz w:val="20"/>
                <w:szCs w:val="20"/>
                <w:color w:val="auto"/>
              </w:rPr>
            </w:pPr>
            <w:r>
              <w:rPr>
                <w:rFonts w:ascii="Arial" w:cs="Arial" w:eastAsia="Arial" w:hAnsi="Arial"/>
                <w:sz w:val="18"/>
                <w:szCs w:val="18"/>
                <w:color w:val="auto"/>
              </w:rPr>
              <w:t>Share of equity investee's comprehensive income (loss)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11,604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208,903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304,044</w:t>
            </w: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208,909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303,888</w:t>
            </w:r>
          </w:p>
        </w:tc>
      </w:tr>
      <w:tr>
        <w:trPr>
          <w:trHeight w:val="27"/>
        </w:trPr>
        <w:tc>
          <w:tcPr>
            <w:tcW w:w="7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 2018</w:t>
            </w:r>
          </w:p>
        </w:tc>
        <w:tc>
          <w:tcPr>
            <w:tcW w:w="220" w:type="dxa"/>
            <w:vAlign w:val="bottom"/>
          </w:tcPr>
          <w:p>
            <w:pPr>
              <w:spacing w:after="0"/>
              <w:rPr>
                <w:sz w:val="22"/>
                <w:szCs w:val="22"/>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b w:val="1"/>
                <w:bCs w:val="1"/>
                <w:color w:val="auto"/>
                <w:w w:val="98"/>
              </w:rPr>
              <w:t>December 29,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250,676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292,440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150,721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133,849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(178,231)</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16,489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gain on sale of Healthcare Technologies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(121,828)</w:t>
            </w:r>
          </w:p>
        </w:tc>
      </w:tr>
      <w:tr>
        <w:trPr>
          <w:trHeight w:val="243"/>
        </w:trPr>
        <w:tc>
          <w:tcPr>
            <w:tcW w:w="790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4,321</w:t>
            </w:r>
          </w:p>
        </w:tc>
      </w:tr>
      <w:tr>
        <w:trPr>
          <w:trHeight w:val="243"/>
        </w:trPr>
        <w:tc>
          <w:tcPr>
            <w:tcW w:w="7900" w:type="dxa"/>
            <w:vAlign w:val="bottom"/>
          </w:tcPr>
          <w:p>
            <w:pPr>
              <w:ind w:left="9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(127,343)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(343,683)</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Other operating activities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14,897</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(311,449)</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Purchases of property and equipment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(118,907)</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1,160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divestiture</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Acquisition of certain businesses, net of cash acquired</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(1,321,688)</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194,151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(1,442,786)</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Proceeds from long-term borrowings</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72,723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2,279,287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long-term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(647,622)</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Net change in funding under the Receivables Facility</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136,050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dividends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(25,779)</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4,929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Repurchase of stock</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(24,410)</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(21,354)</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1,701,101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34,856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(53,134)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238,797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249,881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185,663</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07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 2018</w:t>
            </w:r>
          </w:p>
        </w:tc>
        <w:tc>
          <w:tcPr>
            <w:tcW w:w="240" w:type="dxa"/>
            <w:vAlign w:val="bottom"/>
          </w:tcPr>
          <w:p>
            <w:pPr>
              <w:spacing w:after="0"/>
              <w:rPr>
                <w:sz w:val="22"/>
                <w:szCs w:val="22"/>
                <w:color w:val="auto"/>
              </w:rPr>
            </w:pPr>
          </w:p>
        </w:tc>
        <w:tc>
          <w:tcPr>
            <w:tcW w:w="1580" w:type="dxa"/>
            <w:vAlign w:val="bottom"/>
          </w:tcPr>
          <w:p>
            <w:pPr>
              <w:jc w:val="right"/>
              <w:ind w:right="196"/>
              <w:spacing w:after="0"/>
              <w:rPr>
                <w:sz w:val="20"/>
                <w:szCs w:val="20"/>
                <w:color w:val="auto"/>
              </w:rPr>
            </w:pPr>
            <w:r>
              <w:rPr>
                <w:rFonts w:ascii="Arial" w:cs="Arial" w:eastAsia="Arial" w:hAnsi="Arial"/>
                <w:sz w:val="14"/>
                <w:szCs w:val="14"/>
                <w:b w:val="1"/>
                <w:bCs w:val="1"/>
                <w:color w:val="auto"/>
              </w:rPr>
              <w:t>December 29, 2017</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6"/>
              <w:spacing w:after="0"/>
              <w:rPr>
                <w:sz w:val="20"/>
                <w:szCs w:val="20"/>
                <w:color w:val="auto"/>
              </w:rPr>
            </w:pPr>
            <w:r>
              <w:rPr>
                <w:rFonts w:ascii="Arial" w:cs="Arial" w:eastAsia="Arial" w:hAnsi="Arial"/>
                <w:sz w:val="18"/>
                <w:szCs w:val="18"/>
                <w:color w:val="auto"/>
              </w:rPr>
              <w:t>63.2</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7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79"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2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28, 2018</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3,029,558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2,793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3,132,421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710,519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37"/>
        </w:trPr>
        <w:tc>
          <w:tcPr>
            <w:tcW w:w="3200" w:type="dxa"/>
            <w:vAlign w:val="bottom"/>
          </w:tcPr>
          <w:p>
            <w:pPr>
              <w:ind w:left="280"/>
              <w:spacing w:after="0"/>
              <w:rPr>
                <w:sz w:val="20"/>
                <w:szCs w:val="20"/>
                <w:color w:val="auto"/>
              </w:rPr>
            </w:pPr>
            <w:r>
              <w:rPr>
                <w:rFonts w:ascii="Arial" w:cs="Arial" w:eastAsia="Arial" w:hAnsi="Arial"/>
                <w:sz w:val="18"/>
                <w:szCs w:val="18"/>
                <w:color w:val="auto"/>
                <w:w w:val="97"/>
              </w:rPr>
              <w:t>Adoption of new accounting standard</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58,395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58,395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250,682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18,562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18,562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(71,884)</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28,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3,217,893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3,154,479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990,439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(796,836)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 Earnings</w:t>
            </w:r>
          </w:p>
        </w:tc>
        <w:tc>
          <w:tcPr>
            <w:tcW w:w="2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Surplus</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29, 2017</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2,459,061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3,014,546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(681,546)</w:t>
            </w: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292,284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292,284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11,604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w w:val="96"/>
              </w:rPr>
              <w:t>Capital contributions from issuance of</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8,499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8,488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(38,463)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dividends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Balance, December 29, 2017</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2,722,394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3,039,523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512,254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(720,009)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w:t>
      </w:r>
    </w:p>
    <w:p>
      <w:pPr>
        <w:spacing w:after="0" w:line="46" w:lineRule="exact"/>
        <w:rPr>
          <w:sz w:val="20"/>
          <w:szCs w:val="20"/>
          <w:color w:val="auto"/>
        </w:rPr>
      </w:pPr>
    </w:p>
    <w:p>
      <w:pPr>
        <w:ind w:right="120" w:firstLine="8"/>
        <w:spacing w:after="0" w:line="277" w:lineRule="auto"/>
        <w:tabs>
          <w:tab w:leader="none" w:pos="185" w:val="left"/>
        </w:tabs>
        <w:numPr>
          <w:ilvl w:val="0"/>
          <w:numId w:val="1"/>
        </w:numPr>
        <w:rPr>
          <w:rFonts w:ascii="Arial" w:cs="Arial" w:eastAsia="Arial" w:hAnsi="Arial"/>
          <w:sz w:val="17"/>
          <w:szCs w:val="17"/>
          <w:color w:val="auto"/>
        </w:rPr>
      </w:pPr>
      <w:r>
        <w:rPr>
          <w:rFonts w:ascii="Arial" w:cs="Arial" w:eastAsia="Arial" w:hAnsi="Arial"/>
          <w:sz w:val="17"/>
          <w:szCs w:val="17"/>
          <w:color w:val="auto"/>
        </w:rPr>
        <w:t>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21, 2018. The Condensed Consolidated Balance Sheet as of September 28, 2018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and the possibility of changes in general economic conditions.</w:t>
      </w:r>
    </w:p>
    <w:p>
      <w:pPr>
        <w:spacing w:after="0" w:line="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significant intercompany transactions and accounts have been eliminated.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2018, the Financial Accounting Standards Board ("FASB") issued an accounting standards update ("ASU") which permits the use of the Secured Overnight Financing Rate Overnight Index Swap Rate as a U.S. benchmark interest rate for hedge accounting purposes. The guidance is effective for the Company in the first quarter of fiscal 2020 and early adoption was permitted. The Company adopted the guidance in the first quarter of fiscal 2019, which did not have an impact on the condensed consolidated financial statements, as the Company's existing interest rate hedges use LIBOR as the benchmark interest rate. Use of the Secured Overnight Financing Rate Overnight Index Swap Rate as the benchmark interest rate may be contemplated in future hedging arrangements.</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February 2018, the FASB issued an ASU which provides clarification regarding guidance related to the financial instrument standard. The guidance is effective for the Company in the first quarter of fiscal 2019 and early adoption was permitted. The Company adopted the guidance in the first quarter of fiscal 2019, which did not have an impact on the condensed consolidated financial statements.</w:t>
      </w:r>
    </w:p>
    <w:p>
      <w:pPr>
        <w:spacing w:after="0" w:line="7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May 2017, the FASB issued an ASU to clarify the determination of the customer of the operation services in a service concession arrangement. The guidance is effective for the Company in the first quarter of fiscal 2019 and early adoption was permitted. The Company adopted this standard in the first quarter of fiscal 2019, which did not have a material impact on the condensed consolidated financial statements.</w:t>
      </w:r>
    </w:p>
    <w:p>
      <w:pPr>
        <w:spacing w:after="0" w:line="5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March 2017, the FASB issued an ASU to improve the presentation of net periodic pension cost and net periodic postretirement benefit cost. The guidance is effective for the Company in the first quarter of fiscal 2019 and early adoption was permitted. The Company adopted the guidance during the first quarter of fiscal 2019, which did not result in an impact to net income. However, certain balances, including $2.2 million for the three month period ended December 29, 2017, were reclassified from "Cost of services provided" to "Interest and Other Financing Costs, net" on the Condensed Consolidated Statements of Income. The Company applied the practical expedient allowing for the use of amounts disclosed in the pension footnote for prior comparative periods as an estimation basis for applying the retrospective presentation requirements.</w:t>
      </w:r>
    </w:p>
    <w:p>
      <w:pPr>
        <w:spacing w:after="0" w:line="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2017, the FASB issued an ASU to clarify the accounting guidance for partial sales of nonfinancial assets. The guidance is effective for the Company in the first quarter of fiscal 2019 and early adoption was permitted. The Company adopted the guidance in the first quarter of fiscal 2019, which did not have an impact on the condensed consolidated financial statements.</w:t>
      </w:r>
    </w:p>
    <w:p>
      <w:pPr>
        <w:spacing w:after="0" w:line="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January 2017, the FASB issued an ASU to clarify the definition of a business. The guidance is effective for the Company in the first quarter of fiscal 2019 and early adoption was permitted. The Company adopted the guidance in the first quarter of fiscal 2019, using the prospective method, which did not have a material impact on the condensed consolidated financial statements.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79"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2016, the FASB issued an ASU to address certain aspects of recognition, measurement, presentation and disclosure of financial instruments. Under this guidance, equity investments, other than those accounted for under the equity method of accounting or those that result in consolidation of the investee, are to be measured at fair value with the changes in fair value recognized in net income. The guidance is effective for the Company in the first quarter of fiscal 2019. The Company adopted the guidance in the first quarter of fiscal 2019. Due to the lack of readily available fair values for the Company's equity investments, other than those accounted for under the equity method of accounting, the Company elected to apply the practical expedient to measure these investments at cost minus impairment plus or minus changes resulting from observable price changes in orderly transactions for identical or similar investments of the same issuer. The guidance did not have an impact to the Company's condensed consolidated financial statements.</w:t>
      </w:r>
    </w:p>
    <w:p>
      <w:pPr>
        <w:spacing w:after="0" w:line="5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May 2014, the FASB issued an ASU on revenue from contracts with customers which supersedes most current revenue recognition guidance. The standard outlines a single comprehensive model which requires an entity to recognize the amount of revenue to which it expects to be entitled for the transfer of promised goods or services to customers. Additionally, the standard requires disclosures regarding the nature, amount, timing and uncertainty of revenue and cash flows arising from contracts with customers. The Company adopted this guidance on September 29, 2018.</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new revenue recognition guidance, the Company completed a comprehensive contract review project and an evaluation of the standard's impact on the timing and presentation of various financial aspects of its contractual arrangements. The Company identified and implemented appropriate changes to business processes, controls and systems to support recognition and disclosure under the new standard. The adoption of the guidance did not have a material impact on the timing of revenue recognition or net income, but it did have an impact on the financial statement line item classification of certain items (see Note 7).</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adopted the new revenue recognition guidance using the modified retrospective transition method. This method allows the new standard to be applied retrospectively through a cumulative catch up adjustment recognized upon adoption. As such, comparative information in the Company’s financial statements has not been restated and continues to be reported under the accounting standards in effect for those periods. The cumulative transition adjustment, net of tax, was an increase to retained earnings upon adoption (approximately $58.4 million) mainly to capitalize costs to obtain contracts related to employee commissions previously expensed. See Note 1 to the Company’s consolidated financial statements in its fiscal 2018 Form 10-K for further information on its significant accounting policies related to revenue recognition and see Note 7 for further information on the impact of adopting the new revenue recognition standard.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defined benefit pension plans. The guidance is effective for the Company in the first quarter of fiscal 2022 and early adoption is permitted. The Company is currently evaluating the impact of the pronouncement.</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August 2018, the FASB issued an ASU which adds, modifies and removes several disclosure requirements related to fair value measurements. The guidance is effective for the Company in the first quarter of fiscal 2021 and early adoption is permitted. The Company is currently evaluating the impact of the pronouncement.</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July 2018, the FASB issued two ASUs regarding the lease recognition standard. The guidance provides clarification on issues identified regarding the adoption of the standard, provides an additional transition method to adopt the standard and provides an additional practical expedient to lessors. The guidance is effective for the Company in the first quarter of fiscal 2020 and early adoption is permitted. The Company is currently evaluating the impact of the pronouncement.</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July 2018, the FASB issued an ASU which clarifies, corrects errors in or makes minor improvements to the Codification. The guidance is effective for the Company either upon issuance or in the first quarter of fiscal 2020, depending on the amendment. There was no impact on the consolidated financial statements related to the amendments that were effective upon issuance of the guidance and the Company is currently evaluating the impact of the remaining amendments of the pronouncement.</w:t>
      </w:r>
    </w:p>
    <w:p>
      <w:pPr>
        <w:spacing w:after="0" w:line="79"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 February 2018, the FASB issued an ASU which allows for the reclassification of stranded tax effects resulting from the Tax Cuts and Jobs Act from accumulated other comprehensive income to retained earnings. The guidance is effective for the Company in the first quarter of fiscal 2020 and early adoption is permitted. The Company is currently evaluating the impact of the pronouncement.</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September 2017, the FASB issued an ASU to provide additional implementation guidance with respect to the revenue recognition standard (see above) and the leases recognition standard (see below). The guidance is effective for the Company in the first quarter of fiscal 2019 with respect to the revenue recognition standard and in the first quarter of fiscal 2020 with respect to the lease recognition standard. Early adoption is permitted. The Company adopted the revenue related portions of this standard in conjunction with the revenue recognition standard during the first quarter of fiscal 2019, as described above. The lease related portions of this standard will be adopted in a future period in conjunction with the lease recognition standard.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79"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June 2016, the FASB issued an ASU to require entities to account for expected credit losses on financial instruments including trade receivables. The guidance is effective for the Company in the first quarter of fiscal 2021 and early adoption is permitted. The Company is currently evaluating the impact of the pronouncement.</w:t>
      </w:r>
    </w:p>
    <w:p>
      <w:pPr>
        <w:spacing w:after="0" w:line="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February 2016, the FASB issued an ASU requiring lessees to recognize most leases on their balance sheets as lease liabilities with corresponding right-of-use assets and to disclose key information about lease arrangements. The guidance is effective for the Company in the first quarter of fiscal 2020 and early adoption is permitted. The Company continues to review its lease arrangements in order to determine the impact the adoption of this ASU will have on its consolidated financial statements and related disclosures. Based on the assessment to date, the Company expects adoption of this standard to result in a material increase in lease-related assets and liabilities in its Condensed Consolidated Balance Sheets, but does not expect it to have a significant impact in its Condensed Consolidated Statements of Income or Cash Flows. The Company has not selected the method of adoption and continues to assess the disclosure requirements, business processes, controls and systems.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Comprehensive income includes all changes to stockholders' equity during a period, except those resulting from investments by and distributions to stockholders. Components of comprehensive income include net income (loss), changes in foreign currency translation adjustments (net of tax), pension plan adjustments (net of tax), changes in the fair value of cash flow hedges (net of tax) and changes to the share of any equity investees' comprehensive income or loss (net of tax).</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711"/>
              <w:spacing w:after="0"/>
              <w:rPr>
                <w:sz w:val="20"/>
                <w:szCs w:val="20"/>
                <w:color w:val="auto"/>
              </w:rPr>
            </w:pPr>
            <w:r>
              <w:rPr>
                <w:rFonts w:ascii="Arial" w:cs="Arial" w:eastAsia="Arial" w:hAnsi="Arial"/>
                <w:sz w:val="14"/>
                <w:szCs w:val="14"/>
                <w:b w:val="1"/>
                <w:bCs w:val="1"/>
                <w:color w:val="auto"/>
                <w:w w:val="91"/>
              </w:rPr>
              <w:t>December 28, 2018</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w w:val="93"/>
              </w:rPr>
              <w:t>December 29, 2017</w:t>
            </w:r>
          </w:p>
        </w:tc>
      </w:tr>
      <w:tr>
        <w:trPr>
          <w:trHeight w:val="228"/>
        </w:trPr>
        <w:tc>
          <w:tcPr>
            <w:tcW w:w="56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Pre-Tax</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7"/>
              </w:rPr>
              <w:t>After-Tax</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Pre-Tax</w:t>
            </w: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After-Tax</w:t>
            </w:r>
          </w:p>
        </w:tc>
      </w:tr>
      <w:tr>
        <w:trPr>
          <w:trHeight w:val="257"/>
        </w:trPr>
        <w:tc>
          <w:tcPr>
            <w:tcW w:w="56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Amount</w:t>
            </w:r>
          </w:p>
        </w:tc>
        <w:tc>
          <w:tcPr>
            <w:tcW w:w="10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Tax Effect</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Amount</w:t>
            </w:r>
          </w:p>
        </w:tc>
        <w:tc>
          <w:tcPr>
            <w:tcW w:w="11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Tax Effect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Amount</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250,676</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292,440</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(17,876)</w:t>
            </w: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6,384</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6,384</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cash flow hedges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(32,702)</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8,463</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(24,239)</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Share of equity investee's comprehensive income (loss)</w:t>
            </w:r>
          </w:p>
        </w:tc>
        <w:tc>
          <w:tcPr>
            <w:tcW w:w="880" w:type="dxa"/>
            <w:vAlign w:val="bottom"/>
          </w:tcPr>
          <w:p>
            <w:pPr>
              <w:jc w:val="right"/>
              <w:spacing w:after="0"/>
              <w:rPr>
                <w:sz w:val="20"/>
                <w:szCs w:val="20"/>
                <w:color w:val="auto"/>
              </w:rPr>
            </w:pPr>
            <w:r>
              <w:rPr>
                <w:rFonts w:ascii="Arial" w:cs="Arial" w:eastAsia="Arial" w:hAnsi="Arial"/>
                <w:sz w:val="18"/>
                <w:szCs w:val="18"/>
                <w:color w:val="auto"/>
              </w:rPr>
              <w:t>(280)</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(50,105)</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8,332</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(41,773)</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208,903</w:t>
            </w:r>
          </w:p>
        </w:tc>
        <w:tc>
          <w:tcPr>
            <w:tcW w:w="1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304,044</w:t>
            </w:r>
          </w:p>
        </w:tc>
      </w:tr>
      <w:tr>
        <w:trPr>
          <w:trHeight w:val="27"/>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8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Aramark stockholders</w:t>
            </w: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208,909</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303,888</w:t>
            </w:r>
          </w:p>
        </w:tc>
      </w:tr>
      <w:tr>
        <w:trPr>
          <w:trHeight w:val="20"/>
        </w:trPr>
        <w:tc>
          <w:tcPr>
            <w:tcW w:w="5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28, 2018</w:t>
            </w:r>
          </w:p>
        </w:tc>
        <w:tc>
          <w:tcPr>
            <w:tcW w:w="300" w:type="dxa"/>
            <w:vAlign w:val="bottom"/>
          </w:tcPr>
          <w:p>
            <w:pPr>
              <w:spacing w:after="0"/>
              <w:rPr>
                <w:sz w:val="16"/>
                <w:szCs w:val="16"/>
                <w:color w:val="auto"/>
              </w:rPr>
            </w:pPr>
          </w:p>
        </w:tc>
        <w:tc>
          <w:tcPr>
            <w:tcW w:w="1760" w:type="dxa"/>
            <w:vAlign w:val="bottom"/>
          </w:tcPr>
          <w:p>
            <w:pPr>
              <w:jc w:val="right"/>
              <w:ind w:right="293"/>
              <w:spacing w:after="0"/>
              <w:rPr>
                <w:sz w:val="20"/>
                <w:szCs w:val="20"/>
                <w:color w:val="auto"/>
              </w:rPr>
            </w:pPr>
            <w:r>
              <w:rPr>
                <w:rFonts w:ascii="Arial" w:cs="Arial" w:eastAsia="Arial" w:hAnsi="Arial"/>
                <w:sz w:val="14"/>
                <w:szCs w:val="14"/>
                <w:b w:val="1"/>
                <w:bCs w:val="1"/>
                <w:color w:val="auto"/>
              </w:rPr>
              <w:t>September 28, 2018</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adjustments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(111,818)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(93,811)</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36,192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Share of equity investee's accumulated other comprehensive loss</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(9,256)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(8,976)</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fiscal 2018, Argentina was determined to have a highly inflationary economy. As a result, the Company remeasured the financial statements of Argentina's operations in accordance with the accounting guidance for highly inflationary economies. During the first quarter of fiscal 2019, the impact of the foreign currency transaction was immaterial to the condensed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6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assets consist primarily of costs to obtain or fulfill contracts, long-term prepaid rent, investments in 50% or less owned entities, computer software costs, long-term receivables and personalized work apparel, linens and other rental items in service.</w:t>
      </w:r>
    </w:p>
    <w:p>
      <w:pPr>
        <w:sectPr>
          <w:pgSz w:w="11900" w:h="16838" w:orient="portrait"/>
          <w:cols w:equalWidth="0" w:num="1">
            <w:col w:w="11420"/>
          </w:cols>
          <w:pgMar w:left="240" w:top="179"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79"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2018, the Company completed the sale of its wholly-owned Healthcare Technologies ("HCT") business for $293.7 million in cash. The transaction resulted in a pretax gain of $157.3 million (tax effected gain of $140.2 million) in the Condensed Consolidated Statements of Income. The results of operations and cash flows associated with the HCT business during the first quarter of fiscal 2019 were not material to the Company’s condensed consolidated operations and cash flows.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AmeriPride Services, Inc. ("AmeriPride") Acquisition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19, 2018, the Company completed the acquisition of AmeriPride, a uniform and linen rental and supply company in the U.S. and Canada, pursuant to the Agreement and Plan of Merger ("AmeriPride Merger Agreement") dated as of October 13, 2017, by and among the Company, AmeriPride, Timberwolf Acquisition Corporation, and Bruce M. Steiner, in his capacity as Stockholder Representative. Upon completion of the acquisition, AmeriPride became a wholly owned subsidiary of the Company and its results will be included in the Company's Uniform segment. The total consideration paid for AmeriPride was $995.4 million, partially offset by $84.9 million of cash acquired. In order to finance the AmeriPride acquisition, the Company entered into a long-term financing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14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The Company has accounted for the AmeriPride acquisition as a business combination under the acquisition method of accounting. The Company has finalized its allocation of the purchase price for the transaction based upon the fair value of net assets acquired and liabilities assumed at the date of acquisition. For tax purposes, this acquisition is a taxable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Assets Acquired and Liabilities Assumed at Fair Value</w:t>
      </w:r>
    </w:p>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fair values of the tangible and identifiable intangible assets acquired and liabilities assumed at the acquisition date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237,807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963,078</w:t>
            </w:r>
          </w:p>
        </w:tc>
      </w:tr>
      <w:tr>
        <w:trPr>
          <w:trHeight w:val="27"/>
        </w:trPr>
        <w:tc>
          <w:tcPr>
            <w:tcW w:w="9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1,200,885</w:t>
            </w:r>
          </w:p>
        </w:tc>
      </w:tr>
      <w:tr>
        <w:trPr>
          <w:trHeight w:val="20"/>
        </w:trPr>
        <w:tc>
          <w:tcPr>
            <w:tcW w:w="9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7"/>
        </w:trPr>
        <w:tc>
          <w:tcPr>
            <w:tcW w:w="9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137,867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7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67,590</w:t>
            </w:r>
          </w:p>
        </w:tc>
      </w:tr>
      <w:tr>
        <w:trPr>
          <w:trHeight w:val="27"/>
        </w:trPr>
        <w:tc>
          <w:tcPr>
            <w:tcW w:w="9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205,457</w:t>
            </w:r>
          </w:p>
        </w:tc>
      </w:tr>
      <w:tr>
        <w:trPr>
          <w:trHeight w:val="20"/>
        </w:trPr>
        <w:tc>
          <w:tcPr>
            <w:tcW w:w="9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the Company’s allocations of purchase price to the intangible assets acquired by category: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90"/>
              </w:rPr>
              <w:t>Weighted-</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86"/>
              </w:rPr>
              <w:t>Average</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left="530"/>
              <w:spacing w:after="0"/>
              <w:rPr>
                <w:sz w:val="20"/>
                <w:szCs w:val="20"/>
                <w:color w:val="auto"/>
              </w:rPr>
            </w:pPr>
            <w:r>
              <w:rPr>
                <w:rFonts w:ascii="Arial" w:cs="Arial" w:eastAsia="Arial" w:hAnsi="Arial"/>
                <w:sz w:val="18"/>
                <w:szCs w:val="18"/>
                <w:color w:val="auto"/>
                <w:w w:val="91"/>
              </w:rPr>
              <w:t>Estimated Fair</w:t>
            </w:r>
          </w:p>
        </w:tc>
        <w:tc>
          <w:tcPr>
            <w:tcW w:w="620" w:type="dxa"/>
            <w:vAlign w:val="bottom"/>
          </w:tcPr>
          <w:p>
            <w:pPr>
              <w:spacing w:after="0"/>
              <w:rPr>
                <w:sz w:val="18"/>
                <w:szCs w:val="18"/>
                <w:color w:val="auto"/>
              </w:rPr>
            </w:pPr>
          </w:p>
        </w:tc>
        <w:tc>
          <w:tcPr>
            <w:tcW w:w="1560" w:type="dxa"/>
            <w:vAlign w:val="bottom"/>
          </w:tcPr>
          <w:p>
            <w:pPr>
              <w:jc w:val="center"/>
              <w:ind w:left="30"/>
              <w:spacing w:after="0"/>
              <w:rPr>
                <w:sz w:val="20"/>
                <w:szCs w:val="20"/>
                <w:color w:val="auto"/>
              </w:rPr>
            </w:pPr>
            <w:r>
              <w:rPr>
                <w:rFonts w:ascii="Arial" w:cs="Arial" w:eastAsia="Arial" w:hAnsi="Arial"/>
                <w:sz w:val="18"/>
                <w:szCs w:val="18"/>
                <w:color w:val="auto"/>
                <w:w w:val="89"/>
              </w:rPr>
              <w:t>Estimated</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center"/>
              <w:ind w:left="510"/>
              <w:spacing w:after="0"/>
              <w:rPr>
                <w:sz w:val="20"/>
                <w:szCs w:val="20"/>
                <w:color w:val="auto"/>
              </w:rPr>
            </w:pPr>
            <w:r>
              <w:rPr>
                <w:rFonts w:ascii="Arial" w:cs="Arial" w:eastAsia="Arial" w:hAnsi="Arial"/>
                <w:sz w:val="18"/>
                <w:szCs w:val="18"/>
                <w:color w:val="auto"/>
                <w:w w:val="86"/>
              </w:rPr>
              <w:t>Value</w:t>
            </w:r>
          </w:p>
        </w:tc>
        <w:tc>
          <w:tcPr>
            <w:tcW w:w="620" w:type="dxa"/>
            <w:vAlign w:val="bottom"/>
          </w:tcPr>
          <w:p>
            <w:pPr>
              <w:spacing w:after="0"/>
              <w:rPr>
                <w:sz w:val="18"/>
                <w:szCs w:val="18"/>
                <w:color w:val="auto"/>
              </w:rPr>
            </w:pP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96"/>
              </w:rPr>
              <w:t>Useful Life</w:t>
            </w:r>
          </w:p>
        </w:tc>
      </w:tr>
      <w:tr>
        <w:trPr>
          <w:trHeight w:val="230"/>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center"/>
              <w:ind w:left="530"/>
              <w:spacing w:after="0"/>
              <w:rPr>
                <w:sz w:val="20"/>
                <w:szCs w:val="20"/>
                <w:color w:val="auto"/>
              </w:rPr>
            </w:pPr>
            <w:r>
              <w:rPr>
                <w:rFonts w:ascii="Arial" w:cs="Arial" w:eastAsia="Arial" w:hAnsi="Arial"/>
                <w:sz w:val="18"/>
                <w:szCs w:val="18"/>
                <w:color w:val="auto"/>
                <w:w w:val="98"/>
              </w:rPr>
              <w:t>(in millions)</w:t>
            </w:r>
          </w:p>
        </w:tc>
        <w:tc>
          <w:tcPr>
            <w:tcW w:w="620" w:type="dxa"/>
            <w:vAlign w:val="bottom"/>
          </w:tcPr>
          <w:p>
            <w:pPr>
              <w:spacing w:after="0"/>
              <w:rPr>
                <w:sz w:val="20"/>
                <w:szCs w:val="20"/>
                <w:color w:val="auto"/>
              </w:rPr>
            </w:pPr>
          </w:p>
        </w:tc>
        <w:tc>
          <w:tcPr>
            <w:tcW w:w="1560" w:type="dxa"/>
            <w:vAlign w:val="bottom"/>
          </w:tcPr>
          <w:p>
            <w:pPr>
              <w:jc w:val="center"/>
              <w:ind w:left="10"/>
              <w:spacing w:after="0"/>
              <w:rPr>
                <w:sz w:val="20"/>
                <w:szCs w:val="20"/>
                <w:color w:val="auto"/>
              </w:rPr>
            </w:pPr>
            <w:r>
              <w:rPr>
                <w:rFonts w:ascii="Arial" w:cs="Arial" w:eastAsia="Arial" w:hAnsi="Arial"/>
                <w:sz w:val="18"/>
                <w:szCs w:val="18"/>
                <w:color w:val="auto"/>
                <w:w w:val="93"/>
              </w:rPr>
              <w:t>(in years)</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 assets</w:t>
            </w:r>
          </w:p>
        </w:tc>
        <w:tc>
          <w:tcPr>
            <w:tcW w:w="1800" w:type="dxa"/>
            <w:vAlign w:val="bottom"/>
            <w:tcBorders>
              <w:bottom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w:t>
            </w:r>
          </w:p>
        </w:tc>
        <w:tc>
          <w:tcPr>
            <w:tcW w:w="156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15</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Trade names</w:t>
            </w:r>
          </w:p>
        </w:tc>
        <w:tc>
          <w:tcPr>
            <w:tcW w:w="18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560" w:type="dxa"/>
            <w:vAlign w:val="bottom"/>
          </w:tcPr>
          <w:p>
            <w:pPr>
              <w:ind w:left="160"/>
              <w:spacing w:after="0"/>
              <w:rPr>
                <w:sz w:val="20"/>
                <w:szCs w:val="20"/>
                <w:color w:val="auto"/>
              </w:rPr>
            </w:pPr>
            <w:r>
              <w:rPr>
                <w:rFonts w:ascii="Arial" w:cs="Arial" w:eastAsia="Arial" w:hAnsi="Arial"/>
                <w:sz w:val="18"/>
                <w:szCs w:val="18"/>
                <w:color w:val="auto"/>
              </w:rPr>
              <w:t>3 to indefinite</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37"/>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180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321.0</w:t>
            </w:r>
          </w:p>
        </w:tc>
        <w:tc>
          <w:tcPr>
            <w:tcW w:w="1560" w:type="dxa"/>
            <w:vAlign w:val="bottom"/>
            <w:shd w:val="clear" w:color="auto" w:fill="CCEEFF"/>
          </w:tcPr>
          <w:p>
            <w:pPr>
              <w:spacing w:after="0"/>
              <w:rPr>
                <w:sz w:val="20"/>
                <w:szCs w:val="20"/>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two trade names acquired was determined using the “relief-from-royalty method” which considers the discounted estimated royalty payments that are expected to be avoided as a result of the trademarks being owned.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recorded $365.2 million of goodwill in connection with its purchase price allocation relating to the AmeriPride acquisition, all of which was recognized in the Uniform reporting segment. Factors that contributed to the Company’s</w:t>
      </w:r>
    </w:p>
    <w:p>
      <w:pPr>
        <w:sectPr>
          <w:pgSz w:w="11900" w:h="16838" w:orient="portrait"/>
          <w:cols w:equalWidth="0" w:num="1">
            <w:col w:w="11420"/>
          </w:cols>
          <w:pgMar w:left="240" w:top="179"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79"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recognition of goodwill include the Company’s intent to expand and complement its existing uniform business and to enhance its customer service experience, in addition to the anticipated synergies the Company expects to generate from the acquisition.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Earnings for AmeriPride</w:t>
      </w:r>
    </w:p>
    <w:p>
      <w:pPr>
        <w:spacing w:after="0" w:line="14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revenue for AmeriPride included in the Company's Condensed Consolidated Statements of Income for the three months ended December 28, 2018 was $165.0 million, which includes the impact from the adoption of the new revenue recognition standard. Net income for AmeriPride during the three months ended December 28, 2018 was immaterial. The effects of the acquisition on pro forma revenue and net income of the combined entity were not material for the three months ended December 29, 2017.</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4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fiscal 2018, the Company commenced a new phase of strategic reinvestment and reorganization actions to streamline and improve efficiencies and effectiveness of its selling, general and administrative functions which resulted in a net severance charge of approximately $22.0 million for the three months ended December 28, 2018. As of December 28, 2018 and September 28, 2018, the Company had an accrual of approximately $31.0 million and $16.6 million, respectively, related to unpaid severance obligations. These obligations are expected to be paid through fiscal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three months ended December 28, 2018 is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4"/>
                <w:szCs w:val="14"/>
                <w:color w:val="auto"/>
              </w:rPr>
            </w:pPr>
          </w:p>
        </w:tc>
        <w:tc>
          <w:tcPr>
            <w:tcW w:w="1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September 28, 2018</w:t>
            </w:r>
          </w:p>
        </w:tc>
        <w:tc>
          <w:tcPr>
            <w:tcW w:w="22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Acquisitions and</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6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December 28, 2018</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Divestitures</w:t>
            </w:r>
          </w:p>
        </w:tc>
        <w:tc>
          <w:tcPr>
            <w:tcW w:w="2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4,028,454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3,941,473</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626,379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610,097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955,735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957,033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5,610,568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5,508,603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28, 2018</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28, 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2"/>
        </w:trPr>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11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12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100" w:type="dxa"/>
            <w:vAlign w:val="bottom"/>
          </w:tcPr>
          <w:p>
            <w:pPr>
              <w:ind w:left="300"/>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 assets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2,201,474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1,051,791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2,244,215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(1,156,811)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1,087,404</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1,046,987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1,045,102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1,050,825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280"/>
              <w:spacing w:after="0"/>
              <w:rPr>
                <w:sz w:val="20"/>
                <w:szCs w:val="20"/>
                <w:color w:val="auto"/>
              </w:rPr>
            </w:pPr>
            <w:r>
              <w:rPr>
                <w:rFonts w:ascii="Arial" w:cs="Arial" w:eastAsia="Arial" w:hAnsi="Arial"/>
                <w:sz w:val="18"/>
                <w:szCs w:val="18"/>
                <w:color w:val="auto"/>
                <w:w w:val="99"/>
              </w:rPr>
              <w:t>1,049,440</w:t>
            </w:r>
          </w:p>
        </w:tc>
      </w:tr>
      <w:tr>
        <w:trPr>
          <w:trHeight w:val="27"/>
        </w:trPr>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3,248,461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(1,151,568)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2,096,893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3,295,040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2,136,844</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intangible assets for the three months ended December 28, 2018 and December 29, 2017 was approximately $30.4 million and $23.3 million,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7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28, 2018</w:t>
            </w:r>
          </w:p>
        </w:tc>
        <w:tc>
          <w:tcPr>
            <w:tcW w:w="300" w:type="dxa"/>
            <w:vAlign w:val="bottom"/>
          </w:tcPr>
          <w:p>
            <w:pPr>
              <w:spacing w:after="0"/>
              <w:rPr>
                <w:sz w:val="16"/>
                <w:szCs w:val="16"/>
                <w:color w:val="auto"/>
              </w:rPr>
            </w:pPr>
          </w:p>
        </w:tc>
        <w:tc>
          <w:tcPr>
            <w:tcW w:w="1860" w:type="dxa"/>
            <w:vAlign w:val="bottom"/>
          </w:tcPr>
          <w:p>
            <w:pPr>
              <w:jc w:val="right"/>
              <w:ind w:right="391"/>
              <w:spacing w:after="0"/>
              <w:rPr>
                <w:sz w:val="20"/>
                <w:szCs w:val="20"/>
                <w:color w:val="auto"/>
              </w:rPr>
            </w:pPr>
            <w:r>
              <w:rPr>
                <w:rFonts w:ascii="Arial" w:cs="Arial" w:eastAsia="Arial" w:hAnsi="Arial"/>
                <w:sz w:val="14"/>
                <w:szCs w:val="14"/>
                <w:b w:val="1"/>
                <w:bCs w:val="1"/>
                <w:color w:val="auto"/>
              </w:rPr>
              <w:t>September 28, 2018</w:t>
            </w: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 due October 2023</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77,000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October 2023</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520,568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538,674</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term loan facility, due March 2024</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1,325,923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Senior secured term loan facility, due March 2025</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1,657,192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1,656,919</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January 2024</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902,908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5.000% senior notes, due April 2025</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591,179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590,884</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368,195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373,240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4.750% senior notes, due June 2026</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494,241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494,082</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February 2028</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1,136,754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1,136,472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Receivables Facility, due May 2021</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143,388</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4,494</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7,377,147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7,243,984</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Less—current portion</w:t>
            </w: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(30,907)</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7,323,706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7,213,077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00" w:hanging="465"/>
        <w:spacing w:after="0"/>
        <w:tabs>
          <w:tab w:leader="none" w:pos="50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2018, there was approximately $938.3 million of outstanding foreign currency borrowings.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Refinancing Transactions</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fiscal 2019, the Company extended the maturity dates of the Revolving Credit Facility, Yen Term Loan due 2022, Canadian Term Loan due 2022, Canadian Term Loan due 2023 and Euro Term Loan due 2022 to October 1, 2023.</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Also during the first quarter of fiscal 2019, the Company made an optional prepayment of approximately $200.0 million on the U.S. dollar denominated term loan due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14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The Company also formally assesses, both at the hedge's inception and on an ongoing basis, whether the derivatives that are used in hedging transactions are highly effective in offsetting cash flows of hedged items.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approximately $2.6 billion notional amount of outstanding interest rate swap agreements as of December 28, 2018, which fixes the rate on a like amount of variable rate borrowings through the first quarter of fiscal 2023. During the second quarter of fiscal 2019, the Company entered into approximately $500.0 million notional amount of forward starting interest rate swap agreements to hedge the cash flow risk of variability in interest payments on variable rate borrowings.</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December 28, 2018 and</w:t>
      </w:r>
    </w:p>
    <w:p>
      <w:pPr>
        <w:sectPr>
          <w:pgSz w:w="11900" w:h="16838" w:orient="portrait"/>
          <w:cols w:equalWidth="0" w:num="1">
            <w:col w:w="11420"/>
          </w:cols>
          <w:pgMar w:left="240" w:top="179"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79"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September 28, 2018, approximately $12.0 million and $36.2 million of unrealized net of tax gains (losses) related to the interest rate swaps were included in "Accumulated other comprehensive loss," respectively.</w:t>
      </w:r>
    </w:p>
    <w:p>
      <w:pPr>
        <w:spacing w:after="0" w:line="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summarizes the effect of our derivatives designated as cash flow hedging instruments on Other comprehensive income (loss)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2018</w:t>
            </w:r>
          </w:p>
        </w:tc>
        <w:tc>
          <w:tcPr>
            <w:tcW w:w="18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29, 2017</w:t>
            </w: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5,245</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148"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December 28, 2018, the Company has contracts for approximately 12.9 million gallons outstanding through fiscal 2019. The Company does not record its gasoline and diesel fuel agreements as hedges for accounting purposes. The impact on earnings related to the change in fair value of these unsettled contracts was a loss of approximately $9.2 million for the three months ended December 28, 2018. The impact on earnings related to the change in fair value of these unsettled contracts was a gain of approximately $1.9 million for the three months ended December 29, 2017. The change in fair value for unsettled contracts is included in "Selling and general corporate expenses" in the Condensed Consolidated Statements of Income. When the contracts settle, the gain or loss is recorded to"Costs of services provided" in the Condensed Consolidated Statements of Income.</w:t>
      </w:r>
    </w:p>
    <w:p>
      <w:pPr>
        <w:spacing w:after="0" w:line="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December 28, 2018, the Company had foreign currency forward exchange contracts outstanding with notional amounts of €16.0 million and £10.7 million to mitigate the risk of changes in foreign currency exchange rates on short-term intercompany loans to certain international subsidiaries. Gains and losses on these foreign currency exchange contracts are recognized in income as the contracts were not designated as hedging instruments, substantially offsetting currency transaction gains and losses on the short-term intercompany loans.</w:t>
      </w:r>
    </w:p>
    <w:p>
      <w:pPr>
        <w:spacing w:after="0" w:line="10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following table summarizes the location and fair value, using Level 2 inputs (see Note 14 for a description of the fair value levels), of the Company's derivatives designated and not designated as hedging instruments in the Condensed Consolidated Balance Sheets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740" w:type="dxa"/>
            <w:vAlign w:val="bottom"/>
            <w:gridSpan w:val="2"/>
          </w:tcPr>
          <w:p>
            <w:pPr>
              <w:ind w:left="6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 2018</w:t>
            </w:r>
          </w:p>
        </w:tc>
        <w:tc>
          <w:tcPr>
            <w:tcW w:w="22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w w:val="96"/>
              </w:rPr>
              <w:t>September 28, 2018</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Prepayments and other current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Noncurrent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24,355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54,708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9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Prepayments and other current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9"/>
        </w:trPr>
        <w:tc>
          <w:tcPr>
            <w:tcW w:w="4920" w:type="dxa"/>
            <w:vAlign w:val="bottom"/>
          </w:tcPr>
          <w:p>
            <w:pPr>
              <w:ind w:left="40"/>
              <w:spacing w:after="0"/>
              <w:rPr>
                <w:sz w:val="20"/>
                <w:szCs w:val="20"/>
                <w:color w:val="auto"/>
              </w:rPr>
            </w:pPr>
            <w:r>
              <w:rPr>
                <w:rFonts w:ascii="Arial" w:cs="Arial" w:eastAsia="Arial" w:hAnsi="Arial"/>
                <w:sz w:val="18"/>
                <w:szCs w:val="18"/>
                <w:color w:val="auto"/>
              </w:rPr>
              <w:t>Gasoline and diesel fuel agreements</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Prepayments and other current</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59,999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92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2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Gasoline and diesel fuel agreements</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5,809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79"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summarizes the location of (gain) loss reclassified from "Accumulated other comprehensive loss" into earnings for derivatives designated as hedging instruments and the location of (gain) loss for our derivatives not designated as hedging instruments in the Condensed Consolidated Statements of Income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4360" w:type="dxa"/>
            <w:vAlign w:val="bottom"/>
          </w:tcPr>
          <w:p>
            <w:pPr>
              <w:spacing w:after="0"/>
              <w:rPr>
                <w:sz w:val="22"/>
                <w:szCs w:val="22"/>
                <w:color w:val="auto"/>
              </w:rPr>
            </w:pPr>
          </w:p>
        </w:tc>
        <w:tc>
          <w:tcPr>
            <w:tcW w:w="354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 2018</w:t>
            </w:r>
          </w:p>
        </w:tc>
        <w:tc>
          <w:tcPr>
            <w:tcW w:w="220" w:type="dxa"/>
            <w:vAlign w:val="bottom"/>
          </w:tcPr>
          <w:p>
            <w:pPr>
              <w:spacing w:after="0"/>
              <w:rPr>
                <w:sz w:val="22"/>
                <w:szCs w:val="22"/>
                <w:color w:val="auto"/>
              </w:rPr>
            </w:pPr>
          </w:p>
        </w:tc>
        <w:tc>
          <w:tcPr>
            <w:tcW w:w="148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December 29, 2017</w:t>
            </w: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Designated as hedging instruments:</w:t>
            </w:r>
          </w:p>
        </w:tc>
        <w:tc>
          <w:tcPr>
            <w:tcW w:w="3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Interest rate swap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2,096</w:t>
            </w: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Not designated as hedging instruments:</w:t>
            </w:r>
          </w:p>
        </w:tc>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rPr>
              <w:t>Gasoline and diesel fuel agreements</w:t>
            </w: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Costs of services provided / Selling and</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3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9,144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(3,416)</w:t>
            </w:r>
          </w:p>
        </w:tc>
      </w:tr>
      <w:tr>
        <w:trPr>
          <w:trHeight w:val="27"/>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exchange contracts</w:t>
            </w:r>
          </w:p>
        </w:tc>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37"/>
        </w:trPr>
        <w:tc>
          <w:tcPr>
            <w:tcW w:w="4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9,322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w:t>
            </w:r>
          </w:p>
        </w:tc>
      </w:tr>
      <w:tr>
        <w:trPr>
          <w:trHeight w:val="27"/>
        </w:trPr>
        <w:tc>
          <w:tcPr>
            <w:tcW w:w="43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At December 28, 2018, the net of tax gain expected to be reclassified from "Accumulated other comprehensive loss" into earnings over the next twelve months based on current market rates is approximately $7.1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14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we serve. Within our FSS United States and FSS International segments, we provide food and beverage services, including catering and retail services, or facilities services, including plant operations and maintenance, custodial, housekeeping, landscaping and other services. Within our Uniform segment, the Company provides a full service uniform solution, including delivery, cleaning and maintenance. In accordance with Accounting Standards Codification 606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rather the variable fees are recognized in the period they are earned.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Revenue Recognition Standard</w:t>
      </w:r>
    </w:p>
    <w:p>
      <w:pPr>
        <w:spacing w:after="0" w:line="1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a result of adoption of the new standard, the following changes occurred with respect to financial statement line item classification in the Company's condensed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Adjustment</w:t>
      </w:r>
      <w:r>
        <w:rPr>
          <w:rFonts w:ascii="Arial" w:cs="Arial" w:eastAsia="Arial" w:hAnsi="Arial"/>
          <w:sz w:val="18"/>
          <w:szCs w:val="18"/>
          <w:color w:val="auto"/>
        </w:rPr>
        <w:t>:</w:t>
      </w:r>
    </w:p>
    <w:p>
      <w:pPr>
        <w:spacing w:after="0" w:line="144" w:lineRule="exact"/>
        <w:rPr>
          <w:sz w:val="20"/>
          <w:szCs w:val="20"/>
          <w:color w:val="auto"/>
        </w:rPr>
      </w:pPr>
    </w:p>
    <w:p>
      <w:pPr>
        <w:ind w:left="660" w:right="2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to obtain contracts related to employee sales commissions, previously expensed to “Cost of services provided” at contract inception, are now capitalized in “Other Assets” ($97.2 million and $100.7 million as of September 29, 2018 and December 28, 2018,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Reclassifications:</w:t>
      </w:r>
    </w:p>
    <w:p>
      <w:pPr>
        <w:spacing w:after="0" w:line="144" w:lineRule="exact"/>
        <w:rPr>
          <w:sz w:val="20"/>
          <w:szCs w:val="20"/>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fees within the Uniform segment, $95.3 million for the first quarter of fiscal 2019, previously recognized as a reduction to “Cost of services provided,” are now recognized in “Revenue;”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 contract investments, previously capitalized within “Other Assets” and amortized to “Depreciation and amortization” will continue to be expensed over the contract life as either a leasehold improvement in “Property and equipment, net” ($797.3 million as of December 28, 2018) or as long-term prepaid rent or costs to fulfill in “Other Assets” ($181.0 million and $116.3 million as of December 28, 2018, respectively) and primarily classified in “Depreciation and amortization” or “Cost of services provided;” and</w:t>
      </w:r>
    </w:p>
    <w:p>
      <w:pPr>
        <w:spacing w:after="0" w:line="10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to fulfill contracts related to personalized work apparel, linens and other rental items in service, previously capitalized within "Inventories" will now be capitalized within "Other Assets" ($346.5 million as of December 28, 2018).</w:t>
      </w:r>
    </w:p>
    <w:p>
      <w:pPr>
        <w:spacing w:after="0" w:line="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compares the reported Condensed Consolidated Balance Sheet as of December 28, 2018, to the balances had the previous revenue accounting guidance remained in effect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28, 2018</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As Reported</w:t>
            </w:r>
          </w:p>
        </w:tc>
        <w:tc>
          <w:tcPr>
            <w:tcW w:w="17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9"/>
              </w:rPr>
              <w:t>Adoption adjustments of</w:t>
            </w:r>
          </w:p>
        </w:tc>
        <w:tc>
          <w:tcPr>
            <w:tcW w:w="140" w:type="dxa"/>
            <w:vAlign w:val="bottom"/>
          </w:tcPr>
          <w:p>
            <w:pPr>
              <w:spacing w:after="0"/>
              <w:rPr>
                <w:sz w:val="12"/>
                <w:szCs w:val="12"/>
                <w:color w:val="auto"/>
              </w:rPr>
            </w:pPr>
          </w:p>
        </w:tc>
        <w:tc>
          <w:tcPr>
            <w:tcW w:w="1460" w:type="dxa"/>
            <w:vAlign w:val="bottom"/>
          </w:tcPr>
          <w:p>
            <w:pPr>
              <w:jc w:val="right"/>
              <w:ind w:right="191"/>
              <w:spacing w:after="0" w:line="147" w:lineRule="exact"/>
              <w:rPr>
                <w:sz w:val="20"/>
                <w:szCs w:val="20"/>
                <w:color w:val="auto"/>
              </w:rPr>
            </w:pPr>
            <w:r>
              <w:rPr>
                <w:rFonts w:ascii="Arial" w:cs="Arial" w:eastAsia="Arial" w:hAnsi="Arial"/>
                <w:sz w:val="14"/>
                <w:szCs w:val="14"/>
                <w:b w:val="1"/>
                <w:bCs w:val="1"/>
                <w:color w:val="auto"/>
              </w:rPr>
              <w:t>Balances without</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6"/>
                <w:szCs w:val="16"/>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adoption of ASC 606</w:t>
            </w:r>
          </w:p>
        </w:tc>
        <w:tc>
          <w:tcPr>
            <w:tcW w:w="0" w:type="dxa"/>
            <w:vAlign w:val="bottom"/>
          </w:tcPr>
          <w:p>
            <w:pPr>
              <w:spacing w:after="0"/>
              <w:rPr>
                <w:sz w:val="1"/>
                <w:szCs w:val="1"/>
                <w:color w:val="auto"/>
              </w:rPr>
            </w:pPr>
          </w:p>
        </w:tc>
      </w:tr>
      <w:tr>
        <w:trPr>
          <w:trHeight w:val="230"/>
        </w:trPr>
        <w:tc>
          <w:tcPr>
            <w:tcW w:w="5360" w:type="dxa"/>
            <w:vAlign w:val="bottom"/>
          </w:tcPr>
          <w:p>
            <w:pPr>
              <w:ind w:left="2820"/>
              <w:spacing w:after="0"/>
              <w:rPr>
                <w:sz w:val="20"/>
                <w:szCs w:val="20"/>
                <w:color w:val="auto"/>
              </w:rPr>
            </w:pPr>
            <w:r>
              <w:rPr>
                <w:rFonts w:ascii="Arial" w:cs="Arial" w:eastAsia="Arial" w:hAnsi="Arial"/>
                <w:sz w:val="18"/>
                <w:szCs w:val="18"/>
                <w:b w:val="1"/>
                <w:bCs w:val="1"/>
                <w:color w:val="auto"/>
              </w:rPr>
              <w:t>ASSETS</w:t>
            </w:r>
          </w:p>
        </w:tc>
        <w:tc>
          <w:tcPr>
            <w:tcW w:w="10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249,881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249,881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Receivables, net</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1,880,299</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Inventories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371,111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346,549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717,660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Prepayments and other current assets</w:t>
            </w:r>
          </w:p>
        </w:tc>
        <w:tc>
          <w:tcPr>
            <w:tcW w:w="10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148,697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148,697</w:t>
            </w:r>
          </w:p>
        </w:tc>
        <w:tc>
          <w:tcPr>
            <w:tcW w:w="0" w:type="dxa"/>
            <w:vAlign w:val="bottom"/>
          </w:tcPr>
          <w:p>
            <w:pPr>
              <w:spacing w:after="0"/>
              <w:rPr>
                <w:sz w:val="1"/>
                <w:szCs w:val="1"/>
                <w:color w:val="auto"/>
              </w:rPr>
            </w:pPr>
          </w:p>
        </w:tc>
      </w:tr>
      <w:tr>
        <w:trPr>
          <w:trHeight w:val="237"/>
        </w:trPr>
        <w:tc>
          <w:tcPr>
            <w:tcW w:w="5360" w:type="dxa"/>
            <w:vAlign w:val="bottom"/>
          </w:tcPr>
          <w:p>
            <w:pPr>
              <w:ind w:left="1340"/>
              <w:spacing w:after="0"/>
              <w:rPr>
                <w:sz w:val="20"/>
                <w:szCs w:val="20"/>
                <w:color w:val="auto"/>
              </w:rPr>
            </w:pPr>
            <w:r>
              <w:rPr>
                <w:rFonts w:ascii="Arial" w:cs="Arial" w:eastAsia="Arial" w:hAnsi="Arial"/>
                <w:sz w:val="18"/>
                <w:szCs w:val="18"/>
                <w:color w:val="auto"/>
              </w:rPr>
              <w:t>Total current assets</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2,649,988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346,549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2,996,537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2,153,154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1,355,892</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5,508,603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5,508,603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2,096,893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2,096,893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1,330,304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349,763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1,680,067</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13,738,942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13,637,992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1200"/>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Current maturities of long-term borrowings</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53,441</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53,441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payable</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866,162</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1,277,672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1,254,146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current liabilities</w:t>
            </w: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2,197,275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2,173,749</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1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7,323,706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7,323,706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and Other Noncurrent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968,913</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Redeemable Noncontrolling Interest</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10,047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10,047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Capital surplus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3,154,479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3,154,479</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Retained earnings</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990,439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(56,316)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934,123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(132,996)</w:t>
            </w:r>
          </w:p>
        </w:tc>
        <w:tc>
          <w:tcPr>
            <w:tcW w:w="0" w:type="dxa"/>
            <w:vAlign w:val="bottom"/>
          </w:tcPr>
          <w:p>
            <w:pPr>
              <w:spacing w:after="0"/>
              <w:rPr>
                <w:sz w:val="1"/>
                <w:szCs w:val="1"/>
                <w:color w:val="auto"/>
              </w:rPr>
            </w:pPr>
          </w:p>
        </w:tc>
      </w:tr>
      <w:tr>
        <w:trPr>
          <w:trHeight w:val="243"/>
        </w:trPr>
        <w:tc>
          <w:tcPr>
            <w:tcW w:w="5360" w:type="dxa"/>
            <w:vAlign w:val="bottom"/>
          </w:tcPr>
          <w:p>
            <w:pPr>
              <w:ind w:left="900"/>
              <w:spacing w:after="0"/>
              <w:rPr>
                <w:sz w:val="20"/>
                <w:szCs w:val="20"/>
                <w:color w:val="auto"/>
              </w:rPr>
            </w:pPr>
            <w:r>
              <w:rPr>
                <w:rFonts w:ascii="Arial" w:cs="Arial" w:eastAsia="Arial" w:hAnsi="Arial"/>
                <w:sz w:val="18"/>
                <w:szCs w:val="18"/>
                <w:color w:val="auto"/>
              </w:rPr>
              <w:t>Treasury stock</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(796,836)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(796,836)</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3,217,893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3,161,577</w:t>
            </w: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13,738,942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13,637,992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3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compares the reported Condensed Consolidated Statements of Income for the three month period ended December 28, 2018, to the balances had the previous revenue accounting guidance remained in effect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gridSpan w:val="8"/>
          </w:tcPr>
          <w:p>
            <w:pPr>
              <w:jc w:val="center"/>
              <w:ind w:right="311"/>
              <w:spacing w:after="0"/>
              <w:rPr>
                <w:sz w:val="20"/>
                <w:szCs w:val="20"/>
                <w:color w:val="auto"/>
              </w:rPr>
            </w:pPr>
            <w:r>
              <w:rPr>
                <w:rFonts w:ascii="Arial" w:cs="Arial" w:eastAsia="Arial" w:hAnsi="Arial"/>
                <w:sz w:val="14"/>
                <w:szCs w:val="14"/>
                <w:b w:val="1"/>
                <w:bCs w:val="1"/>
                <w:color w:val="auto"/>
                <w:w w:val="93"/>
              </w:rPr>
              <w:t>Three Months Ended December 28, 2018</w:t>
            </w:r>
          </w:p>
        </w:tc>
        <w:tc>
          <w:tcPr>
            <w:tcW w:w="0" w:type="dxa"/>
            <w:vAlign w:val="bottom"/>
          </w:tcPr>
          <w:p>
            <w:pPr>
              <w:spacing w:after="0"/>
              <w:rPr>
                <w:sz w:val="1"/>
                <w:szCs w:val="1"/>
                <w:color w:val="auto"/>
              </w:rPr>
            </w:pPr>
          </w:p>
        </w:tc>
      </w:tr>
      <w:tr>
        <w:trPr>
          <w:trHeight w:val="152"/>
        </w:trPr>
        <w:tc>
          <w:tcPr>
            <w:tcW w:w="5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8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Adoption adjustments of</w:t>
            </w:r>
          </w:p>
        </w:tc>
        <w:tc>
          <w:tcPr>
            <w:tcW w:w="1820" w:type="dxa"/>
            <w:vAlign w:val="bottom"/>
            <w:gridSpan w:val="2"/>
          </w:tcPr>
          <w:p>
            <w:pPr>
              <w:jc w:val="right"/>
              <w:ind w:right="11"/>
              <w:spacing w:after="0" w:line="153" w:lineRule="exact"/>
              <w:rPr>
                <w:sz w:val="20"/>
                <w:szCs w:val="20"/>
                <w:color w:val="auto"/>
              </w:rPr>
            </w:pPr>
            <w:r>
              <w:rPr>
                <w:rFonts w:ascii="Arial" w:cs="Arial" w:eastAsia="Arial" w:hAnsi="Arial"/>
                <w:sz w:val="14"/>
                <w:szCs w:val="14"/>
                <w:b w:val="1"/>
                <w:bCs w:val="1"/>
                <w:color w:val="auto"/>
                <w:w w:val="95"/>
              </w:rPr>
              <w:t>Balances without adoption</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ASC 606</w:t>
            </w:r>
          </w:p>
        </w:tc>
        <w:tc>
          <w:tcPr>
            <w:tcW w:w="140" w:type="dxa"/>
            <w:vAlign w:val="bottom"/>
          </w:tcPr>
          <w:p>
            <w:pPr>
              <w:spacing w:after="0"/>
              <w:rPr>
                <w:sz w:val="16"/>
                <w:szCs w:val="16"/>
                <w:color w:val="auto"/>
              </w:rPr>
            </w:pPr>
          </w:p>
        </w:tc>
        <w:tc>
          <w:tcPr>
            <w:tcW w:w="1680" w:type="dxa"/>
            <w:vAlign w:val="bottom"/>
          </w:tcPr>
          <w:p>
            <w:pPr>
              <w:jc w:val="right"/>
              <w:ind w:right="471"/>
              <w:spacing w:after="0"/>
              <w:rPr>
                <w:sz w:val="20"/>
                <w:szCs w:val="20"/>
                <w:color w:val="auto"/>
              </w:rPr>
            </w:pPr>
            <w:r>
              <w:rPr>
                <w:rFonts w:ascii="Arial" w:cs="Arial" w:eastAsia="Arial" w:hAnsi="Arial"/>
                <w:sz w:val="14"/>
                <w:szCs w:val="14"/>
                <w:b w:val="1"/>
                <w:bCs w:val="1"/>
                <w:color w:val="auto"/>
              </w:rPr>
              <w:t>of ASC 606</w:t>
            </w:r>
          </w:p>
        </w:tc>
        <w:tc>
          <w:tcPr>
            <w:tcW w:w="0" w:type="dxa"/>
            <w:vAlign w:val="bottom"/>
          </w:tcPr>
          <w:p>
            <w:pPr>
              <w:spacing w:after="0"/>
              <w:rPr>
                <w:sz w:val="1"/>
                <w:szCs w:val="1"/>
                <w:color w:val="auto"/>
              </w:rPr>
            </w:pPr>
          </w:p>
        </w:tc>
      </w:tr>
      <w:tr>
        <w:trPr>
          <w:trHeight w:val="324"/>
        </w:trPr>
        <w:tc>
          <w:tcPr>
            <w:tcW w:w="574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4,265,349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(88,507)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4,176,842</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Costs and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Cost of services provided</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3,794,445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(88,707)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3,705,738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153,727</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104,130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104,130</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(157,309)</w:t>
            </w:r>
          </w:p>
        </w:tc>
        <w:tc>
          <w:tcPr>
            <w:tcW w:w="0" w:type="dxa"/>
            <w:vAlign w:val="bottom"/>
          </w:tcPr>
          <w:p>
            <w:pPr>
              <w:spacing w:after="0"/>
              <w:rPr>
                <w:sz w:val="1"/>
                <w:szCs w:val="1"/>
                <w:color w:val="auto"/>
              </w:rPr>
            </w:pPr>
          </w:p>
        </w:tc>
      </w:tr>
      <w:tr>
        <w:trPr>
          <w:trHeight w:val="237"/>
        </w:trPr>
        <w:tc>
          <w:tcPr>
            <w:tcW w:w="57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3,891,987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(85,701)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3,806,286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373,362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370,556</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Interest and Other Financing Costs, net</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82,978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82,978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290,384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287,578</w:t>
            </w: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4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39,708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248,597</w:t>
            </w:r>
          </w:p>
        </w:tc>
        <w:tc>
          <w:tcPr>
            <w:tcW w:w="0" w:type="dxa"/>
            <w:vAlign w:val="bottom"/>
          </w:tcPr>
          <w:p>
            <w:pPr>
              <w:spacing w:after="0"/>
              <w:rPr>
                <w:sz w:val="1"/>
                <w:szCs w:val="1"/>
                <w:color w:val="auto"/>
              </w:rPr>
            </w:pPr>
          </w:p>
        </w:tc>
      </w:tr>
      <w:tr>
        <w:trPr>
          <w:trHeight w:val="243"/>
        </w:trPr>
        <w:tc>
          <w:tcPr>
            <w:tcW w:w="5740" w:type="dxa"/>
            <w:vAlign w:val="bottom"/>
          </w:tcPr>
          <w:p>
            <w:pPr>
              <w:ind w:left="460"/>
              <w:spacing w:after="0"/>
              <w:rPr>
                <w:sz w:val="20"/>
                <w:szCs w:val="20"/>
                <w:color w:val="auto"/>
              </w:rPr>
            </w:pPr>
            <w:r>
              <w:rPr>
                <w:rFonts w:ascii="Arial" w:cs="Arial" w:eastAsia="Arial" w:hAnsi="Arial"/>
                <w:sz w:val="18"/>
                <w:szCs w:val="18"/>
                <w:color w:val="auto"/>
              </w:rPr>
              <w:t>Less: Net income (loss) attributable to noncontrolling interest</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Net income attributable to Aramark stockholders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250,682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248,603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Disaggregation of Revenue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6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revenue disaggregated by revenue source (in millions):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5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right"/>
              <w:ind w:right="331"/>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276"/>
        </w:trPr>
        <w:tc>
          <w:tcPr>
            <w:tcW w:w="57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1"/>
              </w:rPr>
              <w:t>December 28, 2018</w:t>
            </w: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FSS United States: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Business &amp; Industry</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Education</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Healthcare</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Sports, Leisure &amp; Corrections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594.3</w:t>
            </w: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Facilities &amp; Other</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FSS United States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2,660.3</w:t>
            </w:r>
          </w:p>
        </w:tc>
        <w:tc>
          <w:tcPr>
            <w:tcW w:w="0" w:type="dxa"/>
            <w:vAlign w:val="bottom"/>
          </w:tcPr>
          <w:p>
            <w:pPr>
              <w:spacing w:after="0"/>
              <w:rPr>
                <w:sz w:val="1"/>
                <w:szCs w:val="1"/>
                <w:color w:val="auto"/>
              </w:rPr>
            </w:pPr>
          </w:p>
        </w:tc>
      </w:tr>
      <w:tr>
        <w:trPr>
          <w:trHeight w:val="324"/>
        </w:trPr>
        <w:tc>
          <w:tcPr>
            <w:tcW w:w="5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FSS International:</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22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37"/>
        </w:trPr>
        <w:tc>
          <w:tcPr>
            <w:tcW w:w="5740" w:type="dxa"/>
            <w:vAlign w:val="bottom"/>
          </w:tcPr>
          <w:p>
            <w:pPr>
              <w:ind w:left="480"/>
              <w:spacing w:after="0"/>
              <w:rPr>
                <w:sz w:val="20"/>
                <w:szCs w:val="20"/>
                <w:color w:val="auto"/>
              </w:rPr>
            </w:pPr>
            <w:r>
              <w:rPr>
                <w:rFonts w:ascii="Arial" w:cs="Arial" w:eastAsia="Arial" w:hAnsi="Arial"/>
                <w:sz w:val="18"/>
                <w:szCs w:val="18"/>
                <w:color w:val="auto"/>
              </w:rPr>
              <w:t>Total FSS International</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953.1</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Uniform</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4,265.3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79"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4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defers sales commissions earned by our sales force that are considered to be incremental and recoverable costs of obtaining a contract tied to its food, facilities and uniform services. The deferred costs are amortized using the portfolio approach on a straight line basis over the average period of benefit and are assessed for impairment on a periodic basis. Determination of the amortization period and the subsequent assessment for impairment of the contract cost asset requires judgment. During the three months ended December 28, 2018, the Company expensed approximately $3.6 million of these costs to “Cost of services provided” in the Condensed Consolidated Statements of Income.</w:t>
      </w:r>
    </w:p>
    <w:p>
      <w:pPr>
        <w:spacing w:after="0" w:line="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Costs to fulfill contracts includes payments made by the Company to enhance the service resources used by the Company to satisfy its performance obligation. These amounts are amortized over the contract period. If a contract is terminated prior to its maturity date, the Company is typically reimbursed for the unamortized amount. During the three months ended December 28, 2018, the Company expensed approximately $5.1 million of these costs to "Depreciation and amortization" in the Condensed Consolidated Statements of Income.</w:t>
      </w:r>
    </w:p>
    <w:p>
      <w:pPr>
        <w:spacing w:after="0" w:line="10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Other costs to fulfill contracts represent personalized work apparel, linens and other rental items in service. The amounts are recorded at cost and are amortized over their estimated useful lives, which primarily range from one to four years. The amortization rates used are based on the Company's specific experience. The Company recorded expense of approximately $79.1 million during the three months ended December 28, 2018 related to these costs, which was recorded in "Costs of services provided" in the Condensed Consolidated Statements of Income.</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Deferred income is recognized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10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three months ended December 28, 2018, deferred income increased related to customer prepayments and decreased related to income recognized during the period as a result of the redemption of the advanced consideration. Below is a summary of the changes (in millions):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Balance, September 28,</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Add: Net increase in current period</w:t>
            </w:r>
          </w:p>
        </w:tc>
        <w:tc>
          <w:tcPr>
            <w:tcW w:w="2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Less: Recognition of deferred income</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December 28,</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deferred income</w:t>
            </w:r>
          </w:p>
        </w:tc>
        <w:tc>
          <w:tcPr>
            <w:tcW w:w="25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Deferred income</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281.5</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155.3</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41"/>
        </w:trPr>
        <w:tc>
          <w:tcPr>
            <w:tcW w:w="30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4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December 22, 2017, “H.R.1,” commonly referred to as the “Tax Cuts and Jobs Act” (the “Tax Legislation”) was signed into U.S. law. The Tax Legislation, which was effective on January 1, 2018, significantly revised the U.S. tax code by, among other things, lowering the corporate income tax rate from 35.0% to 21.0% and implementing new international tax provisions that include a one-time transition tax on deemed repatriated earnings of foreign subsidiaries. Though certain key aspects of the new law were effective January 1, 2018 and had an immediate accounting impact, other significant provisions were not effective or did not result in accounting implications for the Company until after the fiscal year-end September 28, 2018. The provisions effective for fiscal 2019 are the tax on "Global Intangible Low-Taxed Income" ("GILTI"), the deduction for "Foreign-Derived Intangible Income" ("FDII"), the 163(j) limitation on interest expense and the 162(m) limitation on certain executive compensation.</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2018, the Company made reasonable estimates related to certain impacts of the Tax Legislation and, in accordance with the Securities and Exchange Commission (“SEC”) Staff Accountant Bulletin No. 118, Income Tax Accounting Implications of the Tax Cut and Jobs Act (“SAB 118”), recorded provisional estimates during a measurement period, when it did not have the necessary information available, prepared, or analyzed in reasonable detail to complete its accounting for the change in tax law.</w:t>
      </w:r>
    </w:p>
    <w:p>
      <w:pPr>
        <w:spacing w:after="0" w:line="13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result of the Tax Legislation, the Company reassessed the ability to recover its $27.2 million of foreign tax credit ("FTC") carryforwards. Based on currently available information, the Company believed it would not generate sufficient foreign source income in the carryforward period to utilize a portion of these credits. As a result, the Company recorded a valuation allowance of $13.1 million against its foreign tax credit carryforward during the fiscal year ended September 28, 2018 as a provisional estimate. On the basis of proposed Treasury Regulations issued subsequent to the filing of the Company's Annual Report on Form 10-K on November 21, 2018, the Company recorded an adjustment to the valuation allowance to reduce the valuation allowance to $3.6 million. The adjustment to the valuation allowance resulted in a tax benefit to the provision for income taxes of $9.5 million.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7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Tax Legislation contains additional international provisions which impact the Company beginning in the period ended December 28, 2018, including the tax on “Global Intangible Low-Taxed Income” (“GILTI”). The impact of the GILTI liability is not expected to have a significant impact on the financial statements for the fiscal year ending September 27, 2019. The Company is electing to treat taxes due on future U.S. inclusions in taxable income related to GILTI as a current-period expense when incurred (the “period cost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for the impact of the Tax Legislation is complete and the Company closed the measurement period related to SAB 118.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three months ended December 28, 2018 and December 29, 2017, the Company paid dividends of approximately $27.2 million and $25.8 million to its stockholders, respectively. On January 30, 2019, the Company's Board declared a $0.110 dividend per share of common stock, payable on February 28, 2019, to shareholders of record on the close of business on February 14, 2019. During the first quarter of fiscal 2019, the Company completed a repurchase of 1.6 million shares of its common stock for $50.0 million. During the first quarter of fiscal 2018, the Company completed a repurchase of 0.6 million shares of its common stock for $24.4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14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following table summarizes the share-based compensation expense and related information for Time-Based Options ("TBOs"), Time-Based Restricted Stock Units ("RSUs"), Performance Stock Units and Performance Restricted Stock ("PSUs"), and Deferred Stock and Other Units classified as "Selling and general corporate expenses" in the Condensed Consolidated Statements of Income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 2018</w:t>
            </w:r>
          </w:p>
        </w:tc>
        <w:tc>
          <w:tcPr>
            <w:tcW w:w="220" w:type="dxa"/>
            <w:vAlign w:val="bottom"/>
          </w:tcPr>
          <w:p>
            <w:pPr>
              <w:spacing w:after="0"/>
              <w:rPr>
                <w:sz w:val="22"/>
                <w:szCs w:val="22"/>
                <w:color w:val="auto"/>
              </w:rPr>
            </w:pPr>
          </w:p>
        </w:tc>
        <w:tc>
          <w:tcPr>
            <w:tcW w:w="148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December 29,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TBOs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RSUs</w:t>
            </w: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5.8</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PSUs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Stock and Other Units</w:t>
            </w:r>
          </w:p>
        </w:tc>
        <w:tc>
          <w:tcPr>
            <w:tcW w:w="2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Taxes related to share-based compensation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7"/>
        </w:trPr>
        <w:tc>
          <w:tcPr>
            <w:tcW w:w="7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summarizes the number of shares granted and the weighted-average grant-date fair value per unit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 Granted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Date Fair Value (dollars per</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share)</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TBOs</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PSUs</w:t>
            </w:r>
            <w:r>
              <w:rPr>
                <w:rFonts w:ascii="Arial" w:cs="Arial" w:eastAsia="Arial" w:hAnsi="Arial"/>
                <w:sz w:val="25"/>
                <w:szCs w:val="25"/>
                <w:color w:val="auto"/>
                <w:vertAlign w:val="superscript"/>
              </w:rPr>
              <w:t>(1)</w:t>
            </w:r>
          </w:p>
        </w:tc>
        <w:tc>
          <w:tcPr>
            <w:tcW w:w="13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00" w:hanging="465"/>
        <w:spacing w:after="0"/>
        <w:tabs>
          <w:tab w:leader="none" w:pos="500" w:val="left"/>
        </w:tabs>
        <w:numPr>
          <w:ilvl w:val="0"/>
          <w:numId w:val="6"/>
        </w:numPr>
        <w:rPr>
          <w:rFonts w:ascii="Arial" w:cs="Arial" w:eastAsia="Arial" w:hAnsi="Arial"/>
          <w:sz w:val="25"/>
          <w:szCs w:val="25"/>
          <w:color w:val="auto"/>
          <w:vertAlign w:val="superscript"/>
        </w:rPr>
      </w:pPr>
      <w:r>
        <w:rPr>
          <w:rFonts w:ascii="Arial" w:cs="Arial" w:eastAsia="Arial" w:hAnsi="Arial"/>
          <w:sz w:val="13"/>
          <w:szCs w:val="13"/>
          <w:color w:val="auto"/>
        </w:rPr>
        <w:t>Includes approximately 0.5 million shares resulting from the payout of the 2016 PSU grants due to exceeding the adjusted earnings per share target.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79"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48"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awards.</w:t>
      </w:r>
    </w:p>
    <w:p>
      <w:pPr>
        <w:spacing w:after="0" w:line="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attributable to the Company's stockholders (in thousands, except per share data):</w:t>
      </w:r>
    </w:p>
    <w:p>
      <w:pPr>
        <w:spacing w:after="0" w:line="311"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 2018</w:t>
            </w:r>
          </w:p>
        </w:tc>
        <w:tc>
          <w:tcPr>
            <w:tcW w:w="22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December 29,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250,682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292,284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246,887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245,086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7,158</w:t>
            </w:r>
          </w:p>
        </w:tc>
      </w:tr>
      <w:tr>
        <w:trPr>
          <w:trHeight w:val="297"/>
        </w:trPr>
        <w:tc>
          <w:tcPr>
            <w:tcW w:w="79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2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253,656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252,244</w:t>
            </w:r>
          </w:p>
        </w:tc>
      </w:tr>
      <w:tr>
        <w:trPr>
          <w:trHeight w:val="311"/>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attributable to Aramark stockholders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r>
      <w:tr>
        <w:trPr>
          <w:trHeight w:val="27"/>
        </w:trPr>
        <w:tc>
          <w:tcPr>
            <w:tcW w:w="7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Share-based awards to purchase 4.6 million and 0.9 million shares were outstanding for the three months ended December 28, 2018 and December 29, 2017, respectively, but were not included in the computation of diluted earnings per common share, as their effect would have been antidilutive. In addition, PSUs related to 1.7 million shares and 1.9 million shares were outstanding for the three month periods of December 28, 2018 and December 29, 2017, respectively, but were not included in the computation of diluted earnings per common share, as the performance targets were not yet met.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4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Certain of the Company's lease arrangements, primarily vehicle leases, with terms of one to eight years, contain provisions related to residual value guarantees. The maximum potential liability to the Company under such arrangements was approximately $81.6 million at December 28, 2018 if the terminal fair value of vehicles coming off lease was zero. Consistent with past experience, management does not expect any significant payments will be required pursuant to these arrangements. No amounts have been accrued for guarantee arrangements at December 28, 2018.</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reported its operating results in three reportable segments: FSS United States, FSS International and Uniform. Corporate includes general expenses not specifically allocated to an individual segment and share-based compensation expense (see Note 10). In the Company's food and support services segments, approximately 77% of the global revenue is related to food services and 23% is related to facilities services. Financial information by segment follows (in millions):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9"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Revenue</w:t>
            </w:r>
          </w:p>
        </w:tc>
        <w:tc>
          <w:tcPr>
            <w:tcW w:w="1420" w:type="dxa"/>
            <w:vAlign w:val="bottom"/>
            <w:tcBorders>
              <w:bottom w:val="single" w:sz="8" w:color="auto"/>
            </w:tcBorders>
          </w:tcPr>
          <w:p>
            <w:pPr>
              <w:spacing w:after="0"/>
              <w:rPr>
                <w:sz w:val="16"/>
                <w:szCs w:val="16"/>
                <w:color w:val="auto"/>
              </w:rPr>
            </w:pPr>
          </w:p>
        </w:tc>
      </w:tr>
      <w:tr>
        <w:trPr>
          <w:trHeight w:val="250"/>
        </w:trPr>
        <w:tc>
          <w:tcPr>
            <w:tcW w:w="7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 2018</w:t>
            </w:r>
          </w:p>
        </w:tc>
        <w:tc>
          <w:tcPr>
            <w:tcW w:w="2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29,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953.1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913.0</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402.6</w:t>
            </w: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4,265.3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3,965.1</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r>
      <w:tr>
        <w:trPr>
          <w:trHeight w:val="515"/>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053"/>
              <w:spacing w:after="0"/>
              <w:rPr>
                <w:sz w:val="20"/>
                <w:szCs w:val="20"/>
                <w:color w:val="auto"/>
              </w:rPr>
            </w:pPr>
            <w:r>
              <w:rPr>
                <w:rFonts w:ascii="Arial" w:cs="Arial" w:eastAsia="Arial" w:hAnsi="Arial"/>
                <w:sz w:val="14"/>
                <w:szCs w:val="14"/>
                <w:b w:val="1"/>
                <w:bCs w:val="1"/>
                <w:color w:val="auto"/>
              </w:rPr>
              <w:t>Operating Income</w:t>
            </w:r>
          </w:p>
        </w:tc>
      </w:tr>
      <w:tr>
        <w:trPr>
          <w:trHeight w:val="250"/>
        </w:trPr>
        <w:tc>
          <w:tcPr>
            <w:tcW w:w="79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 2018</w:t>
            </w:r>
          </w:p>
        </w:tc>
        <w:tc>
          <w:tcPr>
            <w:tcW w:w="2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29,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21"/>
                <w:szCs w:val="21"/>
                <w:color w:val="auto"/>
              </w:rPr>
            </w:pP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43.9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44.5</w:t>
            </w:r>
          </w:p>
        </w:tc>
      </w:tr>
      <w:tr>
        <w:trPr>
          <w:trHeight w:val="237"/>
        </w:trPr>
        <w:tc>
          <w:tcPr>
            <w:tcW w:w="7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268.5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216.9</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142.7</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ASSETS AND FINANCIAL LIABILITIES:</w:t>
      </w:r>
    </w:p>
    <w:p>
      <w:pPr>
        <w:spacing w:after="0" w:line="1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8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44" w:lineRule="exact"/>
        <w:rPr>
          <w:rFonts w:ascii="Arial" w:cs="Arial" w:eastAsia="Arial" w:hAnsi="Arial"/>
          <w:sz w:val="18"/>
          <w:szCs w:val="18"/>
          <w:color w:val="auto"/>
        </w:rPr>
      </w:pPr>
    </w:p>
    <w:p>
      <w:pPr>
        <w:ind w:left="980" w:right="56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December 28, 2018 and September 28, 2018 was $7,230.7 million and $7,303.1 million, respectively. The carrying value of the Company's debt at December 28, 2018 and September 28, 2018 was $7,377.1 million and $7,244.0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79"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CONDENSED CONSOLIDATING FINANCIAL STATEMENTS OF ARAMARK AND SUBSIDIARIES: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consolidating financial statements of the Company have been prepared pursuant to Rule 3-10 of Regulation S-X.</w:t>
      </w:r>
    </w:p>
    <w:p>
      <w:pPr>
        <w:spacing w:after="0" w:line="14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condensed consolidating financial statements are presented for: (i) Aramark (the "Parent"); (ii) Aramark Services, Inc. and Aramark International Finance S.à r.l. (the "Issuers"); (iii) the guarantors; (iv) the non guarantors; (v) elimination entries necessary to consolidate the Parent with the Issuers, the guarantors and non guarantors; and (vi) the Company on a consolidated basis. Each of the guarantors is wholly-owned, directly or indirectly, by the Company.</w:t>
      </w:r>
    </w:p>
    <w:p>
      <w:pPr>
        <w:ind w:right="20"/>
        <w:spacing w:after="0" w:line="268" w:lineRule="auto"/>
        <w:rPr>
          <w:sz w:val="20"/>
          <w:szCs w:val="20"/>
          <w:color w:val="auto"/>
        </w:rPr>
      </w:pPr>
      <w:r>
        <w:rPr>
          <w:rFonts w:ascii="Arial" w:cs="Arial" w:eastAsia="Arial" w:hAnsi="Arial"/>
          <w:sz w:val="17"/>
          <w:szCs w:val="17"/>
          <w:color w:val="auto"/>
        </w:rPr>
        <w:t>The 5.125% Senior Notes due 2024 (the "2024 Notes"), 5.000% Senior Notes due April 1, 2025 (the "5.000% 2025 Notes"), 3.125% Senior Notes due April 1, 2025 (the "3.125% 2025 Notes" and, together with the 5.000% 2025 Notes, the "2025 Notes"), 4.75% Senior Notes due June 1, 2026 ("2026 Notes") and 5.000% Senior Notes due February 1, 2028 (the "2028 Notes") are obligations of the Company's wholly-owned subsidiary, Aramark Services, Inc., (other than the 3.125% 2025 Notes, which are obligations of the Company's wholly owned subsidiary, Aramark International Finance S.a.r.l) and are each jointly and severally guaranteed on a senior unsecured basis by the Company and substantially all of the Company's existing and future domestic subsidiaries (excluding the Receivables Facility subsidiary) ("Guarantors"). All other subsidiaries of the Company, either direct or indirect, do not guarantee the 2024 Notes, 2025 Notes, 2026 Notes or 2028 Notes ("Non Guarantors"). The Guarantors also guarantee certain other debt. These condensed consolidating financial statements have been prepared from the Company's financial information on the same basis of accounting as the condensed consolidated financial statements. Interest expense and certain other costs are partially allocated to all of the subsidiaries of the Company. Goodwill and other intangible assets have been allocated to the subsidiaries based on management's estimates.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79"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Non</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249,881</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504,123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1,374,099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1,880,299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118,742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371,111</w:t>
            </w:r>
          </w:p>
        </w:tc>
        <w:tc>
          <w:tcPr>
            <w:tcW w:w="0" w:type="dxa"/>
            <w:vAlign w:val="bottom"/>
          </w:tcPr>
          <w:p>
            <w:pPr>
              <w:spacing w:after="0"/>
              <w:rPr>
                <w:sz w:val="1"/>
                <w:szCs w:val="1"/>
                <w:color w:val="auto"/>
              </w:rPr>
            </w:pPr>
          </w:p>
        </w:tc>
      </w:tr>
      <w:tr>
        <w:trPr>
          <w:trHeight w:val="243"/>
        </w:trPr>
        <w:tc>
          <w:tcPr>
            <w:tcW w:w="3540" w:type="dxa"/>
            <w:vAlign w:val="bottom"/>
          </w:tcPr>
          <w:p>
            <w:pPr>
              <w:ind w:left="460"/>
              <w:spacing w:after="0"/>
              <w:rPr>
                <w:sz w:val="20"/>
                <w:szCs w:val="20"/>
                <w:color w:val="auto"/>
              </w:rPr>
            </w:pPr>
            <w:r>
              <w:rPr>
                <w:rFonts w:ascii="Arial" w:cs="Arial" w:eastAsia="Arial" w:hAnsi="Arial"/>
                <w:sz w:val="18"/>
                <w:szCs w:val="18"/>
                <w:color w:val="auto"/>
              </w:rPr>
              <w:t>Prepayments and other current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61,596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68,061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148,697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82,895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833,414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1,733,674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2,649,988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52,569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1,739,928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360,657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2,153,154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4,699,929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5,508,603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9"/>
              </w:rPr>
              <w:t>Investment in and Advances to Subsidiaries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3,217,888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7,192,089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764,712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(11,174,689)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2,096,893</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46,086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986,935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299,285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1,330,304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3,217,893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7,576,427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10,145,187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3,976,126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(11,176,691)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13,738,942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 AND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460"/>
              <w:spacing w:after="0"/>
              <w:rPr>
                <w:sz w:val="20"/>
                <w:szCs w:val="20"/>
                <w:color w:val="auto"/>
              </w:rPr>
            </w:pPr>
            <w:r>
              <w:rPr>
                <w:rFonts w:ascii="Arial" w:cs="Arial" w:eastAsia="Arial" w:hAnsi="Arial"/>
                <w:sz w:val="18"/>
                <w:szCs w:val="18"/>
                <w:color w:val="auto"/>
              </w:rPr>
              <w:t>Current maturities of long-term</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Arial" w:cs="Arial" w:eastAsia="Arial" w:hAnsi="Arial"/>
                <w:sz w:val="18"/>
                <w:szCs w:val="18"/>
                <w:color w:val="auto"/>
              </w:rPr>
              <w:t>borrowings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22,120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53,441</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387,545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304,467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866,162</w:t>
            </w:r>
          </w:p>
        </w:tc>
        <w:tc>
          <w:tcPr>
            <w:tcW w:w="0" w:type="dxa"/>
            <w:vAlign w:val="bottom"/>
          </w:tcPr>
          <w:p>
            <w:pPr>
              <w:spacing w:after="0"/>
              <w:rPr>
                <w:sz w:val="1"/>
                <w:szCs w:val="1"/>
                <w:color w:val="auto"/>
              </w:rPr>
            </w:pPr>
          </w:p>
        </w:tc>
      </w:tr>
      <w:tr>
        <w:trPr>
          <w:trHeight w:val="229"/>
        </w:trPr>
        <w:tc>
          <w:tcPr>
            <w:tcW w:w="35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232,306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684,373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360,905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1,277,672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410,129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1,099,566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687,492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2,197,275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6,368,256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75,566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879,884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7,323,706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Deferred Income Taxes and Other Noncurrent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418,957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500,138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990,021</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Intercompany Payable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4,946,829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631,565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(5,578,394)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w w:val="99"/>
              </w:rPr>
              <w:t>3,217,893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379,085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3,513,041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1,706,259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(5,598,385)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3,217,893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3,217,893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7,576,427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10,145,187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3,976,126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(11,176,691)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13,738,942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Aramark</w:t>
            </w:r>
          </w:p>
        </w:tc>
        <w:tc>
          <w:tcPr>
            <w:tcW w:w="220" w:type="dxa"/>
            <w:vAlign w:val="bottom"/>
          </w:tcPr>
          <w:p>
            <w:pPr>
              <w:spacing w:after="0"/>
              <w:rPr>
                <w:sz w:val="14"/>
                <w:szCs w:val="14"/>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Issuers</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Non</w:t>
            </w:r>
          </w:p>
        </w:tc>
        <w:tc>
          <w:tcPr>
            <w:tcW w:w="220" w:type="dxa"/>
            <w:vAlign w:val="bottom"/>
          </w:tcPr>
          <w:p>
            <w:pPr>
              <w:spacing w:after="0"/>
              <w:rPr>
                <w:sz w:val="14"/>
                <w:szCs w:val="14"/>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(Parent)</w:t>
            </w: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215,025</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443,599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1,345,796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1,790,433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724,802</w:t>
            </w:r>
          </w:p>
        </w:tc>
        <w:tc>
          <w:tcPr>
            <w:tcW w:w="0" w:type="dxa"/>
            <w:vAlign w:val="bottom"/>
          </w:tcPr>
          <w:p>
            <w:pPr>
              <w:spacing w:after="0"/>
              <w:rPr>
                <w:sz w:val="1"/>
                <w:szCs w:val="1"/>
                <w:color w:val="auto"/>
              </w:rPr>
            </w:pPr>
          </w:p>
        </w:tc>
      </w:tr>
      <w:tr>
        <w:trPr>
          <w:trHeight w:val="243"/>
        </w:trPr>
        <w:tc>
          <w:tcPr>
            <w:tcW w:w="3440" w:type="dxa"/>
            <w:vAlign w:val="bottom"/>
          </w:tcPr>
          <w:p>
            <w:pPr>
              <w:ind w:left="460"/>
              <w:spacing w:after="0"/>
              <w:rPr>
                <w:sz w:val="20"/>
                <w:szCs w:val="20"/>
                <w:color w:val="auto"/>
              </w:rPr>
            </w:pPr>
            <w:r>
              <w:rPr>
                <w:rFonts w:ascii="Arial" w:cs="Arial" w:eastAsia="Arial" w:hAnsi="Arial"/>
                <w:sz w:val="18"/>
                <w:szCs w:val="18"/>
                <w:color w:val="auto"/>
                <w:w w:val="96"/>
              </w:rPr>
              <w:t>Prepayments and other current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171,165</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1,151,802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1,660,596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2,901,425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28,341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1,013,523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336,230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1,378,094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4,783,547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653,917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5,610,568</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w w:val="96"/>
              </w:rPr>
              <w:t>Investment in and Advances to Subsidiaries</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3,029,553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w w:val="97"/>
              </w:rPr>
              <w:t>7,441,605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844,245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(11,405,452)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1,919,795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2,136,844</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100,754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1,264,976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329,443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1,693,171</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b w:val="1"/>
                <w:bCs w:val="1"/>
                <w:color w:val="auto"/>
              </w:rPr>
              <w:t>LIABILITIES AND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Current maturities of long-term</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borrowings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26,564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30,907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406,854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1,018,920</w:t>
            </w:r>
          </w:p>
        </w:tc>
        <w:tc>
          <w:tcPr>
            <w:tcW w:w="0" w:type="dxa"/>
            <w:vAlign w:val="bottom"/>
          </w:tcPr>
          <w:p>
            <w:pPr>
              <w:spacing w:after="0"/>
              <w:rPr>
                <w:sz w:val="1"/>
                <w:szCs w:val="1"/>
                <w:color w:val="auto"/>
              </w:rPr>
            </w:pPr>
          </w:p>
        </w:tc>
      </w:tr>
      <w:tr>
        <w:trPr>
          <w:trHeight w:val="229"/>
        </w:trPr>
        <w:tc>
          <w:tcPr>
            <w:tcW w:w="3440" w:type="dxa"/>
            <w:vAlign w:val="bottom"/>
          </w:tcPr>
          <w:p>
            <w:pPr>
              <w:ind w:left="460"/>
              <w:spacing w:after="0"/>
              <w:rPr>
                <w:sz w:val="20"/>
                <w:szCs w:val="20"/>
                <w:color w:val="auto"/>
              </w:rPr>
            </w:pPr>
            <w:r>
              <w:rPr>
                <w:rFonts w:ascii="Arial" w:cs="Arial" w:eastAsia="Arial" w:hAnsi="Arial"/>
                <w:sz w:val="18"/>
                <w:szCs w:val="18"/>
                <w:color w:val="auto"/>
              </w:rPr>
              <w:t>Accrued expenses and other current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68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205,807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926,794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307,643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1,440,332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334,267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1,436,964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718,840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2,490,159</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Long-term Borrowings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6,651,110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479,870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7,213,077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Deferred Income Taxes and Other Noncurrent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432,583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466,331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977,215</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Intercompany Payable</w:t>
            </w:r>
          </w:p>
        </w:tc>
        <w:tc>
          <w:tcPr>
            <w:tcW w:w="2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4,827,084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955,407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(5,782,491)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444,550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3,401,123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1,779,378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(5,625,051)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3,029,558</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3,029,558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7,862,510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4,011,796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13,720,102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4200" w:type="dxa"/>
        <w:tblCellMar>
          <w:top w:w="0" w:type="dxa"/>
          <w:left w:w="0" w:type="dxa"/>
          <w:bottom w:w="0" w:type="dxa"/>
          <w:right w:w="0" w:type="dxa"/>
        </w:tblCellMar>
      </w:tblPr>
      <w:tr>
        <w:trPr>
          <w:trHeight w:val="161"/>
        </w:trPr>
        <w:tc>
          <w:tcPr>
            <w:tcW w:w="92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Aramark</w:t>
            </w:r>
          </w:p>
        </w:tc>
        <w:tc>
          <w:tcPr>
            <w:tcW w:w="11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Issuers</w:t>
            </w:r>
          </w:p>
        </w:tc>
        <w:tc>
          <w:tcPr>
            <w:tcW w:w="13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Guarantors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Non</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Eliminations</w:t>
            </w:r>
          </w:p>
        </w:tc>
        <w:tc>
          <w:tcPr>
            <w:tcW w:w="108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6"/>
        </w:trPr>
        <w:tc>
          <w:tcPr>
            <w:tcW w:w="920" w:type="dxa"/>
            <w:vAlign w:val="bottom"/>
          </w:tcPr>
          <w:p>
            <w:pPr>
              <w:jc w:val="center"/>
              <w:ind w:right="288"/>
              <w:spacing w:after="0"/>
              <w:rPr>
                <w:sz w:val="20"/>
                <w:szCs w:val="20"/>
                <w:color w:val="auto"/>
              </w:rPr>
            </w:pPr>
            <w:r>
              <w:rPr>
                <w:rFonts w:ascii="Arial" w:cs="Arial" w:eastAsia="Arial" w:hAnsi="Arial"/>
                <w:sz w:val="14"/>
                <w:szCs w:val="14"/>
                <w:b w:val="1"/>
                <w:bCs w:val="1"/>
                <w:color w:val="auto"/>
                <w:w w:val="98"/>
              </w:rPr>
              <w:t>(Parent)</w:t>
            </w:r>
          </w:p>
        </w:tc>
        <w:tc>
          <w:tcPr>
            <w:tcW w:w="112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3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79" w:right="239" w:bottom="1440" w:gutter="0" w:footer="0" w:header="0"/>
        </w:sectPr>
      </w:pPr>
    </w:p>
    <w:tbl>
      <w:tblPr>
        <w:tblLayout w:type="fixed"/>
        <w:tblInd w:w="40" w:type="dxa"/>
        <w:tblCellMar>
          <w:top w:w="0" w:type="dxa"/>
          <w:left w:w="0" w:type="dxa"/>
          <w:bottom w:w="0" w:type="dxa"/>
          <w:right w:w="0" w:type="dxa"/>
        </w:tblCellMar>
      </w:tblPr>
      <w:tr>
        <w:trPr>
          <w:trHeight w:val="250"/>
        </w:trPr>
        <w:tc>
          <w:tcPr>
            <w:tcW w:w="386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
        </w:trPr>
        <w:tc>
          <w:tcPr>
            <w:tcW w:w="386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860" w:type="dxa"/>
            <w:vAlign w:val="bottom"/>
          </w:tcPr>
          <w:p>
            <w:pPr>
              <w:ind w:left="420"/>
              <w:spacing w:after="0"/>
              <w:rPr>
                <w:sz w:val="20"/>
                <w:szCs w:val="20"/>
                <w:color w:val="auto"/>
              </w:rPr>
            </w:pPr>
            <w:r>
              <w:rPr>
                <w:rFonts w:ascii="Arial" w:cs="Arial" w:eastAsia="Arial" w:hAnsi="Arial"/>
                <w:sz w:val="18"/>
                <w:szCs w:val="18"/>
                <w:color w:val="auto"/>
              </w:rPr>
              <w:t>Cost of services provided</w:t>
            </w:r>
          </w:p>
        </w:tc>
        <w:tc>
          <w:tcPr>
            <w:tcW w:w="24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20"/>
              <w:spacing w:after="0"/>
              <w:rPr>
                <w:sz w:val="20"/>
                <w:szCs w:val="20"/>
                <w:color w:val="auto"/>
              </w:rPr>
            </w:pPr>
            <w:r>
              <w:rPr>
                <w:rFonts w:ascii="Arial" w:cs="Arial" w:eastAsia="Arial" w:hAnsi="Arial"/>
                <w:sz w:val="18"/>
                <w:szCs w:val="18"/>
                <w:color w:val="auto"/>
              </w:rPr>
              <w:t>Selling and general corporate expenses</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20"/>
              <w:spacing w:after="0"/>
              <w:rPr>
                <w:sz w:val="20"/>
                <w:szCs w:val="20"/>
                <w:color w:val="auto"/>
              </w:rPr>
            </w:pPr>
            <w:r>
              <w:rPr>
                <w:rFonts w:ascii="Arial" w:cs="Arial" w:eastAsia="Arial" w:hAnsi="Arial"/>
                <w:sz w:val="18"/>
                <w:szCs w:val="18"/>
                <w:color w:val="auto"/>
              </w:rPr>
              <w:t>Gain on sale of Healthcare Technologies</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20"/>
              <w:spacing w:after="0"/>
              <w:rPr>
                <w:sz w:val="20"/>
                <w:szCs w:val="20"/>
                <w:color w:val="auto"/>
              </w:rPr>
            </w:pPr>
            <w:r>
              <w:rPr>
                <w:rFonts w:ascii="Arial" w:cs="Arial" w:eastAsia="Arial" w:hAnsi="Arial"/>
                <w:sz w:val="18"/>
                <w:szCs w:val="18"/>
                <w:color w:val="auto"/>
              </w:rPr>
              <w:t>Interest and other financing costs, net</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20"/>
              <w:spacing w:after="0"/>
              <w:rPr>
                <w:sz w:val="20"/>
                <w:szCs w:val="20"/>
                <w:color w:val="auto"/>
              </w:rPr>
            </w:pPr>
            <w:r>
              <w:rPr>
                <w:rFonts w:ascii="Arial" w:cs="Arial" w:eastAsia="Arial" w:hAnsi="Arial"/>
                <w:sz w:val="18"/>
                <w:szCs w:val="18"/>
                <w:color w:val="auto"/>
              </w:rPr>
              <w:t>Expense allocations</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vMerge w:val="restart"/>
          </w:tcPr>
          <w:p>
            <w:pPr>
              <w:ind w:left="4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8"/>
                <w:szCs w:val="18"/>
                <w:color w:val="auto"/>
              </w:rPr>
              <w:t>Equity in Net Income of Subsidiaries</w:t>
            </w:r>
          </w:p>
        </w:tc>
        <w:tc>
          <w:tcPr>
            <w:tcW w:w="24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250,682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860" w:type="dxa"/>
            <w:vAlign w:val="bottom"/>
            <w:vMerge w:val="restart"/>
          </w:tcPr>
          <w:p>
            <w:pPr>
              <w:ind w:left="4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250,682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60" w:type="dxa"/>
            <w:vAlign w:val="bottom"/>
          </w:tcPr>
          <w:p>
            <w:pPr>
              <w:ind w:left="420"/>
              <w:spacing w:after="0"/>
              <w:rPr>
                <w:sz w:val="20"/>
                <w:szCs w:val="20"/>
                <w:color w:val="auto"/>
              </w:rPr>
            </w:pPr>
            <w:r>
              <w:rPr>
                <w:rFonts w:ascii="Arial" w:cs="Arial" w:eastAsia="Arial" w:hAnsi="Arial"/>
                <w:sz w:val="18"/>
                <w:szCs w:val="18"/>
                <w:color w:val="auto"/>
              </w:rPr>
              <w:t>Less: Net income (loss) attributable to</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6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6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Aramark</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64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250,682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420"/>
              <w:spacing w:after="0"/>
              <w:rPr>
                <w:sz w:val="20"/>
                <w:szCs w:val="20"/>
                <w:color w:val="auto"/>
              </w:rPr>
            </w:pPr>
            <w:r>
              <w:rPr>
                <w:rFonts w:ascii="Arial" w:cs="Arial" w:eastAsia="Arial" w:hAnsi="Arial"/>
                <w:sz w:val="18"/>
                <w:szCs w:val="18"/>
                <w:color w:val="auto"/>
                <w:w w:val="92"/>
              </w:rPr>
              <w:t>Other comprehensive income (loss), net of tax</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(41,773)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860" w:type="dxa"/>
            <w:vAlign w:val="bottom"/>
            <w:vMerge w:val="restart"/>
          </w:tcPr>
          <w:p>
            <w:pPr>
              <w:ind w:left="420"/>
              <w:spacing w:after="0"/>
              <w:rPr>
                <w:sz w:val="20"/>
                <w:szCs w:val="20"/>
                <w:color w:val="auto"/>
              </w:rPr>
            </w:pPr>
            <w:r>
              <w:rPr>
                <w:rFonts w:ascii="Arial" w:cs="Arial" w:eastAsia="Arial" w:hAnsi="Arial"/>
                <w:sz w:val="18"/>
                <w:szCs w:val="18"/>
                <w:color w:val="auto"/>
                <w:w w:val="97"/>
              </w:rPr>
              <w:t>Comprehensive income (loss) attributable to</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208,909</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860" w:type="dxa"/>
            <w:vAlign w:val="bottom"/>
          </w:tcPr>
          <w:p>
            <w:pPr>
              <w:ind w:left="640"/>
              <w:spacing w:after="0"/>
              <w:rPr>
                <w:sz w:val="20"/>
                <w:szCs w:val="20"/>
                <w:color w:val="auto"/>
              </w:rPr>
            </w:pPr>
            <w:r>
              <w:rPr>
                <w:rFonts w:ascii="Arial" w:cs="Arial" w:eastAsia="Arial" w:hAnsi="Arial"/>
                <w:sz w:val="18"/>
                <w:szCs w:val="18"/>
                <w:color w:val="auto"/>
              </w:rPr>
              <w:t>Aramark stockholders</w:t>
            </w: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268,522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2,848,927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1,147,900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4,265,349</w:t>
            </w:r>
          </w:p>
        </w:tc>
      </w:tr>
      <w:tr>
        <w:trPr>
          <w:trHeight w:val="27"/>
        </w:trPr>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07"/>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246,609</w:t>
            </w:r>
          </w:p>
        </w:tc>
        <w:tc>
          <w:tcPr>
            <w:tcW w:w="2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2,464,602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1,083,234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3,794,445</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4,472</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120,982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25,267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150,721</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55,742</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41,552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104,130</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(157,309)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(157,309)</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78,560</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82,978</w:t>
            </w:r>
          </w:p>
        </w:tc>
      </w:tr>
      <w:tr>
        <w:trPr>
          <w:trHeight w:val="270"/>
        </w:trPr>
        <w:tc>
          <w:tcPr>
            <w:tcW w:w="860" w:type="dxa"/>
            <w:vAlign w:val="bottom"/>
          </w:tcPr>
          <w:p>
            <w:pPr>
              <w:jc w:val="right"/>
              <w:ind w:right="70"/>
              <w:spacing w:after="0"/>
              <w:rPr>
                <w:sz w:val="20"/>
                <w:szCs w:val="20"/>
                <w:color w:val="auto"/>
              </w:rPr>
            </w:pPr>
            <w:r>
              <w:rPr>
                <w:rFonts w:ascii="Arial" w:cs="Arial" w:eastAsia="Arial" w:hAnsi="Arial"/>
                <w:sz w:val="18"/>
                <w:szCs w:val="18"/>
                <w:color w:val="auto"/>
                <w:w w:val="88"/>
              </w:rPr>
              <w:t>(230,589)</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225,801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154,794</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2,696,599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1,123,572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3,974,965</w:t>
            </w:r>
          </w:p>
        </w:tc>
      </w:tr>
      <w:tr>
        <w:trPr>
          <w:trHeight w:val="27"/>
        </w:trPr>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113,728</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152,328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290,384</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8,741</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39,708</w:t>
            </w:r>
          </w:p>
        </w:tc>
      </w:tr>
      <w:tr>
        <w:trPr>
          <w:trHeight w:val="270"/>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(250,682)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104,987</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127,328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18,361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(250,682)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250,676</w:t>
            </w:r>
          </w:p>
        </w:tc>
      </w:tr>
      <w:tr>
        <w:trPr>
          <w:trHeight w:val="486"/>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39"/>
        </w:trPr>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104,987</w:t>
            </w:r>
          </w:p>
        </w:tc>
        <w:tc>
          <w:tcPr>
            <w:tcW w:w="2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127,334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18,361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(250,682)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250,682</w:t>
            </w:r>
          </w:p>
        </w:tc>
      </w:tr>
      <w:tr>
        <w:trPr>
          <w:trHeight w:val="270"/>
        </w:trPr>
        <w:tc>
          <w:tcPr>
            <w:tcW w:w="860" w:type="dxa"/>
            <w:vAlign w:val="bottom"/>
          </w:tcPr>
          <w:p>
            <w:pPr>
              <w:jc w:val="right"/>
              <w:ind w:right="70"/>
              <w:spacing w:after="0"/>
              <w:rPr>
                <w:sz w:val="20"/>
                <w:szCs w:val="20"/>
                <w:color w:val="auto"/>
              </w:rPr>
            </w:pPr>
            <w:r>
              <w:rPr>
                <w:rFonts w:ascii="Arial" w:cs="Arial" w:eastAsia="Arial" w:hAnsi="Arial"/>
                <w:sz w:val="18"/>
                <w:szCs w:val="18"/>
                <w:color w:val="auto"/>
              </w:rPr>
              <w:t>(27,351)</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72,302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(41,773)</w:t>
            </w:r>
          </w:p>
        </w:tc>
      </w:tr>
      <w:tr>
        <w:trPr>
          <w:trHeight w:val="27"/>
        </w:trPr>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26"/>
        </w:trPr>
        <w:tc>
          <w:tcPr>
            <w:tcW w:w="860" w:type="dxa"/>
            <w:vAlign w:val="bottom"/>
          </w:tcPr>
          <w:p>
            <w:pPr>
              <w:jc w:val="right"/>
              <w:ind w:right="130"/>
              <w:spacing w:after="0"/>
              <w:rPr>
                <w:sz w:val="20"/>
                <w:szCs w:val="20"/>
                <w:color w:val="auto"/>
              </w:rPr>
            </w:pPr>
            <w:r>
              <w:rPr>
                <w:rFonts w:ascii="Arial" w:cs="Arial" w:eastAsia="Arial" w:hAnsi="Arial"/>
                <w:sz w:val="18"/>
                <w:szCs w:val="18"/>
                <w:color w:val="auto"/>
              </w:rPr>
              <w:t>77,636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127,334</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(26,590)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(178,380)</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208,909</w:t>
            </w:r>
          </w:p>
        </w:tc>
      </w:tr>
      <w:tr>
        <w:trPr>
          <w:trHeight w:val="27"/>
        </w:trPr>
        <w:tc>
          <w:tcPr>
            <w:tcW w:w="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-3026410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-2683510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-2340610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-1637030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-325120</wp:posOffset>
            </wp:positionV>
            <wp:extent cx="724662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-805180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-1294130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-1997710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-3206750</wp:posOffset>
            </wp:positionV>
            <wp:extent cx="720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280"/>
            <w:col w:w="5960"/>
          </w:cols>
          <w:pgMar w:left="240" w:top="179"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79"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258,271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2,643,266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1,063,581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3,965,118</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2,320,190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976,824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3,522,230</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105,895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23,463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133,849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Selling and general 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92,168</w:t>
            </w:r>
          </w:p>
        </w:tc>
        <w:tc>
          <w:tcPr>
            <w:tcW w:w="0" w:type="dxa"/>
            <w:vAlign w:val="bottom"/>
          </w:tcPr>
          <w:p>
            <w:pPr>
              <w:spacing w:after="0"/>
              <w:rPr>
                <w:sz w:val="1"/>
                <w:szCs w:val="1"/>
                <w:color w:val="auto"/>
              </w:rPr>
            </w:pPr>
          </w:p>
        </w:tc>
      </w:tr>
      <w:tr>
        <w:trPr>
          <w:trHeight w:val="243"/>
        </w:trPr>
        <w:tc>
          <w:tcPr>
            <w:tcW w:w="4000" w:type="dxa"/>
            <w:vAlign w:val="bottom"/>
          </w:tcPr>
          <w:p>
            <w:pPr>
              <w:ind w:left="460"/>
              <w:spacing w:after="0"/>
              <w:rPr>
                <w:sz w:val="20"/>
                <w:szCs w:val="20"/>
                <w:color w:val="auto"/>
              </w:rPr>
            </w:pPr>
            <w:r>
              <w:rPr>
                <w:rFonts w:ascii="Arial" w:cs="Arial" w:eastAsia="Arial" w:hAnsi="Arial"/>
                <w:sz w:val="18"/>
                <w:szCs w:val="18"/>
                <w:color w:val="auto"/>
              </w:rPr>
              <w:t>Interest and other financing costs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71,175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74,133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Expense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289,345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2,520,961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1,012,074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3,822,380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142,738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13,454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(149,702)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292,284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264,752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38,053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(292,284)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292,440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Less: Net income attributable to noncontrolling</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rPr>
              <w:t>Net income (loss) attributable to Aramark</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50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292,284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264,596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38,053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(292,284)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292,284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11,604</w:t>
            </w:r>
          </w:p>
        </w:tc>
        <w:tc>
          <w:tcPr>
            <w:tcW w:w="0" w:type="dxa"/>
            <w:vAlign w:val="bottom"/>
          </w:tcPr>
          <w:p>
            <w:pPr>
              <w:spacing w:after="0"/>
              <w:rPr>
                <w:sz w:val="1"/>
                <w:szCs w:val="1"/>
                <w:color w:val="auto"/>
              </w:rPr>
            </w:pPr>
          </w:p>
        </w:tc>
      </w:tr>
      <w:tr>
        <w:trPr>
          <w:trHeight w:val="209"/>
        </w:trPr>
        <w:tc>
          <w:tcPr>
            <w:tcW w:w="4000" w:type="dxa"/>
            <w:vAlign w:val="bottom"/>
          </w:tcPr>
          <w:p>
            <w:pPr>
              <w:ind w:left="500"/>
              <w:spacing w:after="0"/>
              <w:rPr>
                <w:sz w:val="20"/>
                <w:szCs w:val="20"/>
                <w:color w:val="auto"/>
              </w:rPr>
            </w:pPr>
            <w:r>
              <w:rPr>
                <w:rFonts w:ascii="Arial" w:cs="Arial" w:eastAsia="Arial" w:hAnsi="Arial"/>
                <w:sz w:val="18"/>
                <w:szCs w:val="18"/>
                <w:color w:val="auto"/>
                <w:w w:val="98"/>
              </w:rPr>
              <w:t>Comprehensive income (loss) attributable to</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303,888</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(4,976)</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264,596</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57,055</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(316,675)</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303,888</w:t>
            </w:r>
          </w:p>
        </w:tc>
        <w:tc>
          <w:tcPr>
            <w:tcW w:w="0" w:type="dxa"/>
            <w:vAlign w:val="bottom"/>
          </w:tcPr>
          <w:p>
            <w:pPr>
              <w:spacing w:after="0"/>
              <w:rPr>
                <w:sz w:val="1"/>
                <w:szCs w:val="1"/>
                <w:color w:val="auto"/>
              </w:rPr>
            </w:pPr>
          </w:p>
        </w:tc>
      </w:tr>
      <w:tr>
        <w:trPr>
          <w:trHeight w:val="242"/>
        </w:trPr>
        <w:tc>
          <w:tcPr>
            <w:tcW w:w="4000" w:type="dxa"/>
            <w:vAlign w:val="bottom"/>
          </w:tcPr>
          <w:p>
            <w:pPr>
              <w:ind w:left="500"/>
              <w:spacing w:after="0"/>
              <w:rPr>
                <w:sz w:val="20"/>
                <w:szCs w:val="20"/>
                <w:color w:val="auto"/>
              </w:rPr>
            </w:pPr>
            <w:r>
              <w:rPr>
                <w:rFonts w:ascii="Arial" w:cs="Arial" w:eastAsia="Arial" w:hAnsi="Arial"/>
                <w:sz w:val="18"/>
                <w:szCs w:val="18"/>
                <w:color w:val="auto"/>
              </w:rPr>
              <w:t>Aramark stockholders</w:t>
            </w:r>
          </w:p>
        </w:tc>
        <w:tc>
          <w:tcPr>
            <w:tcW w:w="2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3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240" w:type="dxa"/>
            <w:vAlign w:val="bottom"/>
          </w:tcPr>
          <w:p>
            <w:pPr>
              <w:spacing w:after="0"/>
              <w:rPr>
                <w:sz w:val="14"/>
                <w:szCs w:val="14"/>
                <w:color w:val="auto"/>
              </w:rPr>
            </w:pPr>
          </w:p>
        </w:tc>
        <w:tc>
          <w:tcPr>
            <w:tcW w:w="8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Net cash provided by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(207,414)</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divestiture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293,711</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rPr>
              <w:t>Acquisitions of businesses, net of cash</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acquired</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4"/>
              </w:rPr>
              <w:t>Net cash provided by (used in) investing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217,743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194,151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Proceeds from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72,723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72,723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(314,031)</w:t>
            </w:r>
          </w:p>
        </w:tc>
        <w:tc>
          <w:tcPr>
            <w:tcW w:w="0" w:type="dxa"/>
            <w:vAlign w:val="bottom"/>
          </w:tcPr>
          <w:p>
            <w:pPr>
              <w:spacing w:after="0"/>
              <w:rPr>
                <w:sz w:val="1"/>
                <w:szCs w:val="1"/>
                <w:color w:val="auto"/>
              </w:rPr>
            </w:pPr>
          </w:p>
        </w:tc>
      </w:tr>
      <w:tr>
        <w:trPr>
          <w:trHeight w:val="229"/>
        </w:trPr>
        <w:tc>
          <w:tcPr>
            <w:tcW w:w="3780" w:type="dxa"/>
            <w:vAlign w:val="bottom"/>
          </w:tcPr>
          <w:p>
            <w:pPr>
              <w:ind w:left="460"/>
              <w:spacing w:after="0"/>
              <w:rPr>
                <w:sz w:val="20"/>
                <w:szCs w:val="20"/>
                <w:color w:val="auto"/>
              </w:rPr>
            </w:pPr>
            <w:r>
              <w:rPr>
                <w:rFonts w:ascii="Arial" w:cs="Arial" w:eastAsia="Arial" w:hAnsi="Arial"/>
                <w:sz w:val="18"/>
                <w:szCs w:val="18"/>
                <w:color w:val="auto"/>
                <w:w w:val="91"/>
              </w:rPr>
              <w:t>Net change in funding under the Receivables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680"/>
              <w:spacing w:after="0"/>
              <w:rPr>
                <w:sz w:val="20"/>
                <w:szCs w:val="20"/>
                <w:color w:val="auto"/>
              </w:rPr>
            </w:pPr>
            <w:r>
              <w:rPr>
                <w:rFonts w:ascii="Arial" w:cs="Arial" w:eastAsia="Arial" w:hAnsi="Arial"/>
                <w:sz w:val="18"/>
                <w:szCs w:val="18"/>
                <w:color w:val="auto"/>
              </w:rPr>
              <w:t>Facility</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Payments of dividends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(27,161)</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w w:val="98"/>
              </w:rPr>
              <w:t>Proceeds from issuance of common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Repurchase of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Other financing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(24,489)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intercompany, 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(173,987)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111,812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105,794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48,119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34,856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50,716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29,844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134,460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215,025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172,772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249,881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9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Aramark</w:t>
            </w:r>
          </w:p>
        </w:tc>
        <w:tc>
          <w:tcPr>
            <w:tcW w:w="180" w:type="dxa"/>
            <w:vAlign w:val="bottom"/>
          </w:tcPr>
          <w:p>
            <w:pPr>
              <w:spacing w:after="0"/>
              <w:rPr>
                <w:sz w:val="14"/>
                <w:szCs w:val="14"/>
                <w:color w:val="auto"/>
              </w:rPr>
            </w:pPr>
          </w:p>
        </w:tc>
        <w:tc>
          <w:tcPr>
            <w:tcW w:w="94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Issuers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Guarantors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0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(191,802)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(311,449)</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Purchases of property and equipment and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(118,907)</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Disposals of property and equipment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 of businesses, net of cash</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acquired</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(1,386,378)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(1,321,688)</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Other investing activities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(used in) provided by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(1,388,090)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(1,442,786)</w:t>
            </w:r>
          </w:p>
        </w:tc>
        <w:tc>
          <w:tcPr>
            <w:tcW w:w="0" w:type="dxa"/>
            <w:vAlign w:val="bottom"/>
          </w:tcPr>
          <w:p>
            <w:pPr>
              <w:spacing w:after="0"/>
              <w:rPr>
                <w:sz w:val="1"/>
                <w:szCs w:val="1"/>
                <w:color w:val="auto"/>
              </w:rPr>
            </w:pPr>
          </w:p>
        </w:tc>
      </w:tr>
      <w:tr>
        <w:trPr>
          <w:trHeight w:val="223"/>
        </w:trPr>
        <w:tc>
          <w:tcPr>
            <w:tcW w:w="37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Proceeds from long-term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2,279,287</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Payments of long-term borrowings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(633,997)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(647,622)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Net change in funding under the Receivables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Facility</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136,050</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Payments of dividends</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(25,779)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8"/>
              </w:rPr>
              <w:t>Proceeds from issuance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Repurchase of stock</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0" w:type="dxa"/>
            <w:vAlign w:val="bottom"/>
          </w:tcPr>
          <w:p>
            <w:pPr>
              <w:spacing w:after="0"/>
              <w:rPr>
                <w:sz w:val="1"/>
                <w:szCs w:val="1"/>
                <w:color w:val="auto"/>
              </w:rPr>
            </w:pPr>
          </w:p>
        </w:tc>
      </w:tr>
      <w:tr>
        <w:trPr>
          <w:trHeight w:val="243"/>
        </w:trPr>
        <w:tc>
          <w:tcPr>
            <w:tcW w:w="3780" w:type="dxa"/>
            <w:vAlign w:val="bottom"/>
          </w:tcPr>
          <w:p>
            <w:pPr>
              <w:ind w:left="460"/>
              <w:spacing w:after="0"/>
              <w:rPr>
                <w:sz w:val="20"/>
                <w:szCs w:val="20"/>
                <w:color w:val="auto"/>
              </w:rPr>
            </w:pPr>
            <w:r>
              <w:rPr>
                <w:rFonts w:ascii="Arial" w:cs="Arial" w:eastAsia="Arial" w:hAnsi="Arial"/>
                <w:sz w:val="18"/>
                <w:szCs w:val="18"/>
                <w:color w:val="auto"/>
              </w:rPr>
              <w:t>Change in intercompany, net</w:t>
            </w:r>
          </w:p>
        </w:tc>
        <w:tc>
          <w:tcPr>
            <w:tcW w:w="20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(194,568)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318,705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1,375,916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313,538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1,701,101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w w:val="93"/>
              </w:rPr>
              <w:t>Increase (decrease) in cash and cash equivalents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24,751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(53,134)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111,512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89,767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238,797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35,676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114,518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185,663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9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months ended December 28, 2018 and December 29, 2017 should be read in conjunction with our audited consolidated financial statements, and the notes to those statements for the fiscal year ended September 28, 2018 included in the Company's Form 10-K, filed with the Securities and Exchange Commission ("SEC") on November 21, 2018.</w:t>
      </w:r>
    </w:p>
    <w:p>
      <w:pPr>
        <w:spacing w:after="0" w:line="1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Our discussion contains forward-looking statements based upon current expectations that involve risks and uncertainties, such as our plans, objectives, opinions, expectations, anticipations, intentions and beliefs. Actual results and the timing of events could differ materially from those anticipated in those forward-looking statements as a result of a number of factors, including those set forth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education, healthcare, business, sports, leisure and corrections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first quarter of fiscal 2018, we acquired Avendra, LLC ("Avendra") and during the second quarter of fiscal 2018, we acquired AmeriPride Services, Inc. ("AmeriPride") in separate transactions. The Avendra acquisition consideration was $1,386.4 million, partially offset by $87.3 million of cash and restricted investments acquired. The AmeriPride acquisition consideration was $995.4 million, partially offset by $84.9 million of cash acquired. We incurred new debt to finance both the Avendra and AmeriPride acquisitions. We expect our earnings for some period following the closings to be impacted as a result of these acquisitions, due to, among other factors, merger and integration costs as well as depreciation and amortization resulting from purchase accounting and higher interest expense as a result of the new debt to finance the transactions. As a part of the integration of Avendra and AmeriPride, we expect to incur an approximate $45 million of additional charges over the next two years.</w:t>
      </w:r>
    </w:p>
    <w:p>
      <w:pPr>
        <w:spacing w:after="0" w:line="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fiscal 2018, the Company launched the next phase of its program related to food, labor and selling and general administrative initiatives to generate additional cost savings. These initiatives include a reduction in headcount through reorganization and integration, the relocation of our headquarter facility and certain other costs. Efforts related to this next phase of streamlining are already underway, and have resulted in charges of approximately $34 million in the three months ended December 28, 2018. The Company currently expects to incur additional charges of approximately $10 million related to this phase within fiscal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November 9, 2018, we completed the sale of our wholly-owned Healthcare Technologies ("HCT") business for $293.7 million in cash. The transaction resulted in a pretax gain of $157.3 million (tax effected gain of $140.2 million) in the Condensed Consolidated Statements of Income. The results of operations and cash flows associated with the HCT business were not material to our consolidated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4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w:t>
      </w:r>
    </w:p>
    <w:p>
      <w:pPr>
        <w:ind w:right="660"/>
        <w:spacing w:after="0" w:line="290" w:lineRule="auto"/>
        <w:rPr>
          <w:sz w:val="20"/>
          <w:szCs w:val="20"/>
          <w:color w:val="auto"/>
        </w:rPr>
      </w:pPr>
      <w:r>
        <w:rPr>
          <w:rFonts w:ascii="Arial" w:cs="Arial" w:eastAsia="Arial" w:hAnsi="Arial"/>
          <w:sz w:val="17"/>
          <w:szCs w:val="17"/>
          <w:color w:val="auto"/>
        </w:rPr>
        <w:t>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4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years ending September 27, 2019 and September 28, 2018 are each fifty-two week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months ended December 28, 2018 and December 29, 2017 (dollars in millions).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264"/>
        </w:trPr>
        <w:tc>
          <w:tcPr>
            <w:tcW w:w="4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28, 2018</w:t>
            </w:r>
          </w:p>
        </w:tc>
        <w:tc>
          <w:tcPr>
            <w:tcW w:w="240" w:type="dxa"/>
            <w:vAlign w:val="bottom"/>
          </w:tcPr>
          <w:p>
            <w:pPr>
              <w:spacing w:after="0"/>
              <w:rPr>
                <w:sz w:val="22"/>
                <w:szCs w:val="22"/>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29, 2017</w:t>
            </w:r>
          </w:p>
        </w:tc>
        <w:tc>
          <w:tcPr>
            <w:tcW w:w="360" w:type="dxa"/>
            <w:vAlign w:val="bottom"/>
          </w:tcPr>
          <w:p>
            <w:pPr>
              <w:spacing w:after="0"/>
              <w:rPr>
                <w:sz w:val="22"/>
                <w:szCs w:val="22"/>
                <w:color w:val="auto"/>
              </w:rPr>
            </w:pPr>
          </w:p>
        </w:tc>
        <w:tc>
          <w:tcPr>
            <w:tcW w:w="880" w:type="dxa"/>
            <w:vAlign w:val="bottom"/>
          </w:tcPr>
          <w:p>
            <w:pPr>
              <w:jc w:val="right"/>
              <w:ind w:right="47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r>
      <w:tr>
        <w:trPr>
          <w:trHeight w:val="270"/>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3,965.1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Cost of services provided</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3,794.4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4820" w:type="dxa"/>
            <w:vAlign w:val="bottom"/>
          </w:tcPr>
          <w:p>
            <w:pPr>
              <w:ind w:left="460"/>
              <w:spacing w:after="0"/>
              <w:rPr>
                <w:sz w:val="20"/>
                <w:szCs w:val="20"/>
                <w:color w:val="auto"/>
              </w:rPr>
            </w:pPr>
            <w:r>
              <w:rPr>
                <w:rFonts w:ascii="Arial" w:cs="Arial" w:eastAsia="Arial" w:hAnsi="Arial"/>
                <w:sz w:val="18"/>
                <w:szCs w:val="18"/>
                <w:color w:val="auto"/>
              </w:rPr>
              <w:t>Other operating expenses</w:t>
            </w: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225.9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Gain on sale of Healthcare Technologies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48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4,049.2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3,748.2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4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54"/>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ind w:right="77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December 28, 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29, 2017</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2,649.5</w:t>
            </w:r>
          </w:p>
        </w:tc>
        <w:tc>
          <w:tcPr>
            <w:tcW w:w="120" w:type="dxa"/>
            <w:vAlign w:val="bottom"/>
          </w:tcPr>
          <w:p>
            <w:pPr>
              <w:spacing w:after="0"/>
              <w:rPr>
                <w:sz w:val="21"/>
                <w:szCs w:val="21"/>
                <w:color w:val="auto"/>
              </w:rPr>
            </w:pPr>
          </w:p>
        </w:tc>
        <w:tc>
          <w:tcPr>
            <w:tcW w:w="700" w:type="dxa"/>
            <w:vAlign w:val="bottom"/>
          </w:tcPr>
          <w:p>
            <w:pPr>
              <w:jc w:val="right"/>
              <w:ind w:right="517"/>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913.0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402.6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ind w:right="33"/>
              <w:spacing w:after="0"/>
              <w:rPr>
                <w:sz w:val="20"/>
                <w:szCs w:val="20"/>
                <w:color w:val="auto"/>
              </w:rPr>
            </w:pPr>
            <w:r>
              <w:rPr>
                <w:rFonts w:ascii="Arial" w:cs="Arial" w:eastAsia="Arial" w:hAnsi="Arial"/>
                <w:sz w:val="18"/>
                <w:szCs w:val="18"/>
                <w:color w:val="auto"/>
                <w:w w:val="88"/>
              </w:rPr>
              <w:t>249.3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4,265.3</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3,965.1</w:t>
            </w: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300.2</w:t>
            </w: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7"/>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Change</w:t>
            </w:r>
          </w:p>
        </w:tc>
        <w:tc>
          <w:tcPr>
            <w:tcW w:w="900" w:type="dxa"/>
            <w:vAlign w:val="bottom"/>
            <w:tcBorders>
              <w:bottom w:val="single" w:sz="8" w:color="auto"/>
            </w:tcBorders>
          </w:tcPr>
          <w:p>
            <w:pPr>
              <w:spacing w:after="0"/>
              <w:rPr>
                <w:sz w:val="24"/>
                <w:szCs w:val="24"/>
                <w:color w:val="auto"/>
              </w:rPr>
            </w:pPr>
          </w:p>
        </w:tc>
      </w:tr>
      <w:tr>
        <w:trPr>
          <w:trHeight w:val="264"/>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Income by Segment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December 28,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29, 2017</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w:t>
            </w: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4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4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216.9</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8"/>
              </w:rPr>
              <w:t>156.5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89" w:lineRule="exact"/>
        <w:rPr>
          <w:sz w:val="20"/>
          <w:szCs w:val="20"/>
          <w:color w:val="auto"/>
        </w:rPr>
      </w:pPr>
    </w:p>
    <w:p>
      <w:pPr>
        <w:ind w:right="140" w:firstLine="8"/>
        <w:spacing w:after="0" w:line="273"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63% and 67%, FSS International represented 22% and 23% and Uniform represented 15% and 10% for the three month periods ended December 28, 2018 and December 29, 2017,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by approximately 8% during the three month period of fiscal 2019 compared to the prior year period. The increase was attributable to:</w:t>
      </w:r>
    </w:p>
    <w:p>
      <w:pPr>
        <w:spacing w:after="0" w:line="16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all of our reportable segments;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due to the Avendra and AmeriPride acquisitions (approximately 5%); and</w:t>
      </w:r>
    </w:p>
    <w:p>
      <w:pPr>
        <w:spacing w:after="0" w:line="144"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the new revenue recognition standard as certain fees previously recognized as a reduction to “Cost of services provided,” are now recognized in “Revenue" (approximately 2%); which more than offset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divestiture of HCT (approximately -2%);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-1%).</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cost of services provided by segment and as a percent of revenue for the three month periods ended December 28, 2018 and December 29,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5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December 28, 2018</w:t>
            </w:r>
          </w:p>
        </w:tc>
        <w:tc>
          <w:tcPr>
            <w:tcW w:w="12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rPr>
              <w:t>December 29, 2017</w:t>
            </w:r>
          </w:p>
        </w:tc>
      </w:tr>
      <w:tr>
        <w:trPr>
          <w:trHeight w:val="264"/>
        </w:trPr>
        <w:tc>
          <w:tcPr>
            <w:tcW w:w="5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 of services provided</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Revenue</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Revenue</w:t>
            </w: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FSS 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2,350.7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FSS International</w:t>
            </w:r>
          </w:p>
        </w:tc>
        <w:tc>
          <w:tcPr>
            <w:tcW w:w="3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920.4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849.0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Uniform</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541.8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322.6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5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3,794.4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3,522.3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for the three month periods ended December 28, 2018 and December 29, 2017.</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Borders>
              <w:bottom w:val="single" w:sz="8" w:color="auto"/>
            </w:tcBorders>
            <w:gridSpan w:val="3"/>
          </w:tcPr>
          <w:p>
            <w:pPr>
              <w:jc w:val="right"/>
              <w:ind w:right="107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Cost of services provided components</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December 28, 2018</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December 29, 2017</w:t>
            </w:r>
          </w:p>
        </w:tc>
      </w:tr>
      <w:tr>
        <w:trPr>
          <w:trHeight w:val="25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support service costs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740" w:type="dxa"/>
            <w:vAlign w:val="bottom"/>
            <w:gridSpan w:val="2"/>
          </w:tcPr>
          <w:p>
            <w:pPr>
              <w:ind w:left="40"/>
              <w:spacing w:after="0"/>
              <w:rPr>
                <w:sz w:val="20"/>
                <w:szCs w:val="20"/>
                <w:color w:val="auto"/>
              </w:rPr>
            </w:pPr>
            <w:r>
              <w:rPr>
                <w:rFonts w:ascii="Arial" w:cs="Arial" w:eastAsia="Arial" w:hAnsi="Arial"/>
                <w:sz w:val="18"/>
                <w:szCs w:val="18"/>
                <w:color w:val="auto"/>
              </w:rPr>
              <w:t>Personnel costs</w:t>
            </w: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direct costs</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79"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Operating income increased by approximately $156.5 million during the three month period of fiscal 2019 compared to the prior year period. The decrease in operating income was attributable to:</w:t>
      </w:r>
    </w:p>
    <w:p>
      <w:pPr>
        <w:spacing w:after="0" w:line="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gain from the divestiture of the HCT business (approximately $157.3 million);</w:t>
      </w:r>
    </w:p>
    <w:p>
      <w:pPr>
        <w:spacing w:after="0" w:line="144"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relating to the recovery of our investment (possessory interest) at one of the National Park Service ("NPS") sites in the FSS United States segment (approximately $16.2 million); and</w:t>
      </w:r>
    </w:p>
    <w:p>
      <w:pPr>
        <w:spacing w:after="0" w:line="89"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profit related to the acquisitions of Avendra and AmeriPride and lower merger and integration costs (approximately $10.8 million); partially offset by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severance and consulting costs related to streamlining initiatives (approximately $20.3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loss related to the change in fair value of certain gasoline and diesel agreements (approximately$10.8 million).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and Other Financing Costs, net, increased 12% during the three month period of fiscal 2019 compared to the prior year period. The increase for fiscal 2019 was primarily due to higher borrowings from the financings in fiscal 2018 for the Avendra and AmeriPride acquisitions. This increase was partially offset by prior year charges of $12.4 million incurred during the first quarter of fiscal 2018 related to refinancing activities for the write-off of debt issuance costs ($5.7 million) and financing commitment fees related to the Avendra acquisition ($6.7 million). No comparable charges were incurred during fiscal 2019.</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effective income tax rate for the three month period of fiscal 2019 was 13.7%, compared to (104.9)% in the prior year period. The lower effective tax rate in the prior year period was driven by a reduction in the U.S. federal statutory rate from 35% to 21% and the re-measurement of the Company’s deferred tax assets and liabilities as a result of the “Tax Cuts and Jobs Act." A benefit of approximately $183.8 million was recorded to the (benefit) provision for income taxes for the three months ended December 29, 2017 in the Condensed Consolidated Statements of Income as a result of U.S. tax reform (see Note 8 to the condensed consolidated financial statements), the impact of certain permanently reinvested foreign earnings and certain other tax adjustments. A tax benefit of approximately $11.3 million was recorded to the (benefit) provision for income taxes for the three months ended December 28, 2018 in the Condensed Consolidated Statements of Income as a result of U.S. tax reform, along with a $17 million tax provision related to the sale of HCT.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4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FSS United States reportable segment consists of five operating sectors which have similar economic characteristics and are aggregated into a single operating segment. The five operating sectors of the FSS United States reportable segment are Business &amp; Industry, Education, Healthcare, Sports, Leisure &amp; Corrections and Facilities &amp; Other.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4"/>
                <w:szCs w:val="14"/>
                <w:b w:val="1"/>
                <w:bCs w:val="1"/>
                <w:color w:val="auto"/>
              </w:rPr>
              <w:t>Three Months Ended</w:t>
            </w:r>
          </w:p>
        </w:tc>
        <w:tc>
          <w:tcPr>
            <w:tcW w:w="18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Change</w:t>
            </w:r>
          </w:p>
        </w:tc>
      </w:tr>
      <w:tr>
        <w:trPr>
          <w:trHeight w:val="264"/>
        </w:trPr>
        <w:tc>
          <w:tcPr>
            <w:tcW w:w="6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2018</w:t>
            </w:r>
          </w:p>
        </w:tc>
        <w:tc>
          <w:tcPr>
            <w:tcW w:w="200" w:type="dxa"/>
            <w:vAlign w:val="bottom"/>
          </w:tcPr>
          <w:p>
            <w:pPr>
              <w:spacing w:after="0"/>
              <w:rPr>
                <w:sz w:val="22"/>
                <w:szCs w:val="22"/>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29, 2017</w:t>
            </w:r>
          </w:p>
        </w:tc>
        <w:tc>
          <w:tcPr>
            <w:tcW w:w="1840" w:type="dxa"/>
            <w:vAlign w:val="bottom"/>
          </w:tcPr>
          <w:p>
            <w:pPr>
              <w:jc w:val="right"/>
              <w:ind w:right="754"/>
              <w:spacing w:after="0"/>
              <w:rPr>
                <w:sz w:val="20"/>
                <w:szCs w:val="20"/>
                <w:color w:val="auto"/>
              </w:rPr>
            </w:pPr>
            <w:r>
              <w:rPr>
                <w:rFonts w:ascii="Arial" w:cs="Arial" w:eastAsia="Arial" w:hAnsi="Arial"/>
                <w:sz w:val="14"/>
                <w:szCs w:val="14"/>
                <w:b w:val="1"/>
                <w:bCs w:val="1"/>
                <w:color w:val="auto"/>
              </w:rPr>
              <w:t>%</w:t>
            </w: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&amp; Industry</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386.6</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Education</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1,003.9</w:t>
            </w:r>
          </w:p>
        </w:tc>
        <w:tc>
          <w:tcPr>
            <w:tcW w:w="18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Sports, Leisure &amp; Corrections</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594.3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565.3</w:t>
            </w:r>
          </w:p>
        </w:tc>
        <w:tc>
          <w:tcPr>
            <w:tcW w:w="184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&amp; Other</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57"/>
        </w:trPr>
        <w:tc>
          <w:tcPr>
            <w:tcW w:w="60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2,660.3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2,649.5</w:t>
            </w:r>
          </w:p>
        </w:tc>
        <w:tc>
          <w:tcPr>
            <w:tcW w:w="18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Healthcare, Education and Facilities &amp; Other sectors generally have high-single digit operating income margins and the Business &amp; Industry and Sports, Leisure &amp; Corrections sectors generally have mid-single digit operating income margins.</w:t>
      </w:r>
    </w:p>
    <w:p>
      <w:pPr>
        <w:spacing w:after="0" w:line="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FSS United States segment revenue was slightly higher during the three month period of fiscal 2019 compared to the prior year period. The slight increase was attributable to:</w:t>
      </w:r>
    </w:p>
    <w:p>
      <w:pPr>
        <w:spacing w:after="0" w:line="8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Business &amp; Industry sector revenue resulting from base business growth and net new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Education sector revenue resulting from base business growth;</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Sports, Leisure &amp; Corrections sector revenue resulting from base business growth and net new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Facilities &amp; Other sector revenue resulting primarily from acquisitions; which more than offset</w:t>
      </w:r>
    </w:p>
    <w:p>
      <w:pPr>
        <w:sectPr>
          <w:pgSz w:w="11900" w:h="16838" w:orient="portrait"/>
          <w:cols w:equalWidth="0" w:num="1">
            <w:col w:w="11420"/>
          </w:cols>
          <w:pgMar w:left="240" w:top="179"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79"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decrease in Healthcare sector revenue resulting from the divestiture of HCT (approximately -18%), partially offset by base business growth.</w:t>
      </w:r>
    </w:p>
    <w:p>
      <w:pPr>
        <w:spacing w:after="0" w:line="1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income increased by approximately $183.6 million during the three month period of fiscal 2019 compared to the prior year period. The increase in operating income was attributable to:</w:t>
      </w:r>
    </w:p>
    <w:p>
      <w:pPr>
        <w:spacing w:after="0" w:line="8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gain from the divestiture of the HCT business (approximately $157.3 million);</w:t>
      </w:r>
    </w:p>
    <w:p>
      <w:pPr>
        <w:spacing w:after="0" w:line="144"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relating to the recovery of our investment (possessory interest) at one of the NPS sites within our Sports, Leisure &amp; Corrections sector (approximately $16.2 million);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profit related to the acquisition of Avendra;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profit growth in the Education sector; which more than offset</w:t>
      </w:r>
    </w:p>
    <w:p>
      <w:pPr>
        <w:spacing w:after="0" w:line="144" w:lineRule="exact"/>
        <w:rPr>
          <w:rFonts w:ascii="Arial" w:cs="Arial" w:eastAsia="Arial" w:hAnsi="Arial"/>
          <w:sz w:val="18"/>
          <w:szCs w:val="18"/>
          <w:color w:val="auto"/>
        </w:rPr>
      </w:pPr>
    </w:p>
    <w:p>
      <w:pPr>
        <w:jc w:val="both"/>
        <w:ind w:left="660" w:right="3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duplicate rent charges to build out and ready our new headquarters while occupying our previous headquarters, impairment costs incurred while exiting our previous headquarters and moving costs associated with the relocation to the new headquarters (approximately $5.0 million); and</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severance charges related to streamlining initiatives (approximately $3.5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4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FSS International segment revenue increased by approximately 4% during the three month period of fiscal 2019 compared to the prior year period. The increase was attributable to:</w:t>
      </w:r>
    </w:p>
    <w:p>
      <w:pPr>
        <w:spacing w:after="0" w:line="8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growth across regions;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growth due to the consolidation of a joint venture (approximately 3%);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-6%).</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Operating income decreased by approximately $32.4 million during the three month period of fiscal 2019 compared to the prior year period. The decrease in operating income was attributable to:</w:t>
      </w:r>
    </w:p>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severance costs related to streamlining initiatives (approximately $17.9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closing costs related to the exit of a business (approximately $2.0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negative impact of foreign currency translation (approximately -$2.1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personnel costs and new business start-up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14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Uniform segment revenue increased by approximately 62% during the three month period of fiscal 2019 compared to the prior year period. The increase was primarily attributable to the acquisition of AmeriPride in the second quarter of fiscal 2018 (36%) and from the adoption of the new revenue recognition standard as certain fees previously recognized as a reduction to “Cost of services provided” are now recognized in “Revenue" (24%).</w:t>
      </w:r>
    </w:p>
    <w:p>
      <w:pPr>
        <w:spacing w:after="0" w:line="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increased by approximately $8.2 million during the three month period of fiscal 2019 compared to the prior year period. The increase in operating income was attributable to:</w:t>
      </w:r>
    </w:p>
    <w:p>
      <w:pPr>
        <w:spacing w:after="0" w:line="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profit related to the acquisition of AmeriPride;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profit within our legacy uniform rental business; which more than offset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merger and integration related costs from the AmeriPride acquisition (approximately $3.6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income in the prior year under our casualty insurance program from prior years' loss experience that were favorable (approximately $3.4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Corporate expenses, those administrative expenses not allocated to the business segments, increased by approximately $2.9 million during the three month period of fiscal 2019 compared to the prior year period. The increase was attributable to:</w:t>
      </w:r>
    </w:p>
    <w:p>
      <w:pPr>
        <w:spacing w:after="0" w:line="8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loss related to the change in fair value of certain gasoline and diesel agreements (approximately$10.8 million);</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banker fees related to the divestiture of Healthcare Technologies (approximately $6.1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closing costs related to the move to the Company's new headquarters (approximately $1.6 million); partially offset by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acquisition related costs from the Avendra and AmeriPride acquisitions (approximately $13.5 million); and</w:t>
      </w:r>
    </w:p>
    <w:p>
      <w:pPr>
        <w:sectPr>
          <w:pgSz w:w="11900" w:h="16838" w:orient="portrait"/>
          <w:cols w:equalWidth="0" w:num="1">
            <w:col w:w="11320"/>
          </w:cols>
          <w:pgMar w:left="240" w:top="179" w:right="339" w:bottom="1440" w:gutter="0" w:footer="0" w:header="0"/>
        </w:sect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20"/>
          </w:cols>
          <w:pgMar w:left="240" w:top="179"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consulting costs related to streamlining initiatives ($1.6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principal sources of liquidity are cash generated from operating activities, funds from borrowings and existing cash on hand. As of December 28, 2018, we had $249.9 million of cash and cash equivalents and approximately $916.7 million of availability under our senior secured revolving credit facility. A significant portion of our cash and cash equivalents is held in mature, liquid markets where we have operations. As of December 28, 2018, there was approximately $938.3 million of outstanding foreign currency borrowings.</w:t>
      </w:r>
    </w:p>
    <w:p>
      <w:pPr>
        <w:spacing w:after="0" w:line="106"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We believe that our cash generated from operations, cash and cash equivalents and the unused portion of our committed credit availability under the senior secured revolving credit facility will be adequate to meet anticipated cash requirements to fund working capital, capital spending, debt service obligations, refinancings, dividends and other cash needs. As part of our ongoing liquidity assessments, we routinely monitor our cash flow (including the mix of domestic and international inflows and outflows) and the condition of the capital markets in order to be prepared to respond to changing conditions.</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February 5, 2019, the Company announced that it would invest $90 million in its workforce through targeted wage adjustments, retirement contributions and special recognition awards, as well as employee training programs and scholarships. The Company expects to fund the majority of these investments during fiscal 2019.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 2018</w:t>
            </w:r>
          </w:p>
        </w:tc>
        <w:tc>
          <w:tcPr>
            <w:tcW w:w="200" w:type="dxa"/>
            <w:vAlign w:val="bottom"/>
          </w:tcPr>
          <w:p>
            <w:pPr>
              <w:spacing w:after="0"/>
              <w:rPr>
                <w:sz w:val="22"/>
                <w:szCs w:val="22"/>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29,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1"/>
                <w:szCs w:val="21"/>
                <w:color w:val="auto"/>
              </w:rPr>
            </w:pPr>
          </w:p>
        </w:tc>
        <w:tc>
          <w:tcPr>
            <w:tcW w:w="1520" w:type="dxa"/>
            <w:vAlign w:val="bottom"/>
          </w:tcPr>
          <w:p>
            <w:pPr>
              <w:jc w:val="right"/>
              <w:ind w:right="37"/>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(1,442.8)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1,701.1</w:t>
            </w:r>
          </w:p>
        </w:tc>
      </w:tr>
      <w:tr>
        <w:trPr>
          <w:trHeight w:val="27"/>
        </w:trPr>
        <w:tc>
          <w:tcPr>
            <w:tcW w:w="7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right="2200"/>
        <w:spacing w:after="0" w:line="391"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Used in Operating Activities</w:t>
      </w:r>
    </w:p>
    <w:p>
      <w:pPr>
        <w:spacing w:after="0" w:line="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During the three month period of fiscal 2019, there was an increase in net income and non-cash charges that resulted from higher operating income discussed above. The decrease in cash flows used in operating activities was primarily attributable to the change in operating assets and liabilities ($154.8 million). The change in operating assets and liabilities compared to the prior year period was primarily due to the following:</w:t>
      </w:r>
    </w:p>
    <w:p>
      <w:pPr>
        <w:spacing w:after="0" w:line="84" w:lineRule="exact"/>
        <w:rPr>
          <w:sz w:val="20"/>
          <w:szCs w:val="20"/>
          <w:color w:val="auto"/>
        </w:rPr>
      </w:pPr>
    </w:p>
    <w:p>
      <w:pPr>
        <w:ind w:left="660" w:right="3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Accrued expenses were less of a use of cash primarily due to the timing of one-time payments made in the first quarter of fiscal 2018 for certain liabilities assumed related to the Avendra acquisition and from lower accrued payroll and related expenses payments, including incentive compensation; and</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Accounts receivable were a greater use of cash due to the timing of collections and revenue growth;</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three month period of fiscal 2019, we received gross proceeds of approximately $14.6 million related to our casualty insurance program from our loss experience being favorable related to a prior year. We received approximately $18.9 million of comparable insurance proceeds during the prior year period. During the first quarter of fiscal 2018, we incurred approximately $17.8 million of acquisition related costs. The "Other operating activities" caption in the current year also reflects certain payments to our customers and an adjustment to net income related to a non-operating gain.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increase in net cash flows provided by (used in) investing activities during the three month period of fiscal 2019 compared to the three month period of fiscal 2018 relates primarily to the proceeds from the sale of Healthcare Technologies in the first quarter of fiscal 2019 and lower levels of spending for acquisitions, mainly for Avendra in the same period of fiscal 2018. The "Other investing activities" includes the $16.2 million of proceeds relating to the recovery of our investment (possessory interest) at one of the NPS sites within our Sports, Leisure &amp; Corrections sector.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 period of fiscal 2019, cash provided by financing activities was impacted by the following: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($390.0 million);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repayment of borrowings on term loans and the revolving credit facility ($280.0 million, which includes $200.0 million of optional prepayments).</w:t>
      </w:r>
    </w:p>
    <w:p>
      <w:pPr>
        <w:spacing w:after="0" w:line="16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During fiscal 2017, the Board of Directors authorized a new share repurchase program providing for purchases of up to $250 million of Aramark common stock through February 1, 2019. During the three month period of fiscal 2019, we completed a repurchase of 1.6 million shares of our common stock for $50.0 million. During the three month period of fiscal 2018, we completed a repurchase of 0.6 million shares of our common stock for $24.4 million.</w:t>
      </w:r>
    </w:p>
    <w:p>
      <w:pPr>
        <w:spacing w:after="0" w:line="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"Other financing activities" also reflects a use of cash during the three month periods of fiscal 2019 and fiscal 2018, primarily related to taxes paid by the Company when the Company withholds shares upon an employee's exercise or vesting of equity awards to cover income taxes.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4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December 28, 2018, we were in compliance with these covenants.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Aramark Services, Inc.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79"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following is a reconciliation of net income attributable to Aramark Services, Inc. ("ASI") stockholder, which is a U.S. GAAP measure of Aramark Services, Inc.'s operating results, to Covenant Adjusted EBITDA as defined in our debt agreements. The terms and related calculations are defined in the Credit Agreement and the indentures governing our senior notes. Covenant Adjusted EBITDA is a measure of Aramark Services, Inc. and its restricted subsidiaries only and does not include the results of Aramark.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Three Months Ended</w:t>
            </w: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Three Months Ended</w:t>
            </w:r>
          </w:p>
        </w:tc>
        <w:tc>
          <w:tcPr>
            <w:tcW w:w="14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8"/>
              </w:rPr>
              <w:t>Three Months Ended</w:t>
            </w:r>
          </w:p>
        </w:tc>
        <w:tc>
          <w:tcPr>
            <w:tcW w:w="14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Three Months Ended</w:t>
            </w:r>
          </w:p>
        </w:tc>
        <w:tc>
          <w:tcPr>
            <w:tcW w:w="120" w:type="dxa"/>
            <w:vAlign w:val="bottom"/>
          </w:tcPr>
          <w:p>
            <w:pPr>
              <w:spacing w:after="0"/>
              <w:rPr>
                <w:sz w:val="14"/>
                <w:szCs w:val="14"/>
                <w:color w:val="auto"/>
              </w:rPr>
            </w:pPr>
          </w:p>
        </w:tc>
        <w:tc>
          <w:tcPr>
            <w:tcW w:w="1340" w:type="dxa"/>
            <w:vAlign w:val="bottom"/>
          </w:tcPr>
          <w:p>
            <w:pPr>
              <w:jc w:val="right"/>
              <w:ind w:right="34"/>
              <w:spacing w:after="0"/>
              <w:rPr>
                <w:sz w:val="20"/>
                <w:szCs w:val="20"/>
                <w:color w:val="auto"/>
              </w:rPr>
            </w:pPr>
            <w:r>
              <w:rPr>
                <w:rFonts w:ascii="Arial" w:cs="Arial" w:eastAsia="Arial" w:hAnsi="Arial"/>
                <w:sz w:val="13"/>
                <w:szCs w:val="13"/>
                <w:b w:val="1"/>
                <w:bCs w:val="1"/>
                <w:color w:val="auto"/>
                <w:w w:val="87"/>
              </w:rPr>
              <w:t>Twelve Months Ended</w:t>
            </w:r>
          </w:p>
        </w:tc>
        <w:tc>
          <w:tcPr>
            <w:tcW w:w="0" w:type="dxa"/>
            <w:vAlign w:val="bottom"/>
          </w:tcPr>
          <w:p>
            <w:pPr>
              <w:spacing w:after="0"/>
              <w:rPr>
                <w:sz w:val="1"/>
                <w:szCs w:val="1"/>
                <w:color w:val="auto"/>
              </w:rPr>
            </w:pPr>
          </w:p>
        </w:tc>
      </w:tr>
      <w:tr>
        <w:trPr>
          <w:trHeight w:val="280"/>
        </w:trPr>
        <w:tc>
          <w:tcPr>
            <w:tcW w:w="37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December 28, 2018</w:t>
            </w: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September 28, 2018</w:t>
            </w: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7"/>
              </w:rPr>
              <w:t>June 29, 2018</w:t>
            </w:r>
          </w:p>
        </w:tc>
        <w:tc>
          <w:tcPr>
            <w:tcW w:w="20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March 30, 2018</w:t>
            </w:r>
          </w:p>
        </w:tc>
        <w:tc>
          <w:tcPr>
            <w:tcW w:w="120" w:type="dxa"/>
            <w:vAlign w:val="bottom"/>
          </w:tcPr>
          <w:p>
            <w:pPr>
              <w:spacing w:after="0"/>
              <w:rPr>
                <w:sz w:val="24"/>
                <w:szCs w:val="24"/>
                <w:color w:val="auto"/>
              </w:rPr>
            </w:pPr>
          </w:p>
        </w:tc>
        <w:tc>
          <w:tcPr>
            <w:tcW w:w="1340" w:type="dxa"/>
            <w:vAlign w:val="bottom"/>
          </w:tcPr>
          <w:p>
            <w:pPr>
              <w:jc w:val="right"/>
              <w:ind w:right="134"/>
              <w:spacing w:after="0"/>
              <w:rPr>
                <w:sz w:val="20"/>
                <w:szCs w:val="20"/>
                <w:color w:val="auto"/>
              </w:rPr>
            </w:pPr>
            <w:r>
              <w:rPr>
                <w:rFonts w:ascii="Arial" w:cs="Arial" w:eastAsia="Arial" w:hAnsi="Arial"/>
                <w:sz w:val="13"/>
                <w:szCs w:val="13"/>
                <w:b w:val="1"/>
                <w:bCs w:val="1"/>
                <w:color w:val="auto"/>
                <w:w w:val="93"/>
              </w:rPr>
              <w:t>December 28, 2018</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ASI stockholder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250.7</w:t>
            </w:r>
          </w:p>
        </w:tc>
        <w:tc>
          <w:tcPr>
            <w:tcW w:w="1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financing costs,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150.7</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613.1</w:t>
            </w:r>
          </w:p>
        </w:tc>
        <w:tc>
          <w:tcPr>
            <w:tcW w:w="0" w:type="dxa"/>
            <w:vAlign w:val="bottom"/>
          </w:tcPr>
          <w:p>
            <w:pPr>
              <w:spacing w:after="0"/>
              <w:rPr>
                <w:sz w:val="1"/>
                <w:szCs w:val="1"/>
                <w:color w:val="auto"/>
              </w:rPr>
            </w:pPr>
          </w:p>
        </w:tc>
      </w:tr>
      <w:tr>
        <w:trPr>
          <w:trHeight w:val="262"/>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18"/>
                <w:szCs w:val="18"/>
                <w:color w:val="auto"/>
                <w:vertAlign w:val="superscript"/>
              </w:rPr>
              <w:t>(1)</w:t>
            </w:r>
          </w:p>
        </w:tc>
        <w:tc>
          <w:tcPr>
            <w:tcW w:w="140" w:type="dxa"/>
            <w:vAlign w:val="bottom"/>
          </w:tcPr>
          <w:p>
            <w:pPr>
              <w:spacing w:after="0"/>
              <w:rPr>
                <w:sz w:val="22"/>
                <w:szCs w:val="22"/>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181"/>
        </w:trPr>
        <w:tc>
          <w:tcPr>
            <w:tcW w:w="40" w:type="dxa"/>
            <w:vAlign w:val="bottom"/>
            <w:shd w:val="clear" w:color="auto" w:fill="CCEEFF"/>
          </w:tcPr>
          <w:p>
            <w:pPr>
              <w:spacing w:after="0"/>
              <w:rPr>
                <w:sz w:val="15"/>
                <w:szCs w:val="15"/>
                <w:color w:val="auto"/>
              </w:rPr>
            </w:pPr>
          </w:p>
        </w:tc>
        <w:tc>
          <w:tcPr>
            <w:tcW w:w="3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Unusual or non-recurring (gains) and losses</w:t>
            </w:r>
          </w:p>
        </w:tc>
        <w:tc>
          <w:tcPr>
            <w:tcW w:w="58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w w:val="75"/>
                <w:shd w:val="clear" w:color="auto" w:fill="CCEEFF"/>
              </w:rPr>
              <w:t>(2)</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3160" w:type="dxa"/>
            <w:vAlign w:val="bottom"/>
            <w:tcBorders>
              <w:bottom w:val="single" w:sz="8" w:color="CCEEFF"/>
            </w:tcBorders>
            <w:vMerge w:val="continue"/>
            <w:shd w:val="clear" w:color="auto" w:fill="CCEEFF"/>
          </w:tcPr>
          <w:p>
            <w:pPr>
              <w:spacing w:after="0"/>
              <w:rPr>
                <w:sz w:val="6"/>
                <w:szCs w:val="6"/>
                <w:color w:val="auto"/>
              </w:rPr>
            </w:pPr>
          </w:p>
        </w:tc>
        <w:tc>
          <w:tcPr>
            <w:tcW w:w="5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36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440" w:type="dxa"/>
            <w:vAlign w:val="bottom"/>
            <w:tcBorders>
              <w:bottom w:val="single" w:sz="8" w:color="CCEEFF"/>
            </w:tcBorders>
            <w:gridSpan w:val="2"/>
            <w:vMerge w:val="continue"/>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1260" w:type="dxa"/>
            <w:vAlign w:val="bottom"/>
            <w:tcBorders>
              <w:bottom w:val="single" w:sz="8" w:color="CCEEFF"/>
            </w:tcBorders>
            <w:gridSpan w:val="2"/>
            <w:vMerge w:val="continue"/>
            <w:shd w:val="clear" w:color="auto" w:fill="CCEEFF"/>
          </w:tcPr>
          <w:p>
            <w:pPr>
              <w:spacing w:after="0"/>
              <w:rPr>
                <w:sz w:val="6"/>
                <w:szCs w:val="6"/>
                <w:color w:val="auto"/>
              </w:rPr>
            </w:pPr>
          </w:p>
        </w:tc>
        <w:tc>
          <w:tcPr>
            <w:tcW w:w="20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gridSpan w:val="2"/>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3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 forma EBITDA for equity method</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Arial" w:cs="Arial" w:eastAsia="Arial" w:hAnsi="Arial"/>
                <w:sz w:val="18"/>
                <w:szCs w:val="18"/>
                <w:color w:val="auto"/>
              </w:rPr>
              <w:t>investees</w:t>
            </w:r>
            <w:r>
              <w:rPr>
                <w:rFonts w:ascii="Arial" w:cs="Arial" w:eastAsia="Arial" w:hAnsi="Arial"/>
                <w:sz w:val="18"/>
                <w:szCs w:val="18"/>
                <w:color w:val="auto"/>
                <w:vertAlign w:val="superscript"/>
              </w:rPr>
              <w:t>(3)</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8"/>
        </w:trPr>
        <w:tc>
          <w:tcPr>
            <w:tcW w:w="3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(5)</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59.9</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5"/>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Covenant Adjusted EBITDA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441.9</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1,706.0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00" w:right="60" w:hanging="492"/>
        <w:spacing w:after="0" w:line="30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Represents share-based compensation expense resulting from the application of accounting for stock options, restricted stock units, performance stock, performance stock units, and deferred stock unit awards (see Note 10 to the condensed consolidated financial statements).</w:t>
      </w:r>
    </w:p>
    <w:p>
      <w:pPr>
        <w:spacing w:after="0" w:line="65" w:lineRule="exact"/>
        <w:rPr>
          <w:rFonts w:ascii="Arial" w:cs="Arial" w:eastAsia="Arial" w:hAnsi="Arial"/>
          <w:sz w:val="17"/>
          <w:szCs w:val="17"/>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gain from the divestiture of Healthcare Technologies.</w:t>
      </w:r>
    </w:p>
    <w:p>
      <w:pPr>
        <w:spacing w:after="0" w:line="144" w:lineRule="exact"/>
        <w:rPr>
          <w:rFonts w:ascii="Arial" w:cs="Arial" w:eastAsia="Arial" w:hAnsi="Arial"/>
          <w:sz w:val="18"/>
          <w:szCs w:val="18"/>
          <w:color w:val="auto"/>
        </w:rPr>
      </w:pPr>
    </w:p>
    <w:p>
      <w:pPr>
        <w:ind w:left="500" w:right="360" w:hanging="492"/>
        <w:spacing w:after="0" w:line="26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 EBITDA for this equity method investee is calculated in a manner consistent with consolidated Covenant Adjusted EBITDA but does not represent cash distributions received from this investee.</w:t>
      </w:r>
    </w:p>
    <w:p>
      <w:pPr>
        <w:spacing w:after="0" w:line="100"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and divestitures made during the period.</w:t>
      </w:r>
    </w:p>
    <w:p>
      <w:pPr>
        <w:spacing w:after="0" w:line="144" w:lineRule="exact"/>
        <w:rPr>
          <w:rFonts w:ascii="Arial" w:cs="Arial" w:eastAsia="Arial" w:hAnsi="Arial"/>
          <w:sz w:val="18"/>
          <w:szCs w:val="18"/>
          <w:color w:val="auto"/>
        </w:rPr>
      </w:pPr>
    </w:p>
    <w:p>
      <w:pPr>
        <w:ind w:left="500" w:right="80" w:hanging="492"/>
        <w:spacing w:after="0" w:line="273"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for the twelve months ended December 28, 2018 includes organizational streamlining initiatives ($58.5 million), the impact of the change in fair value related to certain gasoline and diesel agreements ($10.5 million loss), expenses related to merger and integration related charges ($67.4 million), property and other asset write-downs related to a joint venture liquidation and related acquisition ($7.5 million), duplicate rent charges, moving costs, opening costs to build out and ready the Company's new headquarters while occupying its existing headquarters and closing costs ($14.3 million), banker fees and other charges related to the sale of Healthcare Technologies ($9.9 million), certain environmental charges ($5.0 million), the impact of hyperinflation in Argentina ($3.8 million) and other miscellaneous expenses.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requirements and actual ratios for the twelve months ended December 28,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Covenant</w:t>
            </w:r>
          </w:p>
        </w:tc>
        <w:tc>
          <w:tcPr>
            <w:tcW w:w="1700" w:type="dxa"/>
            <w:vAlign w:val="bottom"/>
          </w:tcPr>
          <w:p>
            <w:pPr>
              <w:jc w:val="right"/>
              <w:ind w:right="579"/>
              <w:spacing w:after="0"/>
              <w:rPr>
                <w:sz w:val="20"/>
                <w:szCs w:val="20"/>
                <w:color w:val="auto"/>
              </w:rPr>
            </w:pPr>
            <w:r>
              <w:rPr>
                <w:rFonts w:ascii="Arial" w:cs="Arial" w:eastAsia="Arial" w:hAnsi="Arial"/>
                <w:sz w:val="14"/>
                <w:szCs w:val="14"/>
                <w:b w:val="1"/>
                <w:bCs w:val="1"/>
                <w:color w:val="auto"/>
              </w:rPr>
              <w:t>Actual</w:t>
            </w:r>
          </w:p>
        </w:tc>
      </w:tr>
      <w:tr>
        <w:trPr>
          <w:trHeight w:val="192"/>
        </w:trPr>
        <w:tc>
          <w:tcPr>
            <w:tcW w:w="492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Requirements</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Ratios</w:t>
            </w: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Consolidated Secured Debt Ratio</w:t>
            </w:r>
            <w:r>
              <w:rPr>
                <w:rFonts w:ascii="Arial" w:cs="Arial" w:eastAsia="Arial" w:hAnsi="Arial"/>
                <w:sz w:val="25"/>
                <w:szCs w:val="25"/>
                <w:color w:val="auto"/>
                <w:vertAlign w:val="superscript"/>
              </w:rPr>
              <w:t>(1)</w:t>
            </w:r>
          </w:p>
        </w:tc>
        <w:tc>
          <w:tcPr>
            <w:tcW w:w="298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5.125x</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341"/>
        </w:trPr>
        <w:tc>
          <w:tcPr>
            <w:tcW w:w="4920" w:type="dxa"/>
            <w:vAlign w:val="bottom"/>
          </w:tcPr>
          <w:p>
            <w:pPr>
              <w:ind w:left="4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5"/>
                <w:szCs w:val="25"/>
                <w:color w:val="auto"/>
                <w:vertAlign w:val="superscript"/>
              </w:rPr>
              <w:t>(2)</w:t>
            </w:r>
          </w:p>
        </w:tc>
        <w:tc>
          <w:tcPr>
            <w:tcW w:w="2980" w:type="dxa"/>
            <w:vAlign w:val="bottom"/>
          </w:tcPr>
          <w:p>
            <w:pPr>
              <w:spacing w:after="0"/>
              <w:rPr>
                <w:sz w:val="24"/>
                <w:szCs w:val="24"/>
                <w:color w:val="auto"/>
              </w:rPr>
            </w:pPr>
          </w:p>
        </w:tc>
        <w:tc>
          <w:tcPr>
            <w:tcW w:w="1820" w:type="dxa"/>
            <w:vAlign w:val="bottom"/>
            <w:gridSpan w:val="2"/>
          </w:tcPr>
          <w:p>
            <w:pPr>
              <w:ind w:left="1180"/>
              <w:spacing w:after="0"/>
              <w:rPr>
                <w:sz w:val="20"/>
                <w:szCs w:val="20"/>
                <w:color w:val="auto"/>
              </w:rPr>
            </w:pPr>
            <w:r>
              <w:rPr>
                <w:rFonts w:ascii="Arial" w:cs="Arial" w:eastAsia="Arial" w:hAnsi="Arial"/>
                <w:sz w:val="18"/>
                <w:szCs w:val="18"/>
                <w:color w:val="auto"/>
              </w:rPr>
              <w:t>2.000x</w:t>
            </w:r>
          </w:p>
        </w:tc>
        <w:tc>
          <w:tcPr>
            <w:tcW w:w="17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496"/>
        </w:trPr>
        <w:tc>
          <w:tcPr>
            <w:tcW w:w="4920" w:type="dxa"/>
            <w:vAlign w:val="bottom"/>
          </w:tcPr>
          <w:p>
            <w:pPr>
              <w:spacing w:after="0"/>
              <w:rPr>
                <w:sz w:val="24"/>
                <w:szCs w:val="24"/>
                <w:color w:val="auto"/>
              </w:rPr>
            </w:pPr>
          </w:p>
        </w:tc>
        <w:tc>
          <w:tcPr>
            <w:tcW w:w="2980" w:type="dxa"/>
            <w:vAlign w:val="bottom"/>
          </w:tcPr>
          <w:p>
            <w:pPr>
              <w:jc w:val="right"/>
              <w:ind w:right="2010"/>
              <w:spacing w:after="0"/>
              <w:rPr>
                <w:sz w:val="20"/>
                <w:szCs w:val="20"/>
                <w:color w:val="auto"/>
              </w:rPr>
            </w:pPr>
            <w:r>
              <w:rPr>
                <w:rFonts w:ascii="Arial" w:cs="Arial" w:eastAsia="Arial" w:hAnsi="Arial"/>
                <w:sz w:val="18"/>
                <w:szCs w:val="18"/>
                <w:color w:val="auto"/>
              </w:rPr>
              <w:t>34</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500" w:right="60" w:hanging="492"/>
        <w:spacing w:after="0" w:line="290"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capital leases, debt in respect of sale-leaseback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our Credit Agreement, which, if ASI's lenders under the Credit Agreement (other than the lenders in respect of ASI's U.S. Term Loan B, which lenders do not benefit from the maximum Consolidated Secured Debt Ratio covenant) failed to waive any such default, would also constitute a default under the indentures governing our senior notes.</w:t>
      </w:r>
    </w:p>
    <w:p>
      <w:pPr>
        <w:spacing w:after="0" w:line="85" w:lineRule="exact"/>
        <w:rPr>
          <w:rFonts w:ascii="Arial" w:cs="Arial" w:eastAsia="Arial" w:hAnsi="Arial"/>
          <w:sz w:val="16"/>
          <w:szCs w:val="16"/>
          <w:color w:val="auto"/>
        </w:rPr>
      </w:pPr>
    </w:p>
    <w:p>
      <w:pPr>
        <w:ind w:left="500" w:hanging="492"/>
        <w:spacing w:after="0" w:line="270"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If we do not maintain this minimum Interest Coverage Ratio calculated on a pro forma basis for any such additional indebtedness or restricted payments, we could be prohibited from being able to incur additional indebtedness, other than the incremental capacity provided for under the Credit Agreement and pursuant to specified exceptions, and make certain restricted payments, other than pursuant to certain exceptions. The minimum Interest Coverage Ratio is 2.000x for the term of the Credit Agreement. Consolidated interest expense is defined in the Credit Agreement as consolidated interest expense excluding interest income, adjusted for acquisitions and dispositions, further adjusted for certain non-cash or nonrecurring interest expense and our estimated share of interest expense from one equity method investee.The indentures governing our senior notes include a similar requirement which is referred to as a Fixed Charge Coverage Ratio.</w:t>
      </w:r>
    </w:p>
    <w:p>
      <w:pPr>
        <w:spacing w:after="0" w:line="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and its subsidiaries and affiliates may from time to time, in their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1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first quarter of fiscal 2019, we extended the maturity dates of the Revolving Credit Facility, Yen Term Loan due 2022, Canadian Term Loan due 2022, Canadian Term Loan due 2023 and Euro Term Loan due 2022 to October 1, 2023 (see Note 5 to the condensed consolidated financial statements).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significant accounting policies are described in the notes to the consolidated financial statements included in our Form 10-K filed with the SEC on November 21, 2018. As described in such notes, we recognize revenue in the period in which the performance obligation is satisfied. During the first quarter of fiscal 2019, the Company adopted the new accounting standard related to revenue recognition. See Notes 1 and 7 to the condensed consolidated financial statement for more information on the impact of adoption.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Form 10-K filed with the SEC on November 21, 2018.</w:t>
      </w:r>
    </w:p>
    <w:p>
      <w:pPr>
        <w:spacing w:after="0" w:line="9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1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4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w:t>
      </w:r>
    </w:p>
    <w:p>
      <w:pPr>
        <w:ind w:right="60"/>
        <w:spacing w:after="0" w:line="290" w:lineRule="auto"/>
        <w:rPr>
          <w:sz w:val="20"/>
          <w:szCs w:val="20"/>
          <w:color w:val="auto"/>
        </w:rPr>
      </w:pPr>
      <w:r>
        <w:rPr>
          <w:rFonts w:ascii="Arial" w:cs="Arial" w:eastAsia="Arial" w:hAnsi="Arial"/>
          <w:sz w:val="17"/>
          <w:szCs w:val="17"/>
          <w:color w:val="auto"/>
        </w:rPr>
        <w:t>of December 28, 2018 has not materially changed from September 28, 2018 (see Item 7A"Quantitative and Qualitative Disclosure About Market Risk" in our Form 10-K for the fiscal year ended September 28, 2018 filed with the SEC on November 21, 2018). See Note 6 to the condensed consolidated</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financial statements for a discussion of the Company's derivative instruments and Note 14 for the disclosure of the fair value and related carrying value of the Company's debt obligations as of December 28, 2018.</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that term is defined in Rules 13a-15(e) and 15d-15(e) under the Securities Exchange Act of 1934, as amended) as of the end of the period covered by this report. Based on that evaluation, management, with the participation of the Chief Executive Officer and Chief Financial Officer, concluded that the Company's disclosure controls and procedures, as of the end of the period covered by this report, are functioning effectively to provide reasonable assurance that the information required to be disclosed by the Company in reports filed under the Securities Exchange Act of 1934 is recorded, processed, summarized and reported within the time periods specified in the SEC's rules and forms and is accumulated and communicated to the Company's management, including its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the Company's internal control over financial reporting occurred during the Company's first quarter of fiscal 2019 that has materially affected, or is reasonably likely to materially affect, the Company's internal control over financial reporting.</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7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December 28, 2018.</w:t>
      </w:r>
    </w:p>
    <w:p>
      <w:pPr>
        <w:spacing w:after="0" w:line="10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From time to time, the Company and its subsidiaries are party to various legal actions, proceedings and investigations involving claims incidental to the conduct of their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proceedings or investigations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of the Form 10-K for the fiscal year ended September 28, 2018 and filed with the SEC on November 21, 2018.</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the Company's share repurchase activity during the first fiscal quarter: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(b)</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(c)</w:t>
            </w:r>
          </w:p>
        </w:tc>
        <w:tc>
          <w:tcPr>
            <w:tcW w:w="120" w:type="dxa"/>
            <w:vAlign w:val="bottom"/>
          </w:tcPr>
          <w:p>
            <w:pPr>
              <w:spacing w:after="0"/>
              <w:rPr>
                <w:sz w:val="18"/>
                <w:szCs w:val="18"/>
                <w:color w:val="auto"/>
              </w:rPr>
            </w:pPr>
          </w:p>
        </w:tc>
        <w:tc>
          <w:tcPr>
            <w:tcW w:w="226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(d)</w:t>
            </w:r>
          </w:p>
        </w:tc>
      </w:tr>
      <w:tr>
        <w:trPr>
          <w:trHeight w:val="249"/>
        </w:trPr>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21"/>
                <w:szCs w:val="21"/>
                <w:color w:val="auto"/>
              </w:rPr>
            </w:pPr>
          </w:p>
        </w:tc>
        <w:tc>
          <w:tcPr>
            <w:tcW w:w="2260" w:type="dxa"/>
            <w:vAlign w:val="bottom"/>
          </w:tcPr>
          <w:p>
            <w:pPr>
              <w:jc w:val="center"/>
              <w:ind w:right="39"/>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6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Average Price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22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Shares (or Units)</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Paid per Share</w:t>
            </w: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Announced Plans or</w:t>
            </w:r>
          </w:p>
        </w:tc>
        <w:tc>
          <w:tcPr>
            <w:tcW w:w="238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Be Purchased Under the Plans or</w:t>
            </w:r>
          </w:p>
        </w:tc>
      </w:tr>
      <w:tr>
        <w:trPr>
          <w:trHeight w:val="243"/>
        </w:trPr>
        <w:tc>
          <w:tcPr>
            <w:tcW w:w="400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6"/>
              </w:rPr>
              <w:t>(or Unit)</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Programs</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Programs</w:t>
            </w:r>
            <w:r>
              <w:rPr>
                <w:rFonts w:ascii="Arial" w:cs="Arial" w:eastAsia="Arial" w:hAnsi="Arial"/>
                <w:sz w:val="21"/>
                <w:szCs w:val="21"/>
                <w:b w:val="1"/>
                <w:bCs w:val="1"/>
                <w:color w:val="auto"/>
                <w:w w:val="89"/>
                <w:vertAlign w:val="superscript"/>
              </w:rPr>
              <w:t>(1)</w:t>
            </w:r>
          </w:p>
        </w:tc>
      </w:tr>
      <w:tr>
        <w:trPr>
          <w:trHeight w:val="213"/>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Month 1</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September 29, 2018 - October 26, 2018</w:t>
            </w:r>
          </w:p>
        </w:tc>
        <w:tc>
          <w:tcPr>
            <w:tcW w:w="15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125,600,000</w:t>
            </w:r>
          </w:p>
        </w:tc>
      </w:tr>
      <w:tr>
        <w:trPr>
          <w:trHeight w:val="220"/>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Month 2</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9"/>
        </w:trPr>
        <w:tc>
          <w:tcPr>
            <w:tcW w:w="4120" w:type="dxa"/>
            <w:vAlign w:val="bottom"/>
            <w:gridSpan w:val="2"/>
          </w:tcPr>
          <w:p>
            <w:pPr>
              <w:ind w:left="40"/>
              <w:spacing w:after="0" w:line="239" w:lineRule="exact"/>
              <w:rPr>
                <w:sz w:val="20"/>
                <w:szCs w:val="20"/>
                <w:color w:val="auto"/>
              </w:rPr>
            </w:pPr>
            <w:r>
              <w:rPr>
                <w:rFonts w:ascii="Arial" w:cs="Arial" w:eastAsia="Arial" w:hAnsi="Arial"/>
                <w:sz w:val="16"/>
                <w:szCs w:val="16"/>
                <w:color w:val="auto"/>
              </w:rPr>
              <w:t>October 27, 2018 - November 23, 2018</w:t>
            </w:r>
            <w:r>
              <w:rPr>
                <w:rFonts w:ascii="Arial" w:cs="Arial" w:eastAsia="Arial" w:hAnsi="Arial"/>
                <w:sz w:val="21"/>
                <w:szCs w:val="21"/>
                <w:color w:val="auto"/>
                <w:vertAlign w:val="superscript"/>
              </w:rPr>
              <w:t>(2)</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145,824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35.74</w:t>
            </w:r>
          </w:p>
        </w:tc>
        <w:tc>
          <w:tcPr>
            <w:tcW w:w="100" w:type="dxa"/>
            <w:vAlign w:val="bottom"/>
          </w:tcPr>
          <w:p>
            <w:pPr>
              <w:spacing w:after="0"/>
              <w:rPr>
                <w:sz w:val="20"/>
                <w:szCs w:val="20"/>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22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Month 3</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9"/>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November 24, 2018 - December 28, 2018</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1,604,621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31.16</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1,604,621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75,600,000</w:t>
            </w:r>
          </w:p>
        </w:tc>
      </w:tr>
      <w:tr>
        <w:trPr>
          <w:trHeight w:val="244"/>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1,750,445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1,604,621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2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75,600,000</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February 7, 2017, we announced a share repurchase program allowing us to repurchase up to $250.0 million of our common stock, which expired February 1, 2019.</w:t>
      </w:r>
    </w:p>
    <w:p>
      <w:pPr>
        <w:spacing w:after="0" w:line="62"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shares withheld to pay taxes in connection with the vesting of performance restricted stock granted under the Company’s Amended and Restated 2013 Stock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Matters to a Vote of Security Holders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held its 2019 Annual Meeting of Shareholders on January 30, 2019 in Philadelphia, Pennsylvania. A quorum was present at the meeting. Set forth below are the final voting results with respect to each matter voted upon by the Company’s stockholders:</w:t>
      </w:r>
    </w:p>
    <w:p>
      <w:pPr>
        <w:spacing w:after="0" w:line="62" w:lineRule="exact"/>
        <w:rPr>
          <w:sz w:val="20"/>
          <w:szCs w:val="20"/>
          <w:color w:val="auto"/>
        </w:rPr>
      </w:pPr>
    </w:p>
    <w:p>
      <w:pPr>
        <w:ind w:left="660" w:right="1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Election of each of the following 10 director nominees to the Company’s Board of Directors to serve until the Company’s 2020 Annual Meeting of Shareholders or until his or her respective successor has been duly elected and qualified: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2"/>
              </w:rPr>
              <w:t>Nominees for Director</w:t>
            </w: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88"/>
              </w:rPr>
              <w:t>For</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9"/>
              </w:rPr>
              <w:t>Against</w:t>
            </w:r>
          </w:p>
        </w:tc>
        <w:tc>
          <w:tcPr>
            <w:tcW w:w="9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Abstentions</w:t>
            </w:r>
          </w:p>
        </w:tc>
        <w:tc>
          <w:tcPr>
            <w:tcW w:w="1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Broker Non-Votes</w:t>
            </w:r>
          </w:p>
        </w:tc>
      </w:tr>
      <w:tr>
        <w:trPr>
          <w:trHeight w:val="48"/>
        </w:trPr>
        <w:tc>
          <w:tcPr>
            <w:tcW w:w="14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auto"/>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Eric J. Foss</w:t>
            </w:r>
          </w:p>
        </w:tc>
        <w:tc>
          <w:tcPr>
            <w:tcW w:w="16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205,498,045</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12,619,241</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1,097,105</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4,744,631</w:t>
            </w:r>
          </w:p>
        </w:tc>
      </w:tr>
      <w:tr>
        <w:trPr>
          <w:trHeight w:val="27"/>
        </w:trPr>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Pierre-Olivier Beckers-Vieujant</w:t>
            </w:r>
          </w:p>
        </w:tc>
        <w:tc>
          <w:tcPr>
            <w:tcW w:w="26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211,877,319</w:t>
            </w:r>
          </w:p>
        </w:tc>
        <w:tc>
          <w:tcPr>
            <w:tcW w:w="15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7,278,654</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58,418</w:t>
            </w: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4,744,631</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Lisa G. Bisaccia</w:t>
            </w: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199,517,805</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19,638,326</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58,260</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4,744,631</w:t>
            </w:r>
          </w:p>
        </w:tc>
      </w:tr>
      <w:tr>
        <w:trPr>
          <w:trHeight w:val="27"/>
        </w:trPr>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Calvin Darden</w:t>
            </w:r>
          </w:p>
        </w:tc>
        <w:tc>
          <w:tcPr>
            <w:tcW w:w="26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199,822,311</w:t>
            </w:r>
          </w:p>
        </w:tc>
        <w:tc>
          <w:tcPr>
            <w:tcW w:w="15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19,333,816</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58,264</w:t>
            </w: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4,744,631</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Richard W. Dreiling</w:t>
            </w: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199,184,345</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19,971,627</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58,419</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4,744,631</w:t>
            </w:r>
          </w:p>
        </w:tc>
      </w:tr>
      <w:tr>
        <w:trPr>
          <w:trHeight w:val="27"/>
        </w:trPr>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Irene M. Esteves</w:t>
            </w:r>
          </w:p>
        </w:tc>
        <w:tc>
          <w:tcPr>
            <w:tcW w:w="26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211,545,495</w:t>
            </w:r>
          </w:p>
        </w:tc>
        <w:tc>
          <w:tcPr>
            <w:tcW w:w="15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7,611,073</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57,823</w:t>
            </w: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4,744,631</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Daniel J. Heinrich</w:t>
            </w: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211,180,592</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7,975,179</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58,620</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4,744,631</w:t>
            </w:r>
          </w:p>
        </w:tc>
      </w:tr>
      <w:tr>
        <w:trPr>
          <w:trHeight w:val="27"/>
        </w:trPr>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Patricia B. Morrison</w:t>
            </w:r>
          </w:p>
        </w:tc>
        <w:tc>
          <w:tcPr>
            <w:tcW w:w="266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212,197,305</w:t>
            </w:r>
          </w:p>
        </w:tc>
        <w:tc>
          <w:tcPr>
            <w:tcW w:w="154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6,958,754</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58,332</w:t>
            </w:r>
          </w:p>
        </w:tc>
        <w:tc>
          <w:tcPr>
            <w:tcW w:w="1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4,744,631</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John A. Quelch</w:t>
            </w:r>
          </w:p>
        </w:tc>
        <w:tc>
          <w:tcPr>
            <w:tcW w:w="2660" w:type="dxa"/>
            <w:vAlign w:val="bottom"/>
            <w:gridSpan w:val="3"/>
          </w:tcPr>
          <w:p>
            <w:pPr>
              <w:jc w:val="right"/>
              <w:ind w:right="700"/>
              <w:spacing w:after="0"/>
              <w:rPr>
                <w:sz w:val="20"/>
                <w:szCs w:val="20"/>
                <w:color w:val="auto"/>
              </w:rPr>
            </w:pPr>
            <w:r>
              <w:rPr>
                <w:rFonts w:ascii="Arial" w:cs="Arial" w:eastAsia="Arial" w:hAnsi="Arial"/>
                <w:sz w:val="18"/>
                <w:szCs w:val="18"/>
                <w:color w:val="auto"/>
              </w:rPr>
              <w:t>211,877,333</w:t>
            </w: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7,278,433</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58,625</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4,744,631</w:t>
            </w:r>
          </w:p>
        </w:tc>
      </w:tr>
      <w:tr>
        <w:trPr>
          <w:trHeight w:val="27"/>
        </w:trPr>
        <w:tc>
          <w:tcPr>
            <w:tcW w:w="1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43"/>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Stephen I. Sadove</w:t>
            </w:r>
          </w:p>
        </w:tc>
        <w:tc>
          <w:tcPr>
            <w:tcW w:w="26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197,608,376</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21,547,195</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58,820</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4,744,631</w:t>
            </w:r>
          </w:p>
        </w:tc>
      </w:tr>
      <w:tr>
        <w:trPr>
          <w:trHeight w:val="27"/>
        </w:trPr>
        <w:tc>
          <w:tcPr>
            <w:tcW w:w="14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right="5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Ratification of the appointment of KPMG LLP as the Company’s independent registered public accounting firm for the Company’s fiscal year ending September 27, 2019:</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For</w:t>
            </w:r>
          </w:p>
        </w:tc>
        <w:tc>
          <w:tcPr>
            <w:tcW w:w="1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jc w:val="center"/>
              <w:ind w:right="2080"/>
              <w:spacing w:after="0"/>
              <w:rPr>
                <w:sz w:val="20"/>
                <w:szCs w:val="20"/>
                <w:color w:val="auto"/>
              </w:rPr>
            </w:pPr>
            <w:r>
              <w:rPr>
                <w:rFonts w:ascii="Arial" w:cs="Arial" w:eastAsia="Arial" w:hAnsi="Arial"/>
                <w:sz w:val="18"/>
                <w:szCs w:val="18"/>
                <w:color w:val="auto"/>
                <w:w w:val="93"/>
              </w:rPr>
              <w:t>Against</w:t>
            </w:r>
          </w:p>
        </w:tc>
        <w:tc>
          <w:tcPr>
            <w:tcW w:w="170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1"/>
              </w:rPr>
              <w:t>Abstentions</w:t>
            </w:r>
          </w:p>
        </w:tc>
        <w:tc>
          <w:tcPr>
            <w:tcW w:w="29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0"/>
              </w:rPr>
              <w:t>Broker Non-Votes</w:t>
            </w: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2820" w:type="dxa"/>
            <w:vAlign w:val="bottom"/>
            <w:gridSpan w:val="3"/>
          </w:tcPr>
          <w:p>
            <w:pPr>
              <w:jc w:val="right"/>
              <w:ind w:right="980"/>
              <w:spacing w:after="0"/>
              <w:rPr>
                <w:sz w:val="20"/>
                <w:szCs w:val="20"/>
                <w:color w:val="auto"/>
              </w:rPr>
            </w:pPr>
            <w:r>
              <w:rPr>
                <w:rFonts w:ascii="Arial" w:cs="Arial" w:eastAsia="Arial" w:hAnsi="Arial"/>
                <w:sz w:val="18"/>
                <w:szCs w:val="18"/>
                <w:color w:val="auto"/>
              </w:rPr>
              <w:t>221,238,623</w:t>
            </w:r>
          </w:p>
        </w:tc>
        <w:tc>
          <w:tcPr>
            <w:tcW w:w="3700" w:type="dxa"/>
            <w:vAlign w:val="bottom"/>
            <w:gridSpan w:val="3"/>
          </w:tcPr>
          <w:p>
            <w:pPr>
              <w:jc w:val="right"/>
              <w:ind w:right="2000"/>
              <w:spacing w:after="0"/>
              <w:rPr>
                <w:sz w:val="20"/>
                <w:szCs w:val="20"/>
                <w:color w:val="auto"/>
              </w:rPr>
            </w:pPr>
            <w:r>
              <w:rPr>
                <w:rFonts w:ascii="Arial" w:cs="Arial" w:eastAsia="Arial" w:hAnsi="Arial"/>
                <w:sz w:val="18"/>
                <w:szCs w:val="18"/>
                <w:color w:val="auto"/>
              </w:rPr>
              <w:t>2,679,625</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40,774</w:t>
            </w: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r>
    </w:tbl>
    <w:p>
      <w:pPr>
        <w:spacing w:after="0" w:line="121" w:lineRule="exact"/>
        <w:rPr>
          <w:sz w:val="20"/>
          <w:szCs w:val="20"/>
          <w:color w:val="auto"/>
        </w:rPr>
      </w:pPr>
    </w:p>
    <w:p>
      <w:pPr>
        <w:ind w:left="660" w:right="7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on a non-binding, advisory basis, of the compensation of the Company’s named executive officers as disclosed in the Company’s definitive proxy statement for the 2019 Annual Meeting of Shareholders filed on December 21, 2018:</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For</w:t>
            </w:r>
          </w:p>
        </w:tc>
        <w:tc>
          <w:tcPr>
            <w:tcW w:w="1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center"/>
              <w:ind w:right="2080"/>
              <w:spacing w:after="0"/>
              <w:rPr>
                <w:sz w:val="20"/>
                <w:szCs w:val="20"/>
                <w:color w:val="auto"/>
              </w:rPr>
            </w:pPr>
            <w:r>
              <w:rPr>
                <w:rFonts w:ascii="Arial" w:cs="Arial" w:eastAsia="Arial" w:hAnsi="Arial"/>
                <w:sz w:val="18"/>
                <w:szCs w:val="18"/>
                <w:color w:val="auto"/>
                <w:w w:val="93"/>
              </w:rPr>
              <w:t>Against</w:t>
            </w:r>
          </w:p>
        </w:tc>
        <w:tc>
          <w:tcPr>
            <w:tcW w:w="1700" w:type="dxa"/>
            <w:vAlign w:val="bottom"/>
            <w:gridSpan w:val="2"/>
            <w:shd w:val="clear" w:color="auto" w:fill="CCEEFF"/>
          </w:tcPr>
          <w:p>
            <w:pPr>
              <w:jc w:val="center"/>
              <w:ind w:right="840"/>
              <w:spacing w:after="0"/>
              <w:rPr>
                <w:sz w:val="20"/>
                <w:szCs w:val="20"/>
                <w:color w:val="auto"/>
              </w:rPr>
            </w:pPr>
            <w:r>
              <w:rPr>
                <w:rFonts w:ascii="Arial" w:cs="Arial" w:eastAsia="Arial" w:hAnsi="Arial"/>
                <w:sz w:val="18"/>
                <w:szCs w:val="18"/>
                <w:color w:val="auto"/>
                <w:w w:val="91"/>
              </w:rPr>
              <w:t>Abstentions</w:t>
            </w:r>
          </w:p>
        </w:tc>
        <w:tc>
          <w:tcPr>
            <w:tcW w:w="290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0"/>
              </w:rPr>
              <w:t>Broker Non-Votes</w:t>
            </w:r>
          </w:p>
        </w:tc>
      </w:tr>
      <w:tr>
        <w:trPr>
          <w:trHeight w:val="48"/>
        </w:trPr>
        <w:tc>
          <w:tcPr>
            <w:tcW w:w="12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2800" w:type="dxa"/>
            <w:vAlign w:val="bottom"/>
            <w:gridSpan w:val="3"/>
          </w:tcPr>
          <w:p>
            <w:pPr>
              <w:jc w:val="right"/>
              <w:ind w:right="960"/>
              <w:spacing w:after="0"/>
              <w:rPr>
                <w:sz w:val="20"/>
                <w:szCs w:val="20"/>
                <w:color w:val="auto"/>
              </w:rPr>
            </w:pPr>
            <w:r>
              <w:rPr>
                <w:rFonts w:ascii="Arial" w:cs="Arial" w:eastAsia="Arial" w:hAnsi="Arial"/>
                <w:sz w:val="18"/>
                <w:szCs w:val="18"/>
                <w:color w:val="auto"/>
              </w:rPr>
              <w:t>122,251,737</w:t>
            </w:r>
          </w:p>
        </w:tc>
        <w:tc>
          <w:tcPr>
            <w:tcW w:w="3720" w:type="dxa"/>
            <w:vAlign w:val="bottom"/>
            <w:gridSpan w:val="3"/>
          </w:tcPr>
          <w:p>
            <w:pPr>
              <w:jc w:val="right"/>
              <w:ind w:right="1940"/>
              <w:spacing w:after="0"/>
              <w:rPr>
                <w:sz w:val="20"/>
                <w:szCs w:val="20"/>
                <w:color w:val="auto"/>
              </w:rPr>
            </w:pPr>
            <w:r>
              <w:rPr>
                <w:rFonts w:ascii="Arial" w:cs="Arial" w:eastAsia="Arial" w:hAnsi="Arial"/>
                <w:sz w:val="18"/>
                <w:szCs w:val="18"/>
                <w:color w:val="auto"/>
              </w:rPr>
              <w:t>96,905,074</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57,580</w:t>
            </w:r>
          </w:p>
        </w:tc>
        <w:tc>
          <w:tcPr>
            <w:tcW w:w="840" w:type="dxa"/>
            <w:vAlign w:val="bottom"/>
          </w:tcPr>
          <w:p>
            <w:pPr>
              <w:spacing w:after="0"/>
              <w:rPr>
                <w:sz w:val="21"/>
                <w:szCs w:val="21"/>
                <w:color w:val="auto"/>
              </w:rPr>
            </w:pPr>
          </w:p>
        </w:tc>
        <w:tc>
          <w:tcPr>
            <w:tcW w:w="2160" w:type="dxa"/>
            <w:vAlign w:val="bottom"/>
            <w:gridSpan w:val="2"/>
          </w:tcPr>
          <w:p>
            <w:pPr>
              <w:jc w:val="right"/>
              <w:ind w:right="300"/>
              <w:spacing w:after="0"/>
              <w:rPr>
                <w:sz w:val="20"/>
                <w:szCs w:val="20"/>
                <w:color w:val="auto"/>
              </w:rPr>
            </w:pPr>
            <w:r>
              <w:rPr>
                <w:rFonts w:ascii="Arial" w:cs="Arial" w:eastAsia="Arial" w:hAnsi="Arial"/>
                <w:sz w:val="18"/>
                <w:szCs w:val="18"/>
                <w:color w:val="auto"/>
              </w:rPr>
              <w:t>4,744,631</w:t>
            </w:r>
          </w:p>
        </w:tc>
        <w:tc>
          <w:tcPr>
            <w:tcW w:w="740" w:type="dxa"/>
            <w:vAlign w:val="bottom"/>
          </w:tcPr>
          <w:p>
            <w:pPr>
              <w:spacing w:after="0"/>
              <w:rPr>
                <w:sz w:val="21"/>
                <w:szCs w:val="21"/>
                <w:color w:val="auto"/>
              </w:rPr>
            </w:pPr>
          </w:p>
        </w:tc>
      </w:tr>
    </w:tbl>
    <w:p>
      <w:pPr>
        <w:spacing w:after="0" w:line="39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February 5, 2019, the Company announced that Lauren A. Harrington has been elected as an Executive Officer with the title of Senior Vice President and General Counsel, effective March 4, 2019. Ms. Harrington, age 43, currently serves as Vice President and Associate General Counsel at Aramark and has been in that role since 2012. Prior to that, she served as Assistant General Counsel for the Company from 2006 to 2009. Ms. Harrington was an Associate at WilmerHale LLP before joining Aramark. On January 31, 2019, Steve Reynolds provided notice to the Company of his intent to retire as Executive Vice President, General Counsel and Corporate Secretary. Mr. Reynolds and Ms. Harrington will conduct an orderly transition until April 1, 2019.</w:t>
      </w: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5, 2019.</w:t>
      </w:r>
    </w:p>
    <w:p>
      <w:pPr>
        <w:spacing w:after="0" w:line="251"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Aramark</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/s/ STEPHEN P. BRAMLAGE, JR.</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000" w:type="dxa"/>
            <w:vAlign w:val="bottom"/>
            <w:vMerge w:val="continue"/>
          </w:tcPr>
          <w:p>
            <w:pPr>
              <w:spacing w:after="0"/>
              <w:rPr>
                <w:sz w:val="16"/>
                <w:szCs w:val="16"/>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2"/>
              </w:rPr>
              <w:t>Stephen P. Bramlage, Jr.</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3"/>
              </w:rPr>
              <w:t>Executive Vice President and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18" w:right="239" w:bottom="1440" w:gutter="0" w:footer="0" w:header="0"/>
        </w:sectPr>
      </w:pPr>
    </w:p>
    <w:bookmarkStart w:id="42" w:name="page43"/>
    <w:bookmarkEnd w:id="42"/>
    <w:p>
      <w:pPr>
        <w:jc w:val="center"/>
        <w:ind w:right="10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60" w:lineRule="exact"/>
        <w:rPr>
          <w:sz w:val="20"/>
          <w:szCs w:val="20"/>
          <w:color w:val="auto"/>
        </w:rPr>
      </w:pPr>
    </w:p>
    <w:p>
      <w:pPr>
        <w:spacing w:after="0"/>
        <w:tabs>
          <w:tab w:leader="none" w:pos="562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19685</wp:posOffset>
            </wp:positionV>
            <wp:extent cx="7160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37" w:lineRule="exact"/>
        <w:rPr>
          <w:sz w:val="20"/>
          <w:szCs w:val="20"/>
          <w:color w:val="auto"/>
        </w:rPr>
      </w:pPr>
    </w:p>
    <w:p>
      <w:pPr>
        <w:ind w:left="860" w:hanging="570"/>
        <w:spacing w:after="0" w:line="268" w:lineRule="auto"/>
        <w:tabs>
          <w:tab w:leader="none" w:pos="84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21">
        <w:r>
          <w:rPr>
            <w:rFonts w:ascii="Arial" w:cs="Arial" w:eastAsia="Arial" w:hAnsi="Arial"/>
            <w:sz w:val="17"/>
            <w:szCs w:val="17"/>
            <w:u w:val="single" w:color="auto"/>
            <w:color w:val="0000FF"/>
          </w:rPr>
          <w:t>Amendment No. 7 (the “Amendment”), dated as of October 1, 2018, among Aramark Services, Inc. (the “Company”), Aramark Intermediate</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HoldCo Corporation (“Holdings”), Aramark Intermediate HoldCo Corporation (“Holdings”), ARAMARK Canada Ltd. (the “Canadian</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Borrower”), ARAMARK Investments Limited, ARAMARK Limited (together with ARAMARK Investments Limited, the “UK</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Borrowers”), ARAMARK Ireland Holdings Limited, ARAMARK Regional Treasury Europe, Designated Activity Company (together with</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ARAMARK Ireland Holdings Limited, the “Irish Borrowers”), ARAMARK Holdings Deutschland GMBH (as successor by merger to</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ARAMARK Holdings GmbH &amp; Co. KG, the “German Borrower”), Aramark International Finance S.à r.l. (the “Luxembourg Borrower”),</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certain other wholly-owned subsidiaries of the Company, the financial institutions party thereto and JPMorgan Chase Bank, N.A. as</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administrative agent for the Lenders (as defined below) and collateral agent for the secured parties thereunder to the credit agreement, dated</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March 28, 2017, among the Company, Holdings, the Canadian Borrower, the UK Borrower, the Irish Borrowers, the German Borrower, the</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Luxembourg Borrower and certain other wholly-owned domestic subsidiaries of the Company, the financial institutions from time to time</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party thereto (the “Lenders”), the issuing banks named therein and JPMorgan Chase Bank, N.A., as administrative agent for the Lenders and</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collateral agent for the secured parties thereunder (incorporated by reference to Exhibit 10.1 to Aramark’s Current Report on Form 8-K filed</w:t>
        </w:r>
      </w:hyperlink>
      <w:r>
        <w:rPr>
          <w:rFonts w:ascii="Arial" w:cs="Arial" w:eastAsia="Arial" w:hAnsi="Arial"/>
          <w:sz w:val="17"/>
          <w:szCs w:val="17"/>
          <w:u w:val="single" w:color="auto"/>
          <w:color w:val="0000FF"/>
        </w:rPr>
        <w:t xml:space="preserve"> </w:t>
      </w:r>
      <w:hyperlink r:id="rId21">
        <w:r>
          <w:rPr>
            <w:rFonts w:ascii="Arial" w:cs="Arial" w:eastAsia="Arial" w:hAnsi="Arial"/>
            <w:sz w:val="17"/>
            <w:szCs w:val="17"/>
            <w:u w:val="single" w:color="auto"/>
            <w:color w:val="0000FF"/>
          </w:rPr>
          <w:t>with the SEC on October 4, 2018 pursuant to the Exchange Act (file number 001-36223)).</w:t>
        </w:r>
      </w:hyperlink>
    </w:p>
    <w:p>
      <w:pPr>
        <w:spacing w:after="0" w:line="25" w:lineRule="exact"/>
        <w:rPr>
          <w:rFonts w:ascii="Arial" w:cs="Arial" w:eastAsia="Arial" w:hAnsi="Arial"/>
          <w:sz w:val="17"/>
          <w:szCs w:val="17"/>
          <w:u w:val="single" w:color="auto"/>
          <w:color w:val="0000FF"/>
        </w:rPr>
      </w:pPr>
    </w:p>
    <w:p>
      <w:pPr>
        <w:ind w:left="300"/>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22">
        <w:r>
          <w:rPr>
            <w:rFonts w:ascii="Arial" w:cs="Arial" w:eastAsia="Arial" w:hAnsi="Arial"/>
            <w:sz w:val="16"/>
            <w:szCs w:val="16"/>
            <w:u w:val="single" w:color="auto"/>
            <w:color w:val="0000FF"/>
          </w:rPr>
          <w:t>Amended and Restated Aramark Executive Leadership Council Management Incentive Bonus Plan (incorporated by reference to Exhibit</w:t>
        </w:r>
      </w:hyperlink>
    </w:p>
    <w:p>
      <w:pPr>
        <w:spacing w:after="0" w:line="23" w:lineRule="exact"/>
        <w:rPr>
          <w:rFonts w:ascii="Arial" w:cs="Arial" w:eastAsia="Arial" w:hAnsi="Arial"/>
          <w:sz w:val="17"/>
          <w:szCs w:val="17"/>
          <w:u w:val="single" w:color="auto"/>
          <w:color w:val="0000FF"/>
        </w:rPr>
      </w:pPr>
    </w:p>
    <w:p>
      <w:pPr>
        <w:ind w:left="860"/>
        <w:spacing w:after="0"/>
        <w:rPr>
          <w:rFonts w:ascii="Arial" w:cs="Arial" w:eastAsia="Arial" w:hAnsi="Arial"/>
          <w:sz w:val="16"/>
          <w:szCs w:val="16"/>
          <w:u w:val="single" w:color="auto"/>
          <w:color w:val="0000FF"/>
        </w:rPr>
      </w:pPr>
      <w:hyperlink r:id="rId22">
        <w:r>
          <w:rPr>
            <w:rFonts w:ascii="Arial" w:cs="Arial" w:eastAsia="Arial" w:hAnsi="Arial"/>
            <w:sz w:val="16"/>
            <w:szCs w:val="16"/>
            <w:u w:val="single" w:color="auto"/>
            <w:color w:val="0000FF"/>
          </w:rPr>
          <w:t>10.40 to Aramark’s Annual Report on Form 10-K filed with the SEC on November 21, 2018 pursuant to the Exchange Act (file number 001-</w:t>
        </w:r>
      </w:hyperlink>
    </w:p>
    <w:p>
      <w:pPr>
        <w:spacing w:after="0" w:line="32" w:lineRule="exact"/>
        <w:rPr>
          <w:rFonts w:ascii="Arial" w:cs="Arial" w:eastAsia="Arial" w:hAnsi="Arial"/>
          <w:sz w:val="17"/>
          <w:szCs w:val="17"/>
          <w:u w:val="single" w:color="auto"/>
          <w:color w:val="0000FF"/>
        </w:rPr>
      </w:pPr>
    </w:p>
    <w:p>
      <w:pPr>
        <w:ind w:left="86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36223)).</w:t>
        </w:r>
      </w:hyperlink>
    </w:p>
    <w:p>
      <w:pPr>
        <w:spacing w:after="0" w:line="49" w:lineRule="exact"/>
        <w:rPr>
          <w:rFonts w:ascii="Arial" w:cs="Arial" w:eastAsia="Arial" w:hAnsi="Arial"/>
          <w:sz w:val="17"/>
          <w:szCs w:val="17"/>
          <w:u w:val="single" w:color="auto"/>
          <w:color w:val="0000FF"/>
        </w:rPr>
      </w:pPr>
    </w:p>
    <w:p>
      <w:pPr>
        <w:ind w:left="300"/>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44">
        <w:r>
          <w:rPr>
            <w:rFonts w:ascii="Arial" w:cs="Arial" w:eastAsia="Arial" w:hAnsi="Arial"/>
            <w:sz w:val="16"/>
            <w:szCs w:val="16"/>
            <w:u w:val="single" w:color="auto"/>
            <w:color w:val="0000FF"/>
          </w:rPr>
          <w:t>Certification of Eric Foss, Chief Executive Officer, pursuant to Section 302 of the Sarbanes-Oxley Act of 2002.</w:t>
        </w:r>
      </w:hyperlink>
    </w:p>
    <w:p>
      <w:pPr>
        <w:spacing w:after="0" w:line="63" w:lineRule="exact"/>
        <w:rPr>
          <w:rFonts w:ascii="Arial" w:cs="Arial" w:eastAsia="Arial" w:hAnsi="Arial"/>
          <w:sz w:val="17"/>
          <w:szCs w:val="17"/>
          <w:u w:val="single" w:color="auto"/>
          <w:color w:val="0000FF"/>
        </w:rPr>
      </w:pPr>
    </w:p>
    <w:p>
      <w:pPr>
        <w:ind w:left="300"/>
        <w:spacing w:after="0"/>
        <w:tabs>
          <w:tab w:leader="none" w:pos="84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45">
        <w:r>
          <w:rPr>
            <w:rFonts w:ascii="Arial" w:cs="Arial" w:eastAsia="Arial" w:hAnsi="Arial"/>
            <w:sz w:val="16"/>
            <w:szCs w:val="16"/>
            <w:u w:val="single" w:color="auto"/>
            <w:color w:val="0000FF"/>
          </w:rPr>
          <w:t>Certification of Stephen P. Bramlage Jr., Chief Financial Officer, pursuant to Section 302 of the Sarbanes-Oxley Act of 2002.</w:t>
        </w:r>
      </w:hyperlink>
    </w:p>
    <w:p>
      <w:pPr>
        <w:spacing w:after="0" w:line="63" w:lineRule="exact"/>
        <w:rPr>
          <w:rFonts w:ascii="Arial" w:cs="Arial" w:eastAsia="Arial" w:hAnsi="Arial"/>
          <w:sz w:val="17"/>
          <w:szCs w:val="17"/>
          <w:u w:val="single" w:color="auto"/>
          <w:color w:val="0000FF"/>
        </w:rPr>
      </w:pPr>
    </w:p>
    <w:p>
      <w:pPr>
        <w:ind w:left="860" w:right="400" w:hanging="570"/>
        <w:spacing w:after="0" w:line="277" w:lineRule="auto"/>
        <w:tabs>
          <w:tab w:leader="none" w:pos="8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6">
        <w:r>
          <w:rPr>
            <w:rFonts w:ascii="Arial" w:cs="Arial" w:eastAsia="Arial" w:hAnsi="Arial"/>
            <w:sz w:val="18"/>
            <w:szCs w:val="18"/>
            <w:u w:val="single" w:color="auto"/>
            <w:color w:val="0000FF"/>
          </w:rPr>
          <w:t>Certification of Eric Foss, Chief Executive Officer, and Stephen P. Bramlage Jr., Chief Financial Officer, pursuant to Section 906 of the</w:t>
        </w:r>
      </w:hyperlink>
      <w:r>
        <w:rPr>
          <w:rFonts w:ascii="Arial" w:cs="Arial" w:eastAsia="Arial" w:hAnsi="Arial"/>
          <w:sz w:val="18"/>
          <w:szCs w:val="18"/>
          <w:u w:val="single" w:color="auto"/>
          <w:color w:val="0000FF"/>
        </w:rPr>
        <w:t xml:space="preserve"> </w:t>
      </w:r>
      <w:hyperlink w:anchor="page46">
        <w:r>
          <w:rPr>
            <w:rFonts w:ascii="Arial" w:cs="Arial" w:eastAsia="Arial" w:hAnsi="Arial"/>
            <w:sz w:val="18"/>
            <w:szCs w:val="18"/>
            <w:u w:val="single" w:color="auto"/>
            <w:color w:val="0000FF"/>
          </w:rPr>
          <w:t>Sarbanes-Oxley Act of 2002.</w:t>
        </w:r>
      </w:hyperlink>
    </w:p>
    <w:p>
      <w:pPr>
        <w:spacing w:after="0" w:line="8" w:lineRule="exact"/>
        <w:rPr>
          <w:sz w:val="20"/>
          <w:szCs w:val="20"/>
          <w:color w:val="auto"/>
        </w:rPr>
      </w:pPr>
    </w:p>
    <w:p>
      <w:pPr>
        <w:ind w:left="860" w:right="20" w:hanging="518"/>
        <w:spacing w:after="0" w:line="255" w:lineRule="auto"/>
        <w:tabs>
          <w:tab w:leader="none" w:pos="860" w:val="left"/>
        </w:tabs>
        <w:numPr>
          <w:ilvl w:val="0"/>
          <w:numId w:val="27"/>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 following financial information from Aramark's Quarterly Report on Form 10-Q for the period ended December 28, 2018 formatted in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XBRL: (i) Condensed Consolidated Balance Sheets as of December 28, 2018 and September 28, 2018; (ii) Condensed Consolidated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Statements of Income for the three months ended December 28, 2018 and December 29, 2017; (iii) Condensed Consolidated Statements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Comprehensive Income for the three months ended December 28, 2018 and December 29, 2017; (iv) Condensed Consolidated Statements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Cash Flows for the three months ended December 28, 2018 and December 29, 2017; (v) Condensed Consolidated Statements of</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Stockholders' Equity for the three months ended December 28, 2018 and December 29, 2017; and (vi) Notes to condensed consolidated</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financial statements.</w:t>
        </w:r>
      </w:hyperlink>
    </w:p>
    <w:p>
      <w:pPr>
        <w:spacing w:after="0" w:line="108" w:lineRule="exact"/>
        <w:rPr>
          <w:rFonts w:ascii="Arial" w:cs="Arial" w:eastAsia="Arial" w:hAnsi="Arial"/>
          <w:sz w:val="18"/>
          <w:szCs w:val="18"/>
          <w:u w:val="single" w:color="auto"/>
          <w:color w:val="0000EE"/>
        </w:rPr>
      </w:pPr>
    </w:p>
    <w:p>
      <w:pPr>
        <w:ind w:left="80"/>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1" w:lineRule="exact"/>
        <w:rPr>
          <w:rFonts w:ascii="Arial" w:cs="Arial" w:eastAsia="Arial" w:hAnsi="Arial"/>
          <w:sz w:val="18"/>
          <w:szCs w:val="18"/>
          <w:u w:val="single" w:color="auto"/>
          <w:color w:val="0000EE"/>
        </w:rPr>
      </w:pPr>
    </w:p>
    <w:p>
      <w:pPr>
        <w:jc w:val="center"/>
        <w:ind w:right="1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500" w:top="418"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Eric J. Foss, Chairman, President and Chief Executive Officer, certify that:</w:t>
      </w:r>
    </w:p>
    <w:p>
      <w:pPr>
        <w:spacing w:after="0" w:line="9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December 28, 2018;</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E</w:t>
      </w:r>
      <w:r>
        <w:rPr>
          <w:rFonts w:ascii="Arial" w:cs="Arial" w:eastAsia="Arial" w:hAnsi="Arial"/>
          <w:sz w:val="16"/>
          <w:szCs w:val="16"/>
          <w:color w:val="auto"/>
        </w:rPr>
        <w:t>RIC</w:t>
      </w:r>
      <w:r>
        <w:rPr>
          <w:rFonts w:ascii="Arial" w:cs="Arial" w:eastAsia="Arial" w:hAnsi="Arial"/>
          <w:sz w:val="18"/>
          <w:szCs w:val="18"/>
          <w:color w:val="auto"/>
        </w:rPr>
        <w:t xml:space="preserve"> J. F</w:t>
      </w:r>
      <w:r>
        <w:rPr>
          <w:rFonts w:ascii="Arial" w:cs="Arial" w:eastAsia="Arial" w:hAnsi="Arial"/>
          <w:sz w:val="16"/>
          <w:szCs w:val="16"/>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Eric J. Foss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Chairman, President and Chief Executive Officer</w:t>
      </w:r>
    </w:p>
    <w:p>
      <w:pPr>
        <w:sectPr>
          <w:pgSz w:w="11900" w:h="16838" w:orient="portrait"/>
          <w:cols w:equalWidth="0" w:num="1">
            <w:col w:w="11420"/>
          </w:cols>
          <w:pgMar w:left="240" w:top="74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Stephen P. Bramlage, Jr.,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December 28, 2018;</w:t>
      </w:r>
    </w:p>
    <w:p>
      <w:pPr>
        <w:spacing w:after="0" w:line="90" w:lineRule="exact"/>
        <w:rPr>
          <w:rFonts w:ascii="Arial" w:cs="Arial" w:eastAsia="Arial" w:hAnsi="Arial"/>
          <w:sz w:val="18"/>
          <w:szCs w:val="18"/>
          <w:color w:val="auto"/>
        </w:rPr>
      </w:pPr>
    </w:p>
    <w:p>
      <w:pPr>
        <w:ind w:left="340" w:right="120" w:hanging="332"/>
        <w:spacing w:after="0" w:line="334"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S</w:t>
      </w:r>
      <w:r>
        <w:rPr>
          <w:rFonts w:ascii="Arial" w:cs="Arial" w:eastAsia="Arial" w:hAnsi="Arial"/>
          <w:sz w:val="16"/>
          <w:szCs w:val="16"/>
          <w:color w:val="auto"/>
        </w:rPr>
        <w:t>TEPHEN</w:t>
      </w:r>
      <w:r>
        <w:rPr>
          <w:rFonts w:ascii="Arial" w:cs="Arial" w:eastAsia="Arial" w:hAnsi="Arial"/>
          <w:sz w:val="18"/>
          <w:szCs w:val="18"/>
          <w:color w:val="auto"/>
        </w:rPr>
        <w:t xml:space="preserve"> P. B</w:t>
      </w:r>
      <w:r>
        <w:rPr>
          <w:rFonts w:ascii="Arial" w:cs="Arial" w:eastAsia="Arial" w:hAnsi="Arial"/>
          <w:sz w:val="16"/>
          <w:szCs w:val="16"/>
          <w:color w:val="auto"/>
        </w:rPr>
        <w:t>RAMLAGE</w:t>
      </w:r>
      <w:r>
        <w:rPr>
          <w:rFonts w:ascii="Arial" w:cs="Arial" w:eastAsia="Arial" w:hAnsi="Arial"/>
          <w:sz w:val="18"/>
          <w:szCs w:val="18"/>
          <w:color w:val="auto"/>
        </w:rPr>
        <w:t>, J</w:t>
      </w:r>
      <w:r>
        <w:rPr>
          <w:rFonts w:ascii="Arial" w:cs="Arial" w:eastAsia="Arial" w:hAnsi="Arial"/>
          <w:sz w:val="16"/>
          <w:szCs w:val="16"/>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7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Aramark (the “Company”) on Form 10-Q for the fiscal quarter ended December 28, 2018, as filed with the Securities and Exchange Commission on the date hereof (the “Report”), we, Eric J. Foss, Chairman, President and Chief Executive Officer of the Company, and Stephen P. Bramlage, Jr., Executive Vice President and Chief Financial Officer of the Company, each certify, pursuant to 18 U.S.C. Section 1350, as adopted pursuant to Section 906 of the Sarbanes-Oxley Act of 2002, that, based on each of our knowledge:</w:t>
      </w:r>
    </w:p>
    <w:p>
      <w:pPr>
        <w:spacing w:after="0" w:line="33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87" w:lineRule="exact"/>
        <w:rPr>
          <w:rFonts w:ascii="Arial" w:cs="Arial" w:eastAsia="Arial" w:hAnsi="Arial"/>
          <w:sz w:val="18"/>
          <w:szCs w:val="18"/>
          <w:color w:val="auto"/>
        </w:rPr>
      </w:pPr>
    </w:p>
    <w:p>
      <w:pPr>
        <w:ind w:right="320" w:firstLine="332"/>
        <w:spacing w:after="0" w:line="716" w:lineRule="auto"/>
        <w:tabs>
          <w:tab w:leader="none" w:pos="64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5, 2019</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E</w:t>
      </w:r>
      <w:r>
        <w:rPr>
          <w:rFonts w:ascii="Arial" w:cs="Arial" w:eastAsia="Arial" w:hAnsi="Arial"/>
          <w:sz w:val="16"/>
          <w:szCs w:val="16"/>
          <w:color w:val="auto"/>
        </w:rPr>
        <w:t>RIC</w:t>
      </w:r>
      <w:r>
        <w:rPr>
          <w:rFonts w:ascii="Arial" w:cs="Arial" w:eastAsia="Arial" w:hAnsi="Arial"/>
          <w:sz w:val="18"/>
          <w:szCs w:val="18"/>
          <w:color w:val="auto"/>
        </w:rPr>
        <w:t xml:space="preserve"> J. F</w:t>
      </w:r>
      <w:r>
        <w:rPr>
          <w:rFonts w:ascii="Arial" w:cs="Arial" w:eastAsia="Arial" w:hAnsi="Arial"/>
          <w:sz w:val="16"/>
          <w:szCs w:val="16"/>
          <w:color w:val="auto"/>
        </w:rPr>
        <w:t>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31750</wp:posOffset>
            </wp:positionV>
            <wp:extent cx="30187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53"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Eric J. Foss</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S</w:t>
      </w:r>
      <w:r>
        <w:rPr>
          <w:rFonts w:ascii="Arial" w:cs="Arial" w:eastAsia="Arial" w:hAnsi="Arial"/>
          <w:sz w:val="16"/>
          <w:szCs w:val="16"/>
          <w:color w:val="auto"/>
        </w:rPr>
        <w:t>TEPHEN</w:t>
      </w:r>
      <w:r>
        <w:rPr>
          <w:rFonts w:ascii="Arial" w:cs="Arial" w:eastAsia="Arial" w:hAnsi="Arial"/>
          <w:sz w:val="18"/>
          <w:szCs w:val="18"/>
          <w:color w:val="auto"/>
        </w:rPr>
        <w:t xml:space="preserve"> P. B</w:t>
      </w:r>
      <w:r>
        <w:rPr>
          <w:rFonts w:ascii="Arial" w:cs="Arial" w:eastAsia="Arial" w:hAnsi="Arial"/>
          <w:sz w:val="16"/>
          <w:szCs w:val="16"/>
          <w:color w:val="auto"/>
        </w:rPr>
        <w:t>RAMLAGE</w:t>
      </w:r>
      <w:r>
        <w:rPr>
          <w:rFonts w:ascii="Arial" w:cs="Arial" w:eastAsia="Arial" w:hAnsi="Arial"/>
          <w:sz w:val="18"/>
          <w:szCs w:val="18"/>
          <w:color w:val="auto"/>
        </w:rPr>
        <w:t>, J</w:t>
      </w:r>
      <w:r>
        <w:rPr>
          <w:rFonts w:ascii="Arial" w:cs="Arial" w:eastAsia="Arial" w:hAnsi="Arial"/>
          <w:sz w:val="16"/>
          <w:szCs w:val="16"/>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Stephen P. Bramlage, Jr.</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amp;"/>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2"/>
    </w:lvl>
  </w:abstractNum>
  <w:abstractNum w:abstractNumId="25">
    <w:nsid w:val="2CA88611"/>
    <w:multiLevelType w:val="hybridMultilevel"/>
    <w:lvl w:ilvl="0">
      <w:lvlJc w:val="left"/>
      <w:lvlText w:val="%1."/>
      <w:numFmt w:val="decimal"/>
      <w:start w:val="3"/>
    </w:lvl>
  </w:abstractNum>
  <w:abstractNum w:abstractNumId="26">
    <w:nsid w:val="836C40E"/>
    <w:multiLevelType w:val="hybridMultilevel"/>
    <w:lvl w:ilvl="0">
      <w:lvlJc w:val="left"/>
      <w:lvlText w:val="%1"/>
      <w:numFmt w:val="decimal"/>
      <w:start w:val="10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1" Type="http://schemas.openxmlformats.org/officeDocument/2006/relationships/hyperlink" Target="http://www.sec.gov/Archives/edgar/data/1584509/000158450918000186/aramarkamendmentno7.htm" TargetMode="External"/><Relationship Id="rId22" Type="http://schemas.openxmlformats.org/officeDocument/2006/relationships/hyperlink" Target="http://www.sec.gov/Archives/edgar/data/1584509/000158450918000226/ex104010-k2018x2019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2019-12-28T17:01:39Z</dcterms:created>
  <dcterms:modified xsi:type="dcterms:W3CDTF">2019-12-28T17:01:39Z</dcterms:modified>
</cp:coreProperties>
</file>