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60" w:after="60"/>
        <w:jc w:val="center"/>
        <w:rPr/>
      </w:pPr>
      <w:r>
        <w:rPr>
          <w:rFonts w:ascii="Wingdings;sans-serif" w:hAnsi="Wingdings;sans-serif"/>
          <w:b w:val="false"/>
          <w:color w:val="000000"/>
          <w:sz w:val="20"/>
        </w:rPr>
        <w:t xml:space="preserve">x </w:t>
      </w:r>
      <w:r>
        <w:rPr>
          <w:rFonts w:ascii="Times New Roman;serif" w:hAnsi="Times New Roman;serif"/>
          <w:b/>
          <w:color w:val="000000"/>
          <w:sz w:val="24"/>
        </w:rPr>
        <w:t>QUARTERLY REPORT 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quarterly period ended April 3, 2026</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60" w:after="60"/>
        <w:jc w:val="center"/>
        <w:rPr/>
      </w:pPr>
      <w:r>
        <w:rPr>
          <w:color w:val="000000"/>
        </w:rPr>
        <w:t xml:space="preserve">☐ </w:t>
      </w:r>
      <w:r>
        <w:rPr>
          <w:rFonts w:ascii="Times New Roman;serif" w:hAnsi="Times New Roman;serif"/>
          <w:b/>
          <w:color w:val="000000"/>
          <w:sz w:val="24"/>
        </w:rPr>
        <w:t xml:space="preserve">TRANSITION REPORT PURSUANT TO SECTION 13 OR 15(d)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 to 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001-36223 </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before="60" w:after="60"/>
        <w:jc w:val="center"/>
        <w:rPr/>
      </w:pPr>
      <w:r>
        <w:rPr/>
        <w:drawing>
          <wp:inline distT="0" distB="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bookmarkStart w:id="0" w:name="i-1"/>
      <w:bookmarkEnd w:id="0"/>
    </w:p>
    <w:tbl>
      <w:tblPr>
        <w:tblW w:w="4617" w:type="dxa"/>
        <w:jc w:val="center"/>
        <w:tblInd w:w="0" w:type="dxa"/>
        <w:tblLayout w:type="fixed"/>
        <w:tblCellMar>
          <w:top w:w="28" w:type="dxa"/>
          <w:left w:w="28" w:type="dxa"/>
          <w:bottom w:w="28" w:type="dxa"/>
          <w:right w:w="28" w:type="dxa"/>
        </w:tblCellMar>
      </w:tblPr>
      <w:tblGrid>
        <w:gridCol w:w="518"/>
        <w:gridCol w:w="456"/>
        <w:gridCol w:w="456"/>
        <w:gridCol w:w="477"/>
        <w:gridCol w:w="477"/>
        <w:gridCol w:w="478"/>
        <w:gridCol w:w="513"/>
        <w:gridCol w:w="513"/>
        <w:gridCol w:w="729"/>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Aramark</w:t>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20-8236097</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2400 Market Street</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Philadelphia,</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Pennsylvania</w:t>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238-3000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73" w:type="dxa"/>
        <w:jc w:val="left"/>
        <w:tblInd w:w="0" w:type="dxa"/>
        <w:tblLayout w:type="fixed"/>
        <w:tblCellMar>
          <w:top w:w="28" w:type="dxa"/>
          <w:left w:w="28" w:type="dxa"/>
          <w:bottom w:w="28" w:type="dxa"/>
          <w:right w:w="28" w:type="dxa"/>
        </w:tblCellMar>
      </w:tblPr>
      <w:tblGrid>
        <w:gridCol w:w="452"/>
        <w:gridCol w:w="396"/>
        <w:gridCol w:w="396"/>
        <w:gridCol w:w="625"/>
        <w:gridCol w:w="625"/>
        <w:gridCol w:w="625"/>
        <w:gridCol w:w="564"/>
        <w:gridCol w:w="564"/>
        <w:gridCol w:w="566"/>
        <w:gridCol w:w="1157"/>
        <w:gridCol w:w="1157"/>
        <w:gridCol w:w="1646"/>
      </w:tblGrid>
      <w:tr>
        <w:trPr/>
        <w:tc>
          <w:tcPr>
            <w:tcW w:w="4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60"/>
        <w:jc w:val="left"/>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60"/>
        <w:gridCol w:w="492"/>
        <w:gridCol w:w="495"/>
        <w:gridCol w:w="109"/>
        <w:gridCol w:w="109"/>
        <w:gridCol w:w="109"/>
        <w:gridCol w:w="480"/>
        <w:gridCol w:w="480"/>
        <w:gridCol w:w="481"/>
        <w:gridCol w:w="109"/>
        <w:gridCol w:w="109"/>
        <w:gridCol w:w="109"/>
        <w:gridCol w:w="537"/>
        <w:gridCol w:w="537"/>
        <w:gridCol w:w="538"/>
        <w:gridCol w:w="109"/>
        <w:gridCol w:w="109"/>
        <w:gridCol w:w="109"/>
        <w:gridCol w:w="770"/>
        <w:gridCol w:w="770"/>
        <w:gridCol w:w="771"/>
        <w:gridCol w:w="109"/>
        <w:gridCol w:w="109"/>
        <w:gridCol w:w="109"/>
        <w:gridCol w:w="536"/>
        <w:gridCol w:w="536"/>
        <w:gridCol w:w="538"/>
        <w:gridCol w:w="109"/>
        <w:gridCol w:w="109"/>
        <w:gridCol w:w="15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00" w:after="60"/>
        <w:ind w:left="0" w:right="0" w:firstLine="450"/>
        <w:jc w:val="left"/>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May 1, 2026, the number of shares of the registrant's common stock outstanding is 262,953,564.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color w:val="000000"/>
        </w:rPr>
      </w:pPr>
      <w:r>
        <w:rPr>
          <w:color w:val="000000"/>
        </w:rPr>
        <w:t>    </w:t>
      </w:r>
    </w:p>
    <w:tbl>
      <w:tblPr>
        <w:tblW w:w="9879" w:type="dxa"/>
        <w:jc w:val="center"/>
        <w:tblInd w:w="0" w:type="dxa"/>
        <w:tblLayout w:type="fixed"/>
        <w:tblCellMar>
          <w:top w:w="28" w:type="dxa"/>
          <w:left w:w="28" w:type="dxa"/>
          <w:bottom w:w="28" w:type="dxa"/>
          <w:right w:w="28" w:type="dxa"/>
        </w:tblCellMar>
      </w:tblPr>
      <w:tblGrid>
        <w:gridCol w:w="329"/>
        <w:gridCol w:w="288"/>
        <w:gridCol w:w="288"/>
        <w:gridCol w:w="288"/>
        <w:gridCol w:w="288"/>
        <w:gridCol w:w="288"/>
        <w:gridCol w:w="2443"/>
        <w:gridCol w:w="2443"/>
        <w:gridCol w:w="2449"/>
        <w:gridCol w:w="222"/>
        <w:gridCol w:w="222"/>
        <w:gridCol w:w="331"/>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8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TABLE OF CONTENTS</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3">
              <w:r>
                <w:rPr>
                  <w:rStyle w:val="InternetLink"/>
                  <w:rFonts w:ascii="Times New Roman;serif" w:hAnsi="Times New Roman;serif"/>
                  <w:b w:val="false"/>
                  <w:color w:val="0000FF"/>
                  <w:sz w:val="20"/>
                  <w:u w:val="single"/>
                </w:rPr>
                <w:t>PART I - Financial Information</w:t>
              </w:r>
            </w:hyperlink>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6">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5c80dfb019174604901256f53369b6e8_16">
              <w:r>
                <w:rPr>
                  <w:rStyle w:val="InternetLink"/>
                  <w:rFonts w:ascii="Times New Roman;serif" w:hAnsi="Times New Roman;serif"/>
                  <w:b w:val="false"/>
                  <w:color w:val="0000FF"/>
                  <w:sz w:val="20"/>
                  <w:u w:val="single"/>
                </w:rPr>
                <w:t>Financial Statements (Unaudited)</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6">
              <w:r>
                <w:rPr>
                  <w:rStyle w:val="InternetLink"/>
                  <w:rFonts w:ascii="Times New Roman;serif" w:hAnsi="Times New Roman;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9">
              <w:r>
                <w:rPr>
                  <w:rStyle w:val="InternetLink"/>
                  <w:rFonts w:ascii="Times New Roman;serif" w:hAnsi="Times New Roman;serif"/>
                  <w:b w:val="false"/>
                  <w:color w:val="0000FF"/>
                  <w:sz w:val="20"/>
                  <w:u w:val="single"/>
                </w:rPr>
                <w:t>Condensed Consolidated Balance Sheets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9">
              <w:r>
                <w:rPr>
                  <w:rStyle w:val="InternetLink"/>
                  <w:rFonts w:ascii="Times New Roman;serif" w:hAnsi="Times New Roman;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22">
              <w:r>
                <w:rPr>
                  <w:rStyle w:val="InternetLink"/>
                  <w:rFonts w:ascii="Times New Roman;serif" w:hAnsi="Times New Roman;serif"/>
                  <w:b w:val="false"/>
                  <w:color w:val="0000FF"/>
                  <w:sz w:val="20"/>
                  <w:u w:val="single"/>
                </w:rPr>
                <w:t>Condensed Consolidated Statements of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22">
              <w:r>
                <w:rPr>
                  <w:rStyle w:val="InternetLink"/>
                  <w:rFonts w:ascii="Times New Roman;serif" w:hAnsi="Times New Roman;serif"/>
                  <w:b w:val="false"/>
                  <w:color w:val="0000FF"/>
                  <w:sz w:val="20"/>
                  <w:u w:val="singl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25">
              <w:r>
                <w:rPr>
                  <w:rStyle w:val="InternetLink"/>
                  <w:rFonts w:ascii="Times New Roman;serif" w:hAnsi="Times New Roman;serif"/>
                  <w:b w:val="false"/>
                  <w:color w:val="0000FF"/>
                  <w:sz w:val="20"/>
                  <w:u w:val="single"/>
                </w:rPr>
                <w:t>Condensed Consolidated Statements of Comprehensive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25">
              <w:r>
                <w:rPr>
                  <w:rStyle w:val="InternetLink"/>
                  <w:rFonts w:ascii="Times New Roman;serif" w:hAnsi="Times New Roman;serif"/>
                  <w:b w:val="false"/>
                  <w:color w:val="0000FF"/>
                  <w:sz w:val="20"/>
                  <w:u w:val="singl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28">
              <w:r>
                <w:rPr>
                  <w:rStyle w:val="InternetLink"/>
                  <w:rFonts w:ascii="Times New Roman;serif" w:hAnsi="Times New Roman;serif"/>
                  <w:b w:val="false"/>
                  <w:color w:val="0000FF"/>
                  <w:sz w:val="20"/>
                  <w:u w:val="single"/>
                </w:rPr>
                <w:t>Condensed Consolidated Statements of Cash Flows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28">
              <w:r>
                <w:rPr>
                  <w:rStyle w:val="InternetLink"/>
                  <w:rFonts w:ascii="Times New Roman;serif" w:hAnsi="Times New Roman;serif"/>
                  <w:b w:val="false"/>
                  <w:color w:val="0000FF"/>
                  <w:sz w:val="20"/>
                  <w:u w:val="single"/>
                </w:rPr>
                <w:t>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31">
              <w:r>
                <w:rPr>
                  <w:rStyle w:val="InternetLink"/>
                  <w:rFonts w:ascii="Times New Roman;serif" w:hAnsi="Times New Roman;serif"/>
                  <w:b w:val="false"/>
                  <w:color w:val="0000FF"/>
                  <w:sz w:val="20"/>
                  <w:u w:val="single"/>
                </w:rPr>
                <w:t>Condensed Consolidated Statements of Stockholders' Equity</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31">
              <w:r>
                <w:rPr>
                  <w:rStyle w:val="InternetLink"/>
                  <w:rFonts w:ascii="Times New Roman;serif" w:hAnsi="Times New Roman;serif"/>
                  <w:b w:val="false"/>
                  <w:color w:val="0000FF"/>
                  <w:sz w:val="20"/>
                  <w:u w:val="single"/>
                </w:rPr>
                <w:t>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34">
              <w:r>
                <w:rPr>
                  <w:rStyle w:val="InternetLink"/>
                  <w:rFonts w:ascii="Times New Roman;serif" w:hAnsi="Times New Roman;serif"/>
                  <w:b w:val="false"/>
                  <w:color w:val="0000FF"/>
                  <w:sz w:val="20"/>
                  <w:u w:val="single"/>
                </w:rPr>
                <w:t>Notes to Condensed Consolidated Financial Statements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34">
              <w:r>
                <w:rPr>
                  <w:rStyle w:val="InternetLink"/>
                  <w:rFonts w:ascii="Times New Roman;serif" w:hAnsi="Times New Roman;serif"/>
                  <w:b w:val="false"/>
                  <w:color w:val="0000FF"/>
                  <w:sz w:val="20"/>
                  <w:u w:val="single"/>
                </w:rPr>
                <w:t>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73">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73">
              <w:r>
                <w:rPr>
                  <w:rStyle w:val="InternetLink"/>
                  <w:rFonts w:ascii="Times New Roman;serif" w:hAnsi="Times New Roman;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94">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94">
              <w:r>
                <w:rPr>
                  <w:rStyle w:val="InternetLink"/>
                  <w:rFonts w:ascii="Times New Roman;serif" w:hAnsi="Times New Roman;serif"/>
                  <w:b w:val="false"/>
                  <w:color w:val="0000FF"/>
                  <w:sz w:val="20"/>
                  <w:u w:val="single"/>
                </w:rPr>
                <w:t>Quantitative and Qualitative Disclosure About Market Risk</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94">
              <w:r>
                <w:rPr>
                  <w:rStyle w:val="InternetLink"/>
                  <w:rFonts w:ascii="Times New Roman;serif" w:hAnsi="Times New Roman;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97">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97">
              <w:r>
                <w:rPr>
                  <w:rStyle w:val="InternetLink"/>
                  <w:rFonts w:ascii="Times New Roman;serif" w:hAnsi="Times New Roman;serif"/>
                  <w:b w:val="false"/>
                  <w:color w:val="0000FF"/>
                  <w:sz w:val="20"/>
                  <w:u w:val="single"/>
                </w:rPr>
                <w:t>Controls and Procedures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97">
              <w:r>
                <w:rPr>
                  <w:rStyle w:val="InternetLink"/>
                  <w:rFonts w:ascii="Times New Roman;serif" w:hAnsi="Times New Roman;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0">
              <w:r>
                <w:rPr>
                  <w:rStyle w:val="InternetLink"/>
                  <w:rFonts w:ascii="Times New Roman;serif" w:hAnsi="Times New Roman;serif"/>
                  <w:b w:val="false"/>
                  <w:color w:val="0000FF"/>
                  <w:sz w:val="20"/>
                  <w:u w:val="single"/>
                </w:rPr>
                <w:t>PART II - Other Information</w:t>
              </w:r>
            </w:hyperlink>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3">
              <w:r>
                <w:rPr>
                  <w:rStyle w:val="InternetLink"/>
                  <w:rFonts w:ascii="Times New Roman;serif" w:hAnsi="Times New Roman;serif"/>
                  <w:b w:val="false"/>
                  <w:color w:val="0000FF"/>
                  <w:sz w:val="20"/>
                  <w:u w:val="single"/>
                </w:rPr>
                <w:t>Legal Proceedings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03">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6">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6">
              <w:r>
                <w:rPr>
                  <w:rStyle w:val="InternetLink"/>
                  <w:rFonts w:ascii="Times New Roman;serif" w:hAnsi="Times New Roman;serif"/>
                  <w:b w:val="false"/>
                  <w:color w:val="0000FF"/>
                  <w:sz w:val="20"/>
                  <w:u w:val="single"/>
                </w:rPr>
                <w:t>Risk Factors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06">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9">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09">
              <w:r>
                <w:rPr>
                  <w:rStyle w:val="InternetLink"/>
                  <w:rFonts w:ascii="Times New Roman;serif" w:hAnsi="Times New Roman;serif"/>
                  <w:b w:val="false"/>
                  <w:color w:val="0000FF"/>
                  <w:sz w:val="20"/>
                  <w:u w:val="single"/>
                </w:rPr>
                <w:t>Unregistered Sales of Equity Securities and Use of Proceeds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09">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1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12">
              <w:r>
                <w:rPr>
                  <w:rStyle w:val="InternetLink"/>
                  <w:rFonts w:ascii="Times New Roman;serif" w:hAnsi="Times New Roman;serif"/>
                  <w:b w:val="false"/>
                  <w:color w:val="0000FF"/>
                  <w:sz w:val="20"/>
                  <w:u w:val="single"/>
                </w:rPr>
                <w:t>Defaults Upon Senior Securities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12">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15">
              <w:r>
                <w:rPr>
                  <w:rStyle w:val="InternetLink"/>
                  <w:rFonts w:ascii="Times New Roman;serif" w:hAnsi="Times New Roman;serif"/>
                  <w:b w:val="false"/>
                  <w:color w:val="0000FF"/>
                  <w:sz w:val="20"/>
                  <w:u w:val="single"/>
                </w:rPr>
                <w:t>Mine Safety Disclosures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15">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18">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18">
              <w:r>
                <w:rPr>
                  <w:rStyle w:val="InternetLink"/>
                  <w:rFonts w:ascii="Times New Roman;serif" w:hAnsi="Times New Roman;serif"/>
                  <w:b w:val="false"/>
                  <w:color w:val="0000FF"/>
                  <w:sz w:val="20"/>
                  <w:u w:val="single"/>
                </w:rPr>
                <w:t>Other Information</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18">
              <w:r>
                <w:rPr>
                  <w:rStyle w:val="InternetLink"/>
                  <w:rFonts w:ascii="Times New Roman;serif" w:hAnsi="Times New Roman;serif"/>
                  <w:b w:val="false"/>
                  <w:color w:val="0000FF"/>
                  <w:sz w:val="20"/>
                  <w:u w:val="single"/>
                </w:rPr>
                <w:t>32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21">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21">
              <w:r>
                <w:rPr>
                  <w:rStyle w:val="InternetLink"/>
                  <w:rFonts w:ascii="Times New Roman;serif" w:hAnsi="Times New Roman;serif"/>
                  <w:b w:val="false"/>
                  <w:color w:val="0000FF"/>
                  <w:sz w:val="20"/>
                  <w:u w:val="single"/>
                </w:rPr>
                <w:t>Exhibits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21">
              <w:r>
                <w:rPr>
                  <w:rStyle w:val="InternetLink"/>
                  <w:rFonts w:ascii="Times New Roman;serif" w:hAnsi="Times New Roman;serif"/>
                  <w:b w:val="false"/>
                  <w:color w:val="0000FF"/>
                  <w:sz w:val="20"/>
                  <w:u w:val="single"/>
                </w:rPr>
                <w:t>32</w:t>
              </w:r>
            </w:hyperlink>
          </w:p>
        </w:tc>
      </w:tr>
    </w:tbl>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color w:val="000000"/>
          <w:sz w:val="19"/>
        </w:rPr>
      </w:pPr>
      <w:r>
        <w:rPr>
          <w:rFonts w:ascii="Times New Roman;serif" w:hAnsi="Times New Roman;serif"/>
          <w:b/>
          <w:color w:val="000000"/>
          <w:sz w:val="19"/>
        </w:rPr>
        <w:t>Special Note About Forward-Looking Statements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the conflict in the Middle East, global supply chain disruptions, inflation, volatility and disruption of global financial markets; the impact of the United States' and other countries’ trade policies including the implementation of tariffs;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sufficiently qualified personnel or increases in labor costs; our expansion strategy and our ability to successfully integrate the businesses we acquire and costs and timing related thereto;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the use of artificial intelligence technologies within our business processes; our leverage; variable rate indebtedness that subjects us to interest rate risk; the inability to generate sufficient cash to service all of our indebtedness; debt agreements that limit our flexibility in operating our business; risks associated with the completed spin-off of Aramark Uniform and Career Apparel ("Uniform") as an independent publicly traded company to our stockholders;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25, 2025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2909"/>
        <w:gridCol w:w="2186"/>
        <w:gridCol w:w="2193"/>
        <w:gridCol w:w="196"/>
        <w:gridCol w:w="961"/>
        <w:gridCol w:w="109"/>
        <w:gridCol w:w="109"/>
        <w:gridCol w:w="109"/>
        <w:gridCol w:w="109"/>
        <w:gridCol w:w="197"/>
        <w:gridCol w:w="970"/>
        <w:gridCol w:w="157"/>
      </w:tblGrid>
      <w:tr>
        <w:trPr/>
        <w:tc>
          <w:tcPr>
            <w:tcW w:w="29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Receivables (less allowances: $34,181 and $31,728)</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3,522,891 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1,734,489 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4,980,956 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596,673 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13,840,650 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13,304,629 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1,522,747 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related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3,546,722 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5,374,394 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410,866 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(authorized: 600,000,000 shares; issued: 309,752,494 shares and 308,092,122 shares; and outstanding: 262,798,965 shares and 262,899,495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surplus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(held in treasury: 46,953,529 shares and 45,192,627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(1,177,182)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3,148,059 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13,840,650 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13,304,629 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607"/>
        <w:gridCol w:w="1357"/>
        <w:gridCol w:w="1373"/>
        <w:gridCol w:w="196"/>
        <w:gridCol w:w="871"/>
        <w:gridCol w:w="109"/>
        <w:gridCol w:w="109"/>
        <w:gridCol w:w="109"/>
        <w:gridCol w:w="109"/>
        <w:gridCol w:w="207"/>
        <w:gridCol w:w="921"/>
        <w:gridCol w:w="114"/>
        <w:gridCol w:w="109"/>
        <w:gridCol w:w="109"/>
        <w:gridCol w:w="109"/>
        <w:gridCol w:w="196"/>
        <w:gridCol w:w="871"/>
        <w:gridCol w:w="109"/>
        <w:gridCol w:w="109"/>
        <w:gridCol w:w="109"/>
        <w:gridCol w:w="109"/>
        <w:gridCol w:w="206"/>
        <w:gridCol w:w="919"/>
        <w:gridCol w:w="168"/>
      </w:tblGrid>
      <w:tr>
        <w:trPr/>
        <w:tc>
          <w:tcPr>
            <w:tcW w:w="160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4,279,298 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8,831,384 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provided (exclusive of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8,070,885 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general corporate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4,105,123 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8,439,945 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Aramark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167,473 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attributable to Aramark stockholders: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3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1607"/>
        <w:gridCol w:w="1401"/>
        <w:gridCol w:w="1415"/>
        <w:gridCol w:w="211"/>
        <w:gridCol w:w="826"/>
        <w:gridCol w:w="109"/>
        <w:gridCol w:w="109"/>
        <w:gridCol w:w="109"/>
        <w:gridCol w:w="109"/>
        <w:gridCol w:w="247"/>
        <w:gridCol w:w="846"/>
        <w:gridCol w:w="128"/>
        <w:gridCol w:w="109"/>
        <w:gridCol w:w="109"/>
        <w:gridCol w:w="109"/>
        <w:gridCol w:w="211"/>
        <w:gridCol w:w="826"/>
        <w:gridCol w:w="109"/>
        <w:gridCol w:w="109"/>
        <w:gridCol w:w="109"/>
        <w:gridCol w:w="109"/>
        <w:gridCol w:w="227"/>
        <w:gridCol w:w="891"/>
        <w:gridCol w:w="170"/>
      </w:tblGrid>
      <w:tr>
        <w:trPr/>
        <w:tc>
          <w:tcPr>
            <w:tcW w:w="160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Aramark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15" w:type="dxa"/>
            <w:gridSpan w:val="6"/>
            <w:tcBorders/>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410" w:type="dxa"/>
        <w:jc w:val="center"/>
        <w:tblInd w:w="0" w:type="dxa"/>
        <w:tblLayout w:type="fixed"/>
        <w:tblCellMar>
          <w:top w:w="28" w:type="dxa"/>
          <w:left w:w="28" w:type="dxa"/>
          <w:bottom w:w="28" w:type="dxa"/>
          <w:right w:w="28" w:type="dxa"/>
        </w:tblCellMar>
      </w:tblPr>
      <w:tblGrid>
        <w:gridCol w:w="2071"/>
        <w:gridCol w:w="1814"/>
        <w:gridCol w:w="1829"/>
        <w:gridCol w:w="200"/>
        <w:gridCol w:w="753"/>
        <w:gridCol w:w="111"/>
        <w:gridCol w:w="109"/>
        <w:gridCol w:w="109"/>
        <w:gridCol w:w="109"/>
        <w:gridCol w:w="235"/>
        <w:gridCol w:w="885"/>
        <w:gridCol w:w="185"/>
      </w:tblGrid>
      <w:tr>
        <w:trPr/>
        <w:tc>
          <w:tcPr>
            <w:tcW w:w="207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167,676 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230,263 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contingent consideration liability (see Note 11)</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expense </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(242,698)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(151,736)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(280,133)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(251,693)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(257,335)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made to clients on contracts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operating activities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(381,948)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(331,204)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and other</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Disposals of property and equipment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Acquisition of certain businesses, net of cash acquired</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(247,800)</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certain equity investments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(316,515)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(482,470)</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1,827,322 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of long-term borrowings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(1,412,732)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change in Revolving Credit Facility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change in funding under the Receivables Facility</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of dividends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(109,283)</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contingent considerations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1,066,564 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 and restricted cash</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cash and cash equivalents and restricted cash</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241,393 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707,144 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732,613 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540,793 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974,006 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70" w:type="dxa"/>
        <w:jc w:val="center"/>
        <w:tblInd w:w="0" w:type="dxa"/>
        <w:tblLayout w:type="fixed"/>
        <w:tblCellMar>
          <w:top w:w="28" w:type="dxa"/>
          <w:left w:w="28" w:type="dxa"/>
          <w:bottom w:w="28" w:type="dxa"/>
          <w:right w:w="28" w:type="dxa"/>
        </w:tblCellMar>
      </w:tblPr>
      <w:tblGrid>
        <w:gridCol w:w="1331"/>
        <w:gridCol w:w="1170"/>
        <w:gridCol w:w="1173"/>
        <w:gridCol w:w="200"/>
        <w:gridCol w:w="753"/>
        <w:gridCol w:w="111"/>
        <w:gridCol w:w="109"/>
        <w:gridCol w:w="109"/>
        <w:gridCol w:w="109"/>
        <w:gridCol w:w="235"/>
        <w:gridCol w:w="885"/>
        <w:gridCol w:w="185"/>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Supplemental disclosure of cash flow information</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Condensed Consolidated Balance Sheets (in thousands):</w:t>
      </w:r>
    </w:p>
    <w:tbl>
      <w:tblPr>
        <w:tblW w:w="6971" w:type="dxa"/>
        <w:jc w:val="center"/>
        <w:tblInd w:w="0" w:type="dxa"/>
        <w:tblLayout w:type="fixed"/>
        <w:tblCellMar>
          <w:top w:w="28" w:type="dxa"/>
          <w:left w:w="28" w:type="dxa"/>
          <w:bottom w:w="28" w:type="dxa"/>
          <w:right w:w="28" w:type="dxa"/>
        </w:tblCellMar>
      </w:tblPr>
      <w:tblGrid>
        <w:gridCol w:w="1550"/>
        <w:gridCol w:w="1359"/>
        <w:gridCol w:w="1366"/>
        <w:gridCol w:w="200"/>
        <w:gridCol w:w="753"/>
        <w:gridCol w:w="111"/>
        <w:gridCol w:w="109"/>
        <w:gridCol w:w="109"/>
        <w:gridCol w:w="109"/>
        <w:gridCol w:w="235"/>
        <w:gridCol w:w="885"/>
        <w:gridCol w:w="185"/>
      </w:tblGrid>
      <w:tr>
        <w:trPr/>
        <w:tc>
          <w:tcPr>
            <w:tcW w:w="15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Balance Sheet classification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920,455 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Prepayments and other current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540,793 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974,006 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32"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896"/>
        <w:gridCol w:w="109"/>
        <w:gridCol w:w="109"/>
        <w:gridCol w:w="109"/>
        <w:gridCol w:w="109"/>
        <w:gridCol w:w="211"/>
        <w:gridCol w:w="99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October 3,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($0.12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2, 2026</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($0.12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3,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before="6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32"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896"/>
        <w:gridCol w:w="109"/>
        <w:gridCol w:w="109"/>
        <w:gridCol w:w="109"/>
        <w:gridCol w:w="109"/>
        <w:gridCol w:w="211"/>
        <w:gridCol w:w="99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27,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($0.105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27,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($0.105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28,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10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1. BASIS OF PRESENTATION AND SUMMARY OF SIGNIFICANT ACCOUNTING POLICIES: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25, 2025. The Condensed Consolidated Balance Sheet as of October 3, 2025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the Company and all of its subsidiaries in which a controlling financial interest is maintained. All intercompany transactions and accounts have been eliminated. </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New Accounting Standards Updates</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Standards Not Yet Adopted (from most to least recent date of issuance)</w:t>
      </w:r>
    </w:p>
    <w:p>
      <w:pPr>
        <w:pStyle w:val="TextBody"/>
        <w:bidi w:val="0"/>
        <w:spacing w:lineRule="auto" w:line="288" w:before="100" w:after="60"/>
        <w:jc w:val="left"/>
        <w:rPr/>
      </w:pPr>
      <w:r>
        <w:rPr>
          <w:rFonts w:ascii="Times New Roman;serif" w:hAnsi="Times New Roman;serif"/>
          <w:b w:val="false"/>
          <w:color w:val="000000"/>
          <w:sz w:val="20"/>
        </w:rPr>
        <w:t xml:space="preserve">In September 2025, the Financial Accounting Standards Board ("FASB") issued </w:t>
      </w:r>
      <w:r>
        <w:rPr>
          <w:rFonts w:ascii="Times New Roman;serif" w:hAnsi="Times New Roman;serif"/>
          <w:b w:val="false"/>
          <w:i/>
          <w:color w:val="000000"/>
          <w:sz w:val="20"/>
        </w:rPr>
        <w:t>Accounting Standards Update ("ASU") 2025-06, Intangibles—Goodwill and Other—Internal-Use Software (Subtopic 350-40): Targeted Improvements to the Accounting for Internal-Use Software (Subtopic 350-40)</w:t>
      </w:r>
      <w:r>
        <w:rPr>
          <w:rFonts w:ascii="Times New Roman;serif" w:hAnsi="Times New Roman;serif"/>
          <w:b w:val="false"/>
          <w:color w:val="000000"/>
          <w:sz w:val="20"/>
        </w:rPr>
        <w:t xml:space="preserv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guidance, entities will commence capitalizing eligible costs when (i) management has authorized and committed to funding the software project, and (ii) it is probable that the project will be completed, and the software will be used to perform the function intended. The guidance is effective for the Company in the first quarter of fiscal 2029 and early adoption is permitted. The guidance can be applied on a prospective basis, a modified basis for in-process projects or on a retrospective basis. The Company is currently assessing the impact of the new guidance on its financial statement disclosures. </w:t>
      </w:r>
    </w:p>
    <w:p>
      <w:pPr>
        <w:pStyle w:val="TextBody"/>
        <w:bidi w:val="0"/>
        <w:spacing w:lineRule="auto" w:line="288" w:before="100" w:after="60"/>
        <w:jc w:val="left"/>
        <w:rPr/>
      </w:pPr>
      <w:r>
        <w:rPr>
          <w:rFonts w:ascii="Times New Roman;serif" w:hAnsi="Times New Roman;serif"/>
          <w:b w:val="false"/>
          <w:color w:val="000000"/>
          <w:sz w:val="20"/>
        </w:rPr>
        <w:t xml:space="preserve">In November 2024, the FASB issued </w:t>
      </w:r>
      <w:r>
        <w:rPr>
          <w:rFonts w:ascii="Times New Roman;serif" w:hAnsi="Times New Roman;serif"/>
          <w:b w:val="false"/>
          <w:i/>
          <w:color w:val="000000"/>
          <w:sz w:val="20"/>
        </w:rPr>
        <w:t>ASU 2024-03, 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The guidance requires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annual periods beginning in fiscal 2028 and for interim periods beginning in fiscal 2029. The Company is currently assessing the impact of the new guidance on its financial statement disclosures. </w:t>
      </w:r>
    </w:p>
    <w:p>
      <w:pPr>
        <w:pStyle w:val="TextBody"/>
        <w:bidi w:val="0"/>
        <w:spacing w:lineRule="auto" w:line="288" w:before="100" w:after="60"/>
        <w:jc w:val="left"/>
        <w:rPr/>
      </w:pPr>
      <w:r>
        <w:rPr>
          <w:rFonts w:ascii="Times New Roman;serif" w:hAnsi="Times New Roman;serif"/>
          <w:b w:val="false"/>
          <w:color w:val="000000"/>
          <w:sz w:val="20"/>
        </w:rPr>
        <w:t xml:space="preserve">In December 2023, the FASB issued </w:t>
      </w:r>
      <w:r>
        <w:rPr>
          <w:rFonts w:ascii="Times New Roman;serif" w:hAnsi="Times New Roman;serif"/>
          <w:b w:val="false"/>
          <w:i/>
          <w:color w:val="000000"/>
          <w:sz w:val="20"/>
        </w:rPr>
        <w:t xml:space="preserve">ASU 2023-09 Income Taxes (Topic 740): Improvements to Income Tax Disclosures </w:t>
      </w:r>
      <w:r>
        <w:rPr>
          <w:rFonts w:ascii="Times New Roman;serif" w:hAnsi="Times New Roman;serif"/>
          <w:b w:val="false"/>
          <w:color w:val="000000"/>
          <w:sz w:val="20"/>
        </w:rPr>
        <w:t xml:space="preserve">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assessing the impact of the new guidance on its financial statement disclosures.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Other new accounting pronouncements recently issued or newly effective were not applicable to the Company, did not have a material impact nor are expected to have a material impact on the condensed consolidated financial statements. </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Comprehensive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changes in foreign currency translation adjustments (net of tax) and changes in the fair value of cash flow hedges (net of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summary of the components of comprehensive income is as follows (in thousands):</w:t>
      </w:r>
    </w:p>
    <w:tbl>
      <w:tblPr>
        <w:tblW w:w="10205" w:type="dxa"/>
        <w:jc w:val="left"/>
        <w:tblInd w:w="0" w:type="dxa"/>
        <w:tblLayout w:type="fixed"/>
        <w:tblCellMar>
          <w:top w:w="28" w:type="dxa"/>
          <w:left w:w="28" w:type="dxa"/>
          <w:bottom w:w="28" w:type="dxa"/>
          <w:right w:w="28" w:type="dxa"/>
        </w:tblCellMar>
      </w:tblPr>
      <w:tblGrid>
        <w:gridCol w:w="1245"/>
        <w:gridCol w:w="974"/>
        <w:gridCol w:w="986"/>
        <w:gridCol w:w="444"/>
        <w:gridCol w:w="375"/>
        <w:gridCol w:w="350"/>
        <w:gridCol w:w="330"/>
        <w:gridCol w:w="332"/>
        <w:gridCol w:w="181"/>
        <w:gridCol w:w="243"/>
        <w:gridCol w:w="954"/>
        <w:gridCol w:w="125"/>
        <w:gridCol w:w="109"/>
        <w:gridCol w:w="109"/>
        <w:gridCol w:w="109"/>
        <w:gridCol w:w="444"/>
        <w:gridCol w:w="375"/>
        <w:gridCol w:w="350"/>
        <w:gridCol w:w="308"/>
        <w:gridCol w:w="308"/>
        <w:gridCol w:w="181"/>
        <w:gridCol w:w="242"/>
        <w:gridCol w:w="948"/>
        <w:gridCol w:w="183"/>
      </w:tblGrid>
      <w:tr>
        <w:trPr/>
        <w:tc>
          <w:tcPr>
            <w:tcW w:w="124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(26,677)</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Aramark stockholders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(36,325)</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Aramark stockholders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(in thousands):</w:t>
      </w:r>
    </w:p>
    <w:tbl>
      <w:tblPr>
        <w:tblW w:w="6317" w:type="dxa"/>
        <w:jc w:val="left"/>
        <w:tblInd w:w="0" w:type="dxa"/>
        <w:tblLayout w:type="fixed"/>
        <w:tblCellMar>
          <w:top w:w="28" w:type="dxa"/>
          <w:left w:w="28" w:type="dxa"/>
          <w:bottom w:w="28" w:type="dxa"/>
          <w:right w:w="28" w:type="dxa"/>
        </w:tblCellMar>
      </w:tblPr>
      <w:tblGrid>
        <w:gridCol w:w="1244"/>
        <w:gridCol w:w="1094"/>
        <w:gridCol w:w="1097"/>
        <w:gridCol w:w="211"/>
        <w:gridCol w:w="901"/>
        <w:gridCol w:w="109"/>
        <w:gridCol w:w="109"/>
        <w:gridCol w:w="109"/>
        <w:gridCol w:w="109"/>
        <w:gridCol w:w="222"/>
        <w:gridCol w:w="950"/>
        <w:gridCol w:w="162"/>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Currency Translation</w:t>
      </w:r>
    </w:p>
    <w:p>
      <w:pPr>
        <w:pStyle w:val="TextBody"/>
        <w:bidi w:val="0"/>
        <w:spacing w:lineRule="auto" w:line="288" w:before="100" w:after="60"/>
        <w:jc w:val="left"/>
        <w:rPr/>
      </w:pPr>
      <w:r>
        <w:rPr>
          <w:rFonts w:ascii="Times New Roman;serif" w:hAnsi="Times New Roman;serif"/>
          <w:b w:val="false"/>
          <w:color w:val="000000"/>
          <w:sz w:val="20"/>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reflected in the Condensed Consolidated Statements of Income, was a foreign currency transaction gain of $0.9 million</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$0.4 million during the three and six months ended April 3, 2026, respectively, and a foreign currency transaction loss of $0.6 million and $1.3 million during the three and six months ended March 28, 2025, respectively. The impact of foreign currency transaction gains and losses exclusive of Argentina's operations included in the Company's operating results during the three and six month periods of both fiscal 2026 and 2025 were immaterial to the condensed consolidated financial statements.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Current Assets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insures portions of its risk related to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April 3, 2026.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April 3, 2026 and October 3, 2025, cash and cash equivalents at the Captive were $144.0 million and $133.5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Other assets consist primarily of costs to obtain or fulfill contracts (including employee sales commissions), long-term receivables, interest rate swaps, investments in 50% or less owned entities and computer software costs.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For investments in 50% or less owned entities accounted for under the equity method of accounting, the carrying amount as of April 3, 2026 and October 3, 2025 was $61.1 million and $70.6 million, respectively.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April 3, 2026 and October 3, 2025 was $80.5 million and $59.6 million, respectively.</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Supply Chain Finance Program</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April 3, 2026 and October 3, 2025, the Company had $1.8 million and $4.7 million, respectively, of outstanding payment obligations to the financial institutions as part of the SCF Program recorded in "Accounts payable" on the Condensed Consolidated Balance Sheets.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Lease Arrangements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Certain of the Company's lease arrangements, primarily vehicle leases, with terms of one to eight years, contain provisions related to residual value guarantees. The maximum potential liability to the Company under such arrangements was approximately $41.7 million at April 3, 2026 if the terminal fair value of vehicles coming off lease was zero. Consistent with past experience, management does not expect any significant payments will be required pursuant to these arrangements. No amounts have been accrued for the guarantee arrangements at April 3, 2026.</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Other Current and Noncurrent Liabilities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 xml:space="preserve">NOTE 2. GOODWILL AND OTHER INTANGIBLE ASSETS: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Changes in total goodwill during the six months ended April 3, 2026 are as follows (in thousands):</w:t>
      </w:r>
    </w:p>
    <w:tbl>
      <w:tblPr>
        <w:tblW w:w="7444" w:type="dxa"/>
        <w:jc w:val="left"/>
        <w:tblInd w:w="0" w:type="dxa"/>
        <w:tblLayout w:type="fixed"/>
        <w:tblCellMar>
          <w:top w:w="28" w:type="dxa"/>
          <w:left w:w="28" w:type="dxa"/>
          <w:bottom w:w="28" w:type="dxa"/>
          <w:right w:w="28" w:type="dxa"/>
        </w:tblCellMar>
      </w:tblPr>
      <w:tblGrid>
        <w:gridCol w:w="564"/>
        <w:gridCol w:w="496"/>
        <w:gridCol w:w="500"/>
        <w:gridCol w:w="211"/>
        <w:gridCol w:w="976"/>
        <w:gridCol w:w="109"/>
        <w:gridCol w:w="109"/>
        <w:gridCol w:w="109"/>
        <w:gridCol w:w="109"/>
        <w:gridCol w:w="211"/>
        <w:gridCol w:w="826"/>
        <w:gridCol w:w="109"/>
        <w:gridCol w:w="109"/>
        <w:gridCol w:w="109"/>
        <w:gridCol w:w="109"/>
        <w:gridCol w:w="211"/>
        <w:gridCol w:w="691"/>
        <w:gridCol w:w="109"/>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Acquisitions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 of the following (in thousands): </w:t>
      </w:r>
    </w:p>
    <w:tbl>
      <w:tblPr>
        <w:tblW w:w="10282" w:type="dxa"/>
        <w:jc w:val="left"/>
        <w:tblInd w:w="0" w:type="dxa"/>
        <w:tblLayout w:type="fixed"/>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erif" w:hAnsi="Times New Roman;serif"/>
          <w:b w:val="false"/>
          <w:color w:val="000000"/>
          <w:sz w:val="20"/>
        </w:rPr>
        <w:t>Amortization of intangible assets for the six months ended April 3, 2026 and March 28, 2025 was</w:t>
      </w:r>
      <w:r>
        <w:rPr>
          <w:color w:val="000000"/>
          <w:shd w:fill="FFFFFF" w:val="clear"/>
        </w:rPr>
        <w:t xml:space="preserve"> </w:t>
      </w:r>
      <w:r>
        <w:rPr>
          <w:rFonts w:ascii="Times New Roman;serif" w:hAnsi="Times New Roman;serif"/>
          <w:b w:val="false"/>
          <w:color w:val="000000"/>
          <w:sz w:val="20"/>
        </w:rPr>
        <w:t>$65.4 million and $58.5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 xml:space="preserve">NOTE 3. BORROWINGS: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Long-term borrowings, net, are summarized in the following table (in thousands):</w:t>
      </w:r>
    </w:p>
    <w:tbl>
      <w:tblPr>
        <w:tblW w:w="7986" w:type="dxa"/>
        <w:jc w:val="left"/>
        <w:tblInd w:w="0" w:type="dxa"/>
        <w:tblLayout w:type="fixed"/>
        <w:tblCellMar>
          <w:top w:w="28" w:type="dxa"/>
          <w:left w:w="28" w:type="dxa"/>
          <w:bottom w:w="28" w:type="dxa"/>
          <w:right w:w="28" w:type="dxa"/>
        </w:tblCellMar>
      </w:tblPr>
      <w:tblGrid>
        <w:gridCol w:w="1699"/>
        <w:gridCol w:w="1492"/>
        <w:gridCol w:w="1504"/>
        <w:gridCol w:w="109"/>
        <w:gridCol w:w="109"/>
        <w:gridCol w:w="109"/>
        <w:gridCol w:w="211"/>
        <w:gridCol w:w="976"/>
        <w:gridCol w:w="109"/>
        <w:gridCol w:w="109"/>
        <w:gridCol w:w="109"/>
        <w:gridCol w:w="109"/>
        <w:gridCol w:w="211"/>
        <w:gridCol w:w="97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 Billion Revolving Credit Facility due 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A Loans due 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Term B Loans due 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Term B Loans due 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4.375% Senior Unsecured Notes (EUR) due April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Senior Unsecured Notes due 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 due 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3, 2026, there were $1.1 billion of outstanding foreign currency borrowings.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As of April 3, 2026, there was $961.7 million of availability under the senior secured revolving credit facility.</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United States Term B-10 Loans due June 2030 Amendment</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Aramark Services, Inc. (“ASI”) and certain of its subsidiaries entered into a credit agreement on March 28, 2017 (as amended, the "Credit Agreement"). On December 11, 2025 (the "Closing Date"), ASI entered into an amendment (“Amendment No.19”) to provide for, among other things, the repricing of all of the United States dollar denominated Term B-8 Loans (“U.S. Term B-8 Loans due 2030”) previously outstanding under the Credit Agreement by refinancing all of the U.S. Term B-8 Loans due 2030 previously outstanding under the Credit Agreement with new United States dollar denominated Term B-10 Loans in an amount equal to $2.4 billion due in June 2030 (“U.S. Term B-10 Loans due 2030”). The U.S. Term B-10 Loans due 2030 were funded in full on the Closing Date and were applied by the Company to refinance the entire principal amount of the U.S. Term B-8 Loans due 2030 previously outstanding under the Credit Agreement.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U.S. Term B-10 Loans due 2030 bear interest at a rate equal to, at the Company’s election, either (a) a forward-looking term rate based on the Secured Overnight Financing Rate for the applicable interest period (“Term SOFR”) plus an applicable margin set at 1.75% or (b) a base rate determined by reference to the highest of (1) the prime rate of the administrative agent, (2) the federal funds rate plus 0.50% and (3) Term SOFR for a one-month interest period plus 1.00% plus an applicable margin set at 0.75%. The U.S. Term B-10 Loans due 2030 require repayments of principal in quarterly installments of $6.3 million from June 30, 2029 through March 31, 2030 and $2.3 billion at maturity. Except with respect to pricing, the U.S. Term B-10 Loans are subject to substantially similar terms currently relating to guarantees, collateral, mandatory prepayments and covenants that were applicable to the U.S. Term B-8 Loans previously outstanding under the Credit Agreement and are currently applicable to the Company’s other U.S. Term B Loans currently outstanding under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 cy="14605"/>
                <wp:effectExtent l="0" t="0" r="0" b="0"/>
                <wp:wrapNone/>
                <wp:docPr id="15" name="Frame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Amendment No. 19 also gave effect to the 2024 Refinancing Amendments (as defined in the Credit Agreement), which, among other things, included borrower-favorable changes to basket capacity, thresholds and step-downs.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capitalized $1.3 million of transaction costs directly attributable to the refinancing in Amendment No. 19, which are amortized using the effective interest method over the term of the loans and are presented in “Long-Term Borrowings” on the Condensed Consolidated Balance Sheet as of April 3, 2026 as a direct deduction from the carrying value of the loans. Amounts paid for capitalized transaction costs are included within “Other financing activities” on the Condensed Consolidated Statement of Cash Flows for the six months ended April 3, 2026. Additionally, the Company recorded $1.1 million of charges related to the repricings to "Interest Expense, net" on the Condensed Consolidated Statements of Income for the six months ended April 3, 2026, consisting of $0.7 million in transaction costs and a $0.4 million non-cash loss for the write-off of unamortized deferred financing costs and discount on the U.S. Term B-8 Loans due 2030.</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4.375% Senior Notes (EUR) due April 2033</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March 19, 2025, Aramark International Finance S.à r.l. (“AIFS”), an indirect wholly owned subsidiary of the Company, issued €400.0 million of euro denominated 4.375% Senior Notes due April 2033 (the “4.375% 2033 Notes”), and used a portion of the net proceeds from the issuance and sale of the 4.375% 2033 Notes to repay at maturity, April 1, 2025, all of the €325.0 million outstanding aggregate principal amount of AIFS’ euro denominated 3.125% Senior Notes due April 2025 and the remainder for general corporate purposes, including reduction of debt. The Company capitalized €4.4 million in third-party costs directly attributable to the issuance and sale of the 4.375% 2033 Notes. The capitalized costs are amortized using the effective interest method over the term of the 4.375% 2033 Notes and are presented in “Long-Term Borrowings” on the Condensed Consolidated Balance Sheets as of April 3, 2026 and October 3, 2025 as a direct deduction from the carrying value of the notes.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United States Term B Loans due June 2030 Incremental Amendment, United States Term B Loans due January 2027 Repayment and 5.000% Senior Notes Due April 2025 Redemption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18, 2025, ASI entered into an incremental amendment to the Credit Agreement (“Incremental Amendment No. 17”) to provide for, among other things, the establishment of new term loans comprised of new United States dollar denominated Term B-8 Loans due 2030 (“New U.S. Term B-8 Loans due 2030”) in an amount equal to $1,395.0 million, in the form of a fungible upsize to ASI’s existing United States dollar denominated Term B-8 Loans due June 2030 (“U.S. Term B-8 Loans due 2030"). The New U.S. Term B-8 Loans due 2030 were funded in full on the closing date of Incremental Amendment No. 17 and were applied by ASI to: (a) repay in full $839.3 million of the United States dollar denominated Term B-4 Loans due January 2027 ("U.S. Term B-4 Loans due 2027") previously outstanding under the Credit Agreement; (b) to redeem the entire $551.5 million aggregate principal amount outstanding of ASI's 5.000% Senior Notes due April 2025 (the "5.000% 2025 Notes") at a redemption price equal to 100% of the aggregate principal amount, plus accrued and unpaid interest to the date of redemption; and (c) to pay fees, premiums, expenses and other transaction costs in connection with the foregoing.</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capitalized $4.6 million of transaction costs directly attributable to the refinancing in Amendment No. 17, which are amortized using the effective interest method over the term of the loans and are presented in “Long-Term Borrowings” on the Condensed Consolidated Balance Sheets as of April 3, 2026 and October 3, 2025 as a direct deduction from the carrying value of the loans. Amounts paid for capitalized transaction costs are included within “Other financing activities” on the Condensed Consolidated Statement of Cash Flows for the six months ended March 28, 2025. Additionally, the Company recorded $8.3 million of charges to "Interest Expense, net" on the Condensed Consolidated Statements of Income for the three and six months ended March 28, 2025, consisting of a $2.5 million non-cash loss for the write-off of unamortized deferred financing costs and discount on the U.S. Term B-4 Loans due 2027 and the 5.000% 2025 Notes and the payment of $5.8 million of transaction costs related to the refinancing.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4. DERIVATIVE INSTRUMENTS: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contractual derivative arrangements to manage changes in market conditions related to interest on debt obligations, including interest rate swap agreements, that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$2.5 billion notional amount of outstanding interest rate swap agreements as of April 3, 2026, which fix the rate on a like amount of variable rate borrowings with varying maturities through June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April 3, 2026 and October 3, 2025, $16.0 million and $12.1 million, respectively, of unrealized net of tax gains related to the interest rate swaps were included in "Accumulated other comprehensive loss" on the Condensed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unrealized gain (loss) arising from the Company's derivatives designated as cash flow hedging instruments on Other comprehensive (loss) income (in thousands): </w:t>
      </w:r>
    </w:p>
    <w:tbl>
      <w:tblPr>
        <w:tblW w:w="8316" w:type="dxa"/>
        <w:jc w:val="left"/>
        <w:tblInd w:w="0" w:type="dxa"/>
        <w:tblLayout w:type="fixed"/>
        <w:tblCellMar>
          <w:top w:w="28" w:type="dxa"/>
          <w:left w:w="28" w:type="dxa"/>
          <w:bottom w:w="28" w:type="dxa"/>
          <w:right w:w="28" w:type="dxa"/>
        </w:tblCellMar>
      </w:tblPr>
      <w:tblGrid>
        <w:gridCol w:w="955"/>
        <w:gridCol w:w="840"/>
        <w:gridCol w:w="845"/>
        <w:gridCol w:w="216"/>
        <w:gridCol w:w="738"/>
        <w:gridCol w:w="111"/>
        <w:gridCol w:w="109"/>
        <w:gridCol w:w="109"/>
        <w:gridCol w:w="109"/>
        <w:gridCol w:w="238"/>
        <w:gridCol w:w="899"/>
        <w:gridCol w:w="123"/>
        <w:gridCol w:w="109"/>
        <w:gridCol w:w="109"/>
        <w:gridCol w:w="109"/>
        <w:gridCol w:w="216"/>
        <w:gridCol w:w="738"/>
        <w:gridCol w:w="111"/>
        <w:gridCol w:w="109"/>
        <w:gridCol w:w="109"/>
        <w:gridCol w:w="109"/>
        <w:gridCol w:w="253"/>
        <w:gridCol w:w="867"/>
        <w:gridCol w:w="185"/>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 agreements</w:t>
            </w:r>
            <w:r>
              <w:rPr>
                <w:rFonts w:ascii="Times New Roman;serif" w:hAnsi="Times New Roman;serif"/>
                <w:b w:val="false"/>
                <w:color w:val="000000"/>
                <w:sz w:val="13"/>
              </w:rPr>
              <w:t>(1)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Change in the amounts are driven by fluctuations in forward interest rates, while fiscal 2025 changes are also impacted by the maturity of previously existing interest rate swaps and the initiation of new interest rate swaps.</w:t>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and fair value, using Level 2 inputs (see Note 11 for a description of the fair value levels), of the Company's derivatives designated as hedging instruments on the Condensed Consolidated Balance Sheets (in thousands):</w:t>
      </w:r>
    </w:p>
    <w:tbl>
      <w:tblPr>
        <w:tblW w:w="8928" w:type="dxa"/>
        <w:jc w:val="left"/>
        <w:tblInd w:w="0" w:type="dxa"/>
        <w:tblLayout w:type="fixed"/>
        <w:tblCellMar>
          <w:top w:w="28" w:type="dxa"/>
          <w:left w:w="28" w:type="dxa"/>
          <w:bottom w:w="28" w:type="dxa"/>
          <w:right w:w="28" w:type="dxa"/>
        </w:tblCellMar>
      </w:tblPr>
      <w:tblGrid>
        <w:gridCol w:w="893"/>
        <w:gridCol w:w="788"/>
        <w:gridCol w:w="793"/>
        <w:gridCol w:w="109"/>
        <w:gridCol w:w="109"/>
        <w:gridCol w:w="109"/>
        <w:gridCol w:w="1024"/>
        <w:gridCol w:w="1024"/>
        <w:gridCol w:w="1026"/>
        <w:gridCol w:w="109"/>
        <w:gridCol w:w="109"/>
        <w:gridCol w:w="109"/>
        <w:gridCol w:w="216"/>
        <w:gridCol w:w="738"/>
        <w:gridCol w:w="111"/>
        <w:gridCol w:w="109"/>
        <w:gridCol w:w="109"/>
        <w:gridCol w:w="109"/>
        <w:gridCol w:w="259"/>
        <w:gridCol w:w="886"/>
        <w:gridCol w:w="189"/>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location of the gain reclassified from "Accumulated other comprehensive loss" into earnings for derivatives designated as hedging instruments on the Condensed Consolidated Statements of Income (in thousands): </w:t>
      </w:r>
    </w:p>
    <w:tbl>
      <w:tblPr>
        <w:tblW w:w="1020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603"/>
        <w:gridCol w:w="603"/>
        <w:gridCol w:w="605"/>
        <w:gridCol w:w="109"/>
        <w:gridCol w:w="109"/>
        <w:gridCol w:w="109"/>
        <w:gridCol w:w="219"/>
        <w:gridCol w:w="705"/>
        <w:gridCol w:w="112"/>
        <w:gridCol w:w="109"/>
        <w:gridCol w:w="109"/>
        <w:gridCol w:w="109"/>
        <w:gridCol w:w="231"/>
        <w:gridCol w:w="861"/>
        <w:gridCol w:w="119"/>
        <w:gridCol w:w="109"/>
        <w:gridCol w:w="109"/>
        <w:gridCol w:w="109"/>
        <w:gridCol w:w="211"/>
        <w:gridCol w:w="782"/>
        <w:gridCol w:w="109"/>
        <w:gridCol w:w="109"/>
        <w:gridCol w:w="109"/>
        <w:gridCol w:w="109"/>
        <w:gridCol w:w="231"/>
        <w:gridCol w:w="858"/>
        <w:gridCol w:w="177"/>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At April 3, 2026, the net of tax gain expected to be reclassified from "Accumulated other comprehensive loss" into earnings over the next twelve months based on current market rates is approximately $12.3 million.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As of April 3, 2026, the Company has a Euro denominated term loan in the amount of €85.8 million. The term loan was designated as a hedge of the Company's net Euro currency exposure represented by certain holdings in the Company's European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5. REVENUE RECOGNITION: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Accounting Standards Codification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 </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disaggregated by revenue source (in millions):</w:t>
      </w:r>
    </w:p>
    <w:tbl>
      <w:tblPr>
        <w:tblW w:w="8789"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11"/>
        <w:gridCol w:w="766"/>
        <w:gridCol w:w="109"/>
        <w:gridCol w:w="109"/>
        <w:gridCol w:w="109"/>
        <w:gridCol w:w="109"/>
        <w:gridCol w:w="245"/>
        <w:gridCol w:w="889"/>
        <w:gridCol w:w="126"/>
        <w:gridCol w:w="109"/>
        <w:gridCol w:w="109"/>
        <w:gridCol w:w="109"/>
        <w:gridCol w:w="211"/>
        <w:gridCol w:w="766"/>
        <w:gridCol w:w="109"/>
        <w:gridCol w:w="109"/>
        <w:gridCol w:w="109"/>
        <w:gridCol w:w="109"/>
        <w:gridCol w:w="243"/>
        <w:gridCol w:w="884"/>
        <w:gridCol w:w="177"/>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Facilities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Deferred income is recognized in "Accrued expenses and other current liabilities"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April 3, 2026, deferred income increased related to customer prepayments and decreased related to income recognized during the period as a result of satisfying the performance obligation or return of funds related to non-performance. For the six months ended April 3, 2026, the Company recognized $258.3 million of revenue that was included in deferred income at the beginning of the period. Deferred income balances attributable to consideration received in advance from customers prior to the service being performed are summarized in the following table (in millions):</w:t>
      </w:r>
    </w:p>
    <w:tbl>
      <w:tblPr>
        <w:tblW w:w="4672"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240"/>
        <w:gridCol w:w="701"/>
        <w:gridCol w:w="124"/>
        <w:gridCol w:w="109"/>
        <w:gridCol w:w="109"/>
        <w:gridCol w:w="109"/>
        <w:gridCol w:w="287"/>
        <w:gridCol w:w="838"/>
        <w:gridCol w:w="209"/>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Includes both current ($258.2 million and $362.3 million as of April 3, 2026 and October 3, 2025, respectively) and noncurrent deferred income ($1.3 million and $1.7 million as of April 3, 2026 and October 3, 2025, respectively).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6. INCOME TAXES: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April 3, 2026, the Company recorded a valuation allowance to the “Provision for Income Taxes” on the Condensed Consolidated Statements of Income of $3.4 million against foreign tax credits, as it is more likely than not a tax benefit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In response to the development of the global economy toward digitalization,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On January 5, 2026, the OECD published details of a ‘side-by-side’ package which provides additional Pillar Two guidance. The package covers a number of new or extended safe harbors, and the ‘side-by-side’ system, which will allow the US tax regime to sit alongside Pillar Two. As such, and taking into consideration the safe harbor rules, the Pillar Two legislation has had no material impact on the condensed consolidated financial statements, and the Company continues to anticipate that it will not have a material impact on the condensed consolidated financial statements in future periods.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(“OBBB”) Act was signed into law. The OBBB Act contains a broad range of tax reform measures, including modification to limitations on deductions for interest expense, reinstatement of elective 100% first year bonus depreciation and immediate expensing of domestic research and development expenditures. The new law has a range of effective dates. With respect to the provisions of the new law effective in fiscal year 2026, the Company expects favorable federal cash tax impact and does not expect material impact on the effective tax rate. The Company also does not expect these provisions to have a material impact on the effective tax rate in future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Board of Directors declared a $0.12 dividend per share of common stock, payable on June 3, 2026, to stockholders of record at the close of business on May 20, 2026.</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November 5, 2024, the Board of Directors approved a share repurchase program under which the Company is authorized to repurchase up to $500.0 million of Aramark's outstanding common stock. Under the share repurchase program, repurchases can be made from time to time using a variety of methods, including open market purchases, privately negotiated transactions, accelerated share repurchases and Rule 10b5-1 trading plans. The size and timing of any repurchases will depend on a number of factors, including share price, general business and market conditions and other factors. Shares repurchased by the Company are accounted for under the treasury cost method. The value of the repurchased shares includes the 1% excise tax accrual as a result of the Inflation Reduction Act of 2022. The Company made an accounting policy election to record the value of the repurchased shares, including the 1% excise tax accrual, to treasury stock. The share repurchase program does not have a fixed expiration date and may be terminated at any time. During the three and six months ended April 3, 2026, the Company repurchased 0.6 million and 1.4 million shares of its common stock for $24.3 million and $53.6 million, respectively. During the three and six months ended March 28, 2025, the Company repurchased 3.1 million and 3.1 million shares of its common stock for $110.4 million and $111.3 million, respectively.</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 has 100.0 million shares of preferred stock authorized, with a par value of $0.01 per share. At April 3, 2026 and October 3, 2025, zero shares of preferred stock were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8. EARNINGS PER SHARE: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attributable to the Company's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507"/>
        <w:gridCol w:w="1276"/>
        <w:gridCol w:w="1285"/>
        <w:gridCol w:w="211"/>
        <w:gridCol w:w="826"/>
        <w:gridCol w:w="109"/>
        <w:gridCol w:w="109"/>
        <w:gridCol w:w="109"/>
        <w:gridCol w:w="109"/>
        <w:gridCol w:w="251"/>
        <w:gridCol w:w="862"/>
        <w:gridCol w:w="130"/>
        <w:gridCol w:w="109"/>
        <w:gridCol w:w="109"/>
        <w:gridCol w:w="109"/>
        <w:gridCol w:w="211"/>
        <w:gridCol w:w="826"/>
        <w:gridCol w:w="109"/>
        <w:gridCol w:w="109"/>
        <w:gridCol w:w="109"/>
        <w:gridCol w:w="109"/>
        <w:gridCol w:w="211"/>
        <w:gridCol w:w="826"/>
        <w:gridCol w:w="584"/>
      </w:tblGrid>
      <w:tr>
        <w:trPr/>
        <w:tc>
          <w:tcPr>
            <w:tcW w:w="150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167,473 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264,846 </w:t>
            </w:r>
          </w:p>
        </w:tc>
        <w:tc>
          <w:tcPr>
            <w:tcW w:w="584" w:type="dxa"/>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267,420 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268,076 </w:t>
            </w:r>
          </w:p>
        </w:tc>
        <w:tc>
          <w:tcPr>
            <w:tcW w:w="5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shares that were outstanding but were not included in the diluted earnings per common share (in millions):</w:t>
      </w:r>
    </w:p>
    <w:tbl>
      <w:tblPr>
        <w:tblW w:w="8234" w:type="dxa"/>
        <w:jc w:val="left"/>
        <w:tblInd w:w="0" w:type="dxa"/>
        <w:tblLayout w:type="fixed"/>
        <w:tblCellMar>
          <w:top w:w="28" w:type="dxa"/>
          <w:left w:w="28" w:type="dxa"/>
          <w:bottom w:w="28" w:type="dxa"/>
          <w:right w:w="28" w:type="dxa"/>
        </w:tblCellMar>
      </w:tblPr>
      <w:tblGrid>
        <w:gridCol w:w="804"/>
        <w:gridCol w:w="706"/>
        <w:gridCol w:w="709"/>
        <w:gridCol w:w="355"/>
        <w:gridCol w:w="355"/>
        <w:gridCol w:w="355"/>
        <w:gridCol w:w="178"/>
        <w:gridCol w:w="178"/>
        <w:gridCol w:w="178"/>
        <w:gridCol w:w="419"/>
        <w:gridCol w:w="419"/>
        <w:gridCol w:w="421"/>
        <w:gridCol w:w="109"/>
        <w:gridCol w:w="109"/>
        <w:gridCol w:w="109"/>
        <w:gridCol w:w="354"/>
        <w:gridCol w:w="354"/>
        <w:gridCol w:w="356"/>
        <w:gridCol w:w="154"/>
        <w:gridCol w:w="154"/>
        <w:gridCol w:w="154"/>
        <w:gridCol w:w="380"/>
        <w:gridCol w:w="380"/>
        <w:gridCol w:w="54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awards</w:t>
            </w:r>
            <w:r>
              <w:rPr>
                <w:rFonts w:ascii="Times New Roman;serif" w:hAnsi="Times New Roman;serif"/>
                <w:b w:val="false"/>
                <w:color w:val="000000"/>
                <w:sz w:val="13"/>
              </w:rPr>
              <w:t>(1)</w:t>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stock units</w:t>
            </w:r>
            <w:r>
              <w:rPr>
                <w:rFonts w:ascii="Times New Roman;serif" w:hAnsi="Times New Roman;serif"/>
                <w:b w:val="false"/>
                <w:color w:val="000000"/>
                <w:sz w:val="13"/>
              </w:rPr>
              <w:t>(2)</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52" w:type="dxa"/>
        <w:jc w:val="left"/>
        <w:tblInd w:w="0" w:type="dxa"/>
        <w:tblLayout w:type="fixed"/>
        <w:tblCellMar>
          <w:top w:w="28" w:type="dxa"/>
          <w:left w:w="28" w:type="dxa"/>
          <w:bottom w:w="28" w:type="dxa"/>
          <w:right w:w="28" w:type="dxa"/>
        </w:tblCellMar>
      </w:tblPr>
      <w:tblGrid>
        <w:gridCol w:w="124"/>
        <w:gridCol w:w="109"/>
        <w:gridCol w:w="109"/>
        <w:gridCol w:w="2692"/>
        <w:gridCol w:w="2692"/>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21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4"/>
              </w:rPr>
            </w:pPr>
            <w:r>
              <w:rPr>
                <w:rFonts w:ascii="Times New Roman;serif" w:hAnsi="Times New Roman;serif"/>
                <w:b w:val="false"/>
                <w:color w:val="000000"/>
                <w:sz w:val="14"/>
              </w:rPr>
              <w:t>Share-based awards were not included in the computation of diluted earnings per common share, as their effect would have been antidilutive.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9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Performance stock units that did not meet or have not yet met performance targets were not included in the computation of diluted earnings per common share.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On May 17, 2024, a purported shareholder of Vestis, the Company's former Uniform segment that was spun-off from Aramark in September 2023, commenced a putative class action lawsuit against Vestis and certain of its officers in the United States District Court for the Northern District of Georgia on behalf of purchasers of Vestis’ common stock between October 2, 2023 and May 1, 2024. The complaint alleges claims under Sections 10(b) and 20(a) of the Securities Exchange Act of 1934, based on allegedly false or misleading statements generally related to Vestis’ business and operations, pricing practices, and financial results and outlook. The lawsuit seeks unspecified damages and other relief. On November 22, 2024, the complaint was amended to add the Company and its Chief Executive Officer as additional defendants. On September 30, 2025, the motion to dismiss the case was denied. The Company continues to vigorously defend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10. BUSINESS SEGMENTS:</w:t>
      </w:r>
    </w:p>
    <w:p>
      <w:pPr>
        <w:pStyle w:val="TextBody"/>
        <w:bidi w:val="0"/>
        <w:spacing w:lineRule="auto" w:line="256"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determined based on how the Company's CODM, the Chief Executive Officer, assesses performance and decides how to allocate resources for the Company. Based on the CODM's assessment, the Company has two reportable segments: FSS United States and FSS International.</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CODM evaluates each segment’s performance based on financial metrics, including revenue and adjusted operating income. The CODM uses these metrics to assess performance and allocate resources to each segment, primarily through periodic budgeting and segment performance reviews. Segment revenue represents food and facilities services sales. Adjusted operating income represents operating income adjusted to eliminate the impact of amortization of acquisition-related intangible assets, severance and other charges and other items impacting comparability.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Corporate expenses include certain operating and non-operating costs not allocated to the segments. The nature of these expenses may vary but primarily consist of corporate personnel compensation costs, share-based compensation expense and other unallocated costs.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Approximately 85% of the global revenue is related to food services and 15% is related to facilities services. Financial information by segment is as follows (in millions):</w:t>
      </w:r>
    </w:p>
    <w:tbl>
      <w:tblPr>
        <w:tblW w:w="10205" w:type="dxa"/>
        <w:jc w:val="left"/>
        <w:tblInd w:w="0" w:type="dxa"/>
        <w:tblLayout w:type="fixed"/>
        <w:tblCellMar>
          <w:top w:w="28" w:type="dxa"/>
          <w:left w:w="28" w:type="dxa"/>
          <w:bottom w:w="28" w:type="dxa"/>
          <w:right w:w="28" w:type="dxa"/>
        </w:tblCellMar>
      </w:tblPr>
      <w:tblGrid>
        <w:gridCol w:w="723"/>
        <w:gridCol w:w="374"/>
        <w:gridCol w:w="375"/>
        <w:gridCol w:w="109"/>
        <w:gridCol w:w="109"/>
        <w:gridCol w:w="109"/>
        <w:gridCol w:w="221"/>
        <w:gridCol w:w="802"/>
        <w:gridCol w:w="114"/>
        <w:gridCol w:w="109"/>
        <w:gridCol w:w="109"/>
        <w:gridCol w:w="109"/>
        <w:gridCol w:w="221"/>
        <w:gridCol w:w="802"/>
        <w:gridCol w:w="114"/>
        <w:gridCol w:w="109"/>
        <w:gridCol w:w="109"/>
        <w:gridCol w:w="109"/>
        <w:gridCol w:w="211"/>
        <w:gridCol w:w="766"/>
        <w:gridCol w:w="109"/>
        <w:gridCol w:w="109"/>
        <w:gridCol w:w="109"/>
        <w:gridCol w:w="109"/>
        <w:gridCol w:w="221"/>
        <w:gridCol w:w="802"/>
        <w:gridCol w:w="114"/>
        <w:gridCol w:w="109"/>
        <w:gridCol w:w="109"/>
        <w:gridCol w:w="109"/>
        <w:gridCol w:w="221"/>
        <w:gridCol w:w="802"/>
        <w:gridCol w:w="114"/>
        <w:gridCol w:w="109"/>
        <w:gridCol w:w="109"/>
        <w:gridCol w:w="109"/>
        <w:gridCol w:w="211"/>
        <w:gridCol w:w="766"/>
        <w:gridCol w:w="160"/>
      </w:tblGrid>
      <w:tr>
        <w:trPr/>
        <w:tc>
          <w:tcPr>
            <w:tcW w:w="7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direct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to Income Before Income Taxes:</w:t>
            </w:r>
          </w:p>
        </w:tc>
      </w:tr>
      <w:tr>
        <w:trPr/>
        <w:tc>
          <w:tcPr>
            <w:tcW w:w="440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other charges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and settlements impacting comparability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2928" w:type="dxa"/>
            <w:gridSpan w:val="12"/>
            <w:tcBorders/>
          </w:tcPr>
          <w:p>
            <w:pPr>
              <w:pStyle w:val="TableContents"/>
              <w:bidi w:val="0"/>
              <w:spacing w:before="0" w:after="283"/>
              <w:jc w:val="left"/>
              <w:rPr>
                <w:sz w:val="4"/>
                <w:szCs w:val="4"/>
              </w:rPr>
            </w:pPr>
            <w:r>
              <w:rPr>
                <w:sz w:val="4"/>
                <w:szCs w:val="4"/>
              </w:rPr>
            </w:r>
          </w:p>
        </w:tc>
      </w:tr>
      <w:tr>
        <w:trPr/>
        <w:tc>
          <w:tcPr>
            <w:tcW w:w="440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(1)Adjusted for Severance and Other Charges of $5.5 million incurred by FSS United States for the three and six months ended April 3, 2026.</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(2)Adjusted for Gains, Losses, and Settlements impacting comparability consisting of certain transactions that are not indicative of the Company's ongoing operational performance. Adjustment impacting FSS United States Personnel costs includes a charge related to a multiemployer pension plan withdrawal of $5.6 million for the six months ended April 3, 2026. Adjustment impacting FSS United States Other direct costs includes a non-cash charge for the impairment of certain assets related to a business held-for-sale of $6.1 million for the six months ended April 3, 2026. Adjustments impacting FSS International Other direct costs consist of gains related to hyperinflation in Argentina of $0.9 million and $0.4 million for the three and six months ended April 3, 2026, respectively, and legal charges related to an antitrust review of $1.3 million for the six months ended April 3, 2026.</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(3)Adjusted for Amortization of Acquisition-Related Intangible Assets of $25.1 million and $50.3 million incurred by FSS United States for the three and six months ended April 3, 2026, respectively. Adjusted for Amortization of Acquisition-Related Intangible Assets of $8.2 million and $15.1 million incurred by FSS International for the three and six months ended April 3, 2026, respectively.</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(4)Includes certain operating and non-operating costs not allocated to the segments, such as corporate personnel compensation costs, share-based compensation expense and other unallocated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723"/>
        <w:gridCol w:w="374"/>
        <w:gridCol w:w="375"/>
        <w:gridCol w:w="109"/>
        <w:gridCol w:w="109"/>
        <w:gridCol w:w="109"/>
        <w:gridCol w:w="221"/>
        <w:gridCol w:w="802"/>
        <w:gridCol w:w="114"/>
        <w:gridCol w:w="109"/>
        <w:gridCol w:w="109"/>
        <w:gridCol w:w="109"/>
        <w:gridCol w:w="221"/>
        <w:gridCol w:w="802"/>
        <w:gridCol w:w="114"/>
        <w:gridCol w:w="109"/>
        <w:gridCol w:w="109"/>
        <w:gridCol w:w="109"/>
        <w:gridCol w:w="211"/>
        <w:gridCol w:w="766"/>
        <w:gridCol w:w="109"/>
        <w:gridCol w:w="109"/>
        <w:gridCol w:w="109"/>
        <w:gridCol w:w="109"/>
        <w:gridCol w:w="221"/>
        <w:gridCol w:w="802"/>
        <w:gridCol w:w="114"/>
        <w:gridCol w:w="109"/>
        <w:gridCol w:w="109"/>
        <w:gridCol w:w="109"/>
        <w:gridCol w:w="221"/>
        <w:gridCol w:w="802"/>
        <w:gridCol w:w="114"/>
        <w:gridCol w:w="109"/>
        <w:gridCol w:w="109"/>
        <w:gridCol w:w="109"/>
        <w:gridCol w:w="211"/>
        <w:gridCol w:w="766"/>
        <w:gridCol w:w="160"/>
      </w:tblGrid>
      <w:tr>
        <w:trPr/>
        <w:tc>
          <w:tcPr>
            <w:tcW w:w="7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direct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to Income Before Income Taxes:</w:t>
            </w:r>
          </w:p>
        </w:tc>
      </w:tr>
      <w:tr>
        <w:trPr/>
        <w:tc>
          <w:tcPr>
            <w:tcW w:w="440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2928" w:type="dxa"/>
            <w:gridSpan w:val="12"/>
            <w:tcBorders/>
          </w:tcPr>
          <w:p>
            <w:pPr>
              <w:pStyle w:val="TableContents"/>
              <w:bidi w:val="0"/>
              <w:spacing w:before="0" w:after="283"/>
              <w:jc w:val="left"/>
              <w:rPr>
                <w:sz w:val="4"/>
                <w:szCs w:val="4"/>
              </w:rPr>
            </w:pPr>
            <w:r>
              <w:rPr>
                <w:sz w:val="4"/>
                <w:szCs w:val="4"/>
              </w:rPr>
            </w:r>
          </w:p>
        </w:tc>
      </w:tr>
      <w:tr>
        <w:trPr/>
        <w:tc>
          <w:tcPr>
            <w:tcW w:w="440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and settlements impacting comparability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2928" w:type="dxa"/>
            <w:gridSpan w:val="12"/>
            <w:tcBorders/>
          </w:tcPr>
          <w:p>
            <w:pPr>
              <w:pStyle w:val="TableContents"/>
              <w:bidi w:val="0"/>
              <w:spacing w:before="0" w:after="283"/>
              <w:jc w:val="left"/>
              <w:rPr>
                <w:sz w:val="4"/>
                <w:szCs w:val="4"/>
              </w:rPr>
            </w:pPr>
            <w:r>
              <w:rPr>
                <w:sz w:val="4"/>
                <w:szCs w:val="4"/>
              </w:rPr>
            </w:r>
          </w:p>
        </w:tc>
      </w:tr>
      <w:tr>
        <w:trPr/>
        <w:tc>
          <w:tcPr>
            <w:tcW w:w="44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0"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(1)Adjusted for Gains, Losses, and Settlements impacting comparability consisting of certain transactions that are not indicative of the Company's ongoing operational performance. Adjustment impacting FSS United States includes a charge for contingent consideration liabilities related to acquisition earn outs of $11.1 million for the six months ended March 28, 2025. Adjustment impacting FSS International consist of charges related to hyperinflation in Argentina of $0.6 million and $1.3 million for the three and six months ended March 28, 2025, respectively.</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(2)Adjusted for Amortization of Acquisition-Related Intangible Assets of $24.2 million and $48.1 million incurred by FSS United States for the three and six months ended March 28, 2025, respectively. Adjusted for Amortization of Acquisition-Related Intangible Assets of $5.8 million and $10.5 million incurred by FSS International for the three and six months ended March 28, 2025, respectively.</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(3)Includes certain operating and non-operating costs not allocated to the segments, such as corporate personnel compensation costs, share-based compensation expense and other unallocated costs.</w:t>
      </w:r>
    </w:p>
    <w:p>
      <w:pPr>
        <w:pStyle w:val="TextBody"/>
        <w:bidi w:val="0"/>
        <w:spacing w:before="60" w:after="60"/>
        <w:jc w:val="left"/>
        <w:rPr/>
      </w:pPr>
      <w:r>
        <w:rPr/>
      </w:r>
    </w:p>
    <w:p>
      <w:pPr>
        <w:pStyle w:val="TextBody"/>
        <w:bidi w:val="0"/>
        <w:spacing w:lineRule="auto" w:line="288" w:before="60" w:after="100"/>
        <w:jc w:val="left"/>
        <w:rPr>
          <w:rFonts w:ascii="Times New Roman;serif" w:hAnsi="Times New Roman;serif"/>
          <w:b w:val="false"/>
          <w:color w:val="000000"/>
          <w:sz w:val="20"/>
        </w:rPr>
      </w:pPr>
      <w:r>
        <w:rPr>
          <w:rFonts w:ascii="Times New Roman;serif" w:hAnsi="Times New Roman;serif"/>
          <w:b w:val="false"/>
          <w:color w:val="000000"/>
          <w:sz w:val="20"/>
        </w:rPr>
        <w:t>Additional financial information by segment is as follows (in millions):</w:t>
      </w:r>
    </w:p>
    <w:tbl>
      <w:tblPr>
        <w:tblW w:w="8658" w:type="dxa"/>
        <w:jc w:val="left"/>
        <w:tblInd w:w="0" w:type="dxa"/>
        <w:tblLayout w:type="fixed"/>
        <w:tblCellMar>
          <w:top w:w="28" w:type="dxa"/>
          <w:left w:w="28" w:type="dxa"/>
          <w:bottom w:w="28" w:type="dxa"/>
          <w:right w:w="28" w:type="dxa"/>
        </w:tblCellMar>
      </w:tblPr>
      <w:tblGrid>
        <w:gridCol w:w="1080"/>
        <w:gridCol w:w="951"/>
        <w:gridCol w:w="953"/>
        <w:gridCol w:w="270"/>
        <w:gridCol w:w="655"/>
        <w:gridCol w:w="139"/>
        <w:gridCol w:w="109"/>
        <w:gridCol w:w="109"/>
        <w:gridCol w:w="109"/>
        <w:gridCol w:w="284"/>
        <w:gridCol w:w="829"/>
        <w:gridCol w:w="146"/>
        <w:gridCol w:w="109"/>
        <w:gridCol w:w="109"/>
        <w:gridCol w:w="109"/>
        <w:gridCol w:w="240"/>
        <w:gridCol w:w="701"/>
        <w:gridCol w:w="124"/>
        <w:gridCol w:w="109"/>
        <w:gridCol w:w="109"/>
        <w:gridCol w:w="109"/>
        <w:gridCol w:w="280"/>
        <w:gridCol w:w="820"/>
        <w:gridCol w:w="20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Capital Expenditures and Other</w:t>
            </w:r>
            <w:r>
              <w:rPr>
                <w:rFonts w:ascii="Times New Roman;serif" w:hAnsi="Times New Roman;serif"/>
                <w:b/>
                <w:color w:val="000000"/>
                <w:sz w:val="13"/>
              </w:rPr>
              <w:t>(1)</w:t>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8" w:type="dxa"/>
            <w:gridSpan w:val="24"/>
            <w:tcBorders/>
            <w:tcMar>
              <w:top w:w="0" w:type="dxa"/>
              <w:left w:w="0" w:type="dxa"/>
              <w:bottom w:w="0" w:type="dxa"/>
              <w:right w:w="0" w:type="dxa"/>
            </w:tcMar>
            <w:vAlign w:val="center"/>
          </w:tcPr>
          <w:p>
            <w:pPr>
              <w:pStyle w:val="TableContents"/>
              <w:bidi w:val="0"/>
              <w:spacing w:lineRule="auto" w:line="288" w:before="10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(1)Includes amounts acquired in business combinations.</w:t>
            </w:r>
          </w:p>
        </w:tc>
      </w:tr>
    </w:tbl>
    <w:tbl>
      <w:tblPr>
        <w:tblW w:w="8435" w:type="dxa"/>
        <w:jc w:val="left"/>
        <w:tblInd w:w="0" w:type="dxa"/>
        <w:tblLayout w:type="fixed"/>
        <w:tblCellMar>
          <w:top w:w="28" w:type="dxa"/>
          <w:left w:w="28" w:type="dxa"/>
          <w:bottom w:w="28" w:type="dxa"/>
          <w:right w:w="28" w:type="dxa"/>
        </w:tblCellMar>
      </w:tblPr>
      <w:tblGrid>
        <w:gridCol w:w="1000"/>
        <w:gridCol w:w="878"/>
        <w:gridCol w:w="882"/>
        <w:gridCol w:w="240"/>
        <w:gridCol w:w="701"/>
        <w:gridCol w:w="124"/>
        <w:gridCol w:w="109"/>
        <w:gridCol w:w="109"/>
        <w:gridCol w:w="109"/>
        <w:gridCol w:w="284"/>
        <w:gridCol w:w="829"/>
        <w:gridCol w:w="146"/>
        <w:gridCol w:w="109"/>
        <w:gridCol w:w="109"/>
        <w:gridCol w:w="109"/>
        <w:gridCol w:w="240"/>
        <w:gridCol w:w="701"/>
        <w:gridCol w:w="124"/>
        <w:gridCol w:w="109"/>
        <w:gridCol w:w="109"/>
        <w:gridCol w:w="109"/>
        <w:gridCol w:w="280"/>
        <w:gridCol w:w="820"/>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4503" w:type="dxa"/>
        <w:jc w:val="left"/>
        <w:tblInd w:w="0" w:type="dxa"/>
        <w:tblLayout w:type="fixed"/>
        <w:tblCellMar>
          <w:top w:w="28" w:type="dxa"/>
          <w:left w:w="28" w:type="dxa"/>
          <w:bottom w:w="28" w:type="dxa"/>
          <w:right w:w="28" w:type="dxa"/>
        </w:tblCellMar>
      </w:tblPr>
      <w:tblGrid>
        <w:gridCol w:w="598"/>
        <w:gridCol w:w="525"/>
        <w:gridCol w:w="527"/>
        <w:gridCol w:w="211"/>
        <w:gridCol w:w="871"/>
        <w:gridCol w:w="109"/>
        <w:gridCol w:w="109"/>
        <w:gridCol w:w="109"/>
        <w:gridCol w:w="109"/>
        <w:gridCol w:w="228"/>
        <w:gridCol w:w="941"/>
        <w:gridCol w:w="166"/>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Identifiable Assets</w:t>
            </w:r>
          </w:p>
        </w:tc>
        <w:tc>
          <w:tcPr>
            <w:tcW w:w="28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11. FAIR VALUE OF FINANCIAL ASSETS AND FINANCIAL LIABILITIES: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bidi w:val="0"/>
        <w:spacing w:lineRule="auto" w:line="288" w:before="100" w:after="60"/>
        <w:ind w:left="0" w:right="0" w:hanging="360"/>
        <w:jc w:val="left"/>
        <w:rPr>
          <w:color w:val="000000"/>
        </w:rPr>
      </w:pPr>
      <w:r>
        <w:rPr>
          <w:color w:val="000000"/>
        </w:rPr>
        <w:t>•    </w:t>
      </w:r>
      <w:r>
        <w:rPr>
          <w:rFonts w:ascii="Times New Roman;serif" w:hAnsi="Times New Roman;serif"/>
          <w:b w:val="false"/>
          <w:color w:val="000000"/>
          <w:sz w:val="20"/>
        </w:rPr>
        <w:t>Level 1—inputs to the valuation methodology are quoted prices (unadjusted) for identical assets or liabilities in active markets</w:t>
      </w:r>
    </w:p>
    <w:p>
      <w:pPr>
        <w:pStyle w:val="TextBody"/>
        <w:bidi w:val="0"/>
        <w:spacing w:lineRule="auto" w:line="288" w:before="100" w:after="60"/>
        <w:ind w:left="0" w:right="0" w:hanging="360"/>
        <w:jc w:val="left"/>
        <w:rPr>
          <w:color w:val="000000"/>
        </w:rPr>
      </w:pPr>
      <w:r>
        <w:rPr>
          <w:color w:val="000000"/>
        </w:rPr>
        <w:t>•    </w:t>
      </w:r>
      <w:r>
        <w:rPr>
          <w:rFonts w:ascii="Times New Roman;serif" w:hAnsi="Times New Roman;serif"/>
          <w:b w:val="false"/>
          <w:color w:val="000000"/>
          <w:sz w:val="20"/>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lineRule="auto" w:line="288" w:before="100" w:after="60"/>
        <w:ind w:left="0" w:right="0" w:hanging="360"/>
        <w:jc w:val="left"/>
        <w:rPr>
          <w:color w:val="000000"/>
        </w:rPr>
      </w:pPr>
      <w:r>
        <w:rPr>
          <w:color w:val="000000"/>
        </w:rPr>
        <w:t>•    </w:t>
      </w:r>
      <w:r>
        <w:rPr>
          <w:rFonts w:ascii="Times New Roman;serif" w:hAnsi="Times New Roman;serif"/>
          <w:b w:val="false"/>
          <w:color w:val="000000"/>
          <w:sz w:val="20"/>
        </w:rPr>
        <w:t xml:space="preserve">Level 3—inputs to the valuation methodology are unobservable and significant to the fair value measurement </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April 3, 2026 and October 3, 2025 was $6,100.3 million and $5,445.7 million, respectively. The carrying value of the Company's debt at April 3, 2026 and October 3, 2025 was $6,090.2 million and $5,405.9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As part of the Union Supply acquisition completed in fiscal 2022, the Company recorded a contingent consideration obligation. During the six months ended March 28, 2025, the Company adjusted the contingent consideration liability, resulting in expense of $11.1 million, which is included in "Cost of services provided (exclusive of depreciation and amortization)" on the Condensed Consolidated Statements of Income. The earnout period has ended with the contingent consideration liability being fully paid out in the second quarter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2.</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OF FINANCIAL CONDITION AND RESULTS OF OPERATIONS</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Aramark's (the "Company," "we," "our" and "us") financial condition and results of operations for the three and six months ended April 3, 2026 and March 28, 2025 should be read in conjunction with our audited consolidated financial statements and the notes to those statements for the fiscal year ended October 3, 2025 included in our Annual Report on Form 10-K, filed with the Securities and Exchange Commission (the "SEC") on November 25, 2025.</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Current Business Environment</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Recent developments related to the conflict in the Middle East and evolving tariff policies have increased volatility and uncertainty in the global macroeconomic environment. While we have not experienced material impacts to date, given this elevated level of uncertainty and its potential impact on current and future economic conditions, we may continue to experience fluctuations in global inflationary pressures and market interest rates, as well as volatility in foreign currency markets in the near term. We regularly monitor these conditions and believe we take appropriate actions, as necessary, to mitigate related risks. These actions include actively managing operating costs through supply chain initiatives and pricing strategies, as well as managing interest rate exposure through the use of interest rate swaps and other risk mitigation strategies.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has been cash inflow during our fourth fiscal quarter due to customer prepayments particularly within our Higher Education business in anticipation of the fall semester and higher activity within our sports and leisure clients.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Foreign Currency Fluctuations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fiscal year is the fifty-two or fifty-three week period which ends on the Friday nearest September 30th. The fiscal year ending October 2, 2026 is a fifty-two week period, while the fiscal year ended October 3, 2025 was a fifty-three week period. The calendar shift resulting from the fifty-third week in the fiscal year ended October 3, 2025 is expected to affect the fiscal year ending October 2, 2026 quarterly comparisons of operating results due to the change in the number of operational service days in each quarter as compared to the corresponding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an overview of our results on a consolidated basis with the amount of and percentage change between periods for the three and six months ended April 3, 2026 and March 28, 2025 (in millions). </w:t>
      </w:r>
    </w:p>
    <w:tbl>
      <w:tblPr>
        <w:tblW w:w="10205" w:type="dxa"/>
        <w:jc w:val="left"/>
        <w:tblInd w:w="0" w:type="dxa"/>
        <w:tblLayout w:type="fixed"/>
        <w:tblCellMar>
          <w:top w:w="28" w:type="dxa"/>
          <w:left w:w="28" w:type="dxa"/>
          <w:bottom w:w="28" w:type="dxa"/>
          <w:right w:w="28" w:type="dxa"/>
        </w:tblCellMar>
      </w:tblPr>
      <w:tblGrid>
        <w:gridCol w:w="1884"/>
        <w:gridCol w:w="1622"/>
        <w:gridCol w:w="1633"/>
        <w:gridCol w:w="211"/>
        <w:gridCol w:w="766"/>
        <w:gridCol w:w="109"/>
        <w:gridCol w:w="109"/>
        <w:gridCol w:w="109"/>
        <w:gridCol w:w="109"/>
        <w:gridCol w:w="240"/>
        <w:gridCol w:w="871"/>
        <w:gridCol w:w="123"/>
        <w:gridCol w:w="109"/>
        <w:gridCol w:w="109"/>
        <w:gridCol w:w="109"/>
        <w:gridCol w:w="211"/>
        <w:gridCol w:w="616"/>
        <w:gridCol w:w="109"/>
        <w:gridCol w:w="109"/>
        <w:gridCol w:w="109"/>
        <w:gridCol w:w="109"/>
        <w:gridCol w:w="255"/>
        <w:gridCol w:w="256"/>
        <w:gridCol w:w="318"/>
      </w:tblGrid>
      <w:tr>
        <w:trPr/>
        <w:tc>
          <w:tcPr>
            <w:tcW w:w="188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(exclusive of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general corporate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4"/>
        <w:gridCol w:w="1622"/>
        <w:gridCol w:w="1633"/>
        <w:gridCol w:w="211"/>
        <w:gridCol w:w="766"/>
        <w:gridCol w:w="109"/>
        <w:gridCol w:w="109"/>
        <w:gridCol w:w="109"/>
        <w:gridCol w:w="109"/>
        <w:gridCol w:w="240"/>
        <w:gridCol w:w="871"/>
        <w:gridCol w:w="123"/>
        <w:gridCol w:w="109"/>
        <w:gridCol w:w="109"/>
        <w:gridCol w:w="109"/>
        <w:gridCol w:w="211"/>
        <w:gridCol w:w="616"/>
        <w:gridCol w:w="109"/>
        <w:gridCol w:w="109"/>
        <w:gridCol w:w="109"/>
        <w:gridCol w:w="109"/>
        <w:gridCol w:w="255"/>
        <w:gridCol w:w="256"/>
        <w:gridCol w:w="318"/>
      </w:tblGrid>
      <w:tr>
        <w:trPr/>
        <w:tc>
          <w:tcPr>
            <w:tcW w:w="188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(exclusive of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general corporate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Consolidated Overview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 periods of fiscal 2026, revenue increased by approximately 14.7% or $628.0 million and 10.3% or $907.5 million compared to the prior year periods, respectively. The increase was primarily attributable to base business growth and net new business. Additionally, foreign currency translation favorably impacted revenue by 2.4% and 1.7% for the three and six month periods, respectively. The increase for the three month period of fiscal 2026 was also due to the estimated benefit of the increased number of operational service days in the second quarter of fiscal 2026 from the calendar shift related to the fifty-third week in fiscal 2025 (approximately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Cost of services provided (exclusive of depreciation and amortization)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in cost of services provided (exclusive of depreciation and amortization) and as a percentage of revenue for the three and six month periods ended April 3, 2026 and March 28, 2025 (in millions).</w:t>
      </w:r>
    </w:p>
    <w:tbl>
      <w:tblPr>
        <w:tblW w:w="10205" w:type="dxa"/>
        <w:jc w:val="left"/>
        <w:tblInd w:w="0" w:type="dxa"/>
        <w:tblLayout w:type="fixed"/>
        <w:tblCellMar>
          <w:top w:w="28" w:type="dxa"/>
          <w:left w:w="28" w:type="dxa"/>
          <w:bottom w:w="28" w:type="dxa"/>
          <w:right w:w="28" w:type="dxa"/>
        </w:tblCellMar>
      </w:tblPr>
      <w:tblGrid>
        <w:gridCol w:w="904"/>
        <w:gridCol w:w="793"/>
        <w:gridCol w:w="797"/>
        <w:gridCol w:w="109"/>
        <w:gridCol w:w="109"/>
        <w:gridCol w:w="109"/>
        <w:gridCol w:w="211"/>
        <w:gridCol w:w="766"/>
        <w:gridCol w:w="109"/>
        <w:gridCol w:w="109"/>
        <w:gridCol w:w="109"/>
        <w:gridCol w:w="109"/>
        <w:gridCol w:w="220"/>
        <w:gridCol w:w="799"/>
        <w:gridCol w:w="113"/>
        <w:gridCol w:w="109"/>
        <w:gridCol w:w="109"/>
        <w:gridCol w:w="109"/>
        <w:gridCol w:w="211"/>
        <w:gridCol w:w="616"/>
        <w:gridCol w:w="109"/>
        <w:gridCol w:w="109"/>
        <w:gridCol w:w="109"/>
        <w:gridCol w:w="109"/>
        <w:gridCol w:w="255"/>
        <w:gridCol w:w="256"/>
        <w:gridCol w:w="271"/>
        <w:gridCol w:w="109"/>
        <w:gridCol w:w="109"/>
        <w:gridCol w:w="109"/>
        <w:gridCol w:w="255"/>
        <w:gridCol w:w="256"/>
        <w:gridCol w:w="297"/>
        <w:gridCol w:w="109"/>
        <w:gridCol w:w="109"/>
        <w:gridCol w:w="109"/>
        <w:gridCol w:w="264"/>
        <w:gridCol w:w="251"/>
        <w:gridCol w:w="490"/>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Percentage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of Revenue</w:t>
            </w:r>
          </w:p>
        </w:tc>
      </w:tr>
      <w:tr>
        <w:trPr/>
        <w:tc>
          <w:tcPr>
            <w:tcW w:w="24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Percentage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of Revenue</w:t>
            </w:r>
          </w:p>
        </w:tc>
      </w:tr>
      <w:tr>
        <w:trPr/>
        <w:tc>
          <w:tcPr>
            <w:tcW w:w="24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2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(exclusive of depreciation and amortization) increased by $561.2 million and $825.4 million during the three and six month periods of fiscal 2026 compared to the prior year periods, respectively, principally attributable to the revenue growth described above. Key drivers of the year-over-year increase include:</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Food and support service costs increased by $180.5 million and $244.1 million during the three and six month periods of fiscal 2026 compared to the prior year periods, respectively, primarily due to food and beverage costs associated with business growth, partially offset by supply chain efficiencies.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Personnel costs rose by $217.5 million and $387.9 million during the three and six month periods of fiscal 2026 compared to the prior year periods, respectively, reflecting overall business expansion and severance charges ($5.5 million). The increase was partially offset by lower medical costs ($6.9 million) during the three month period of fiscal 2026. Furthermore, the calendar shift related to the fifty</w:t>
        <w:noBreakHyphen/>
        <w:t xml:space="preserve">third week in fiscal 2025 resulted in an increased number of operational service days during the three month period of fiscal 2026. As a portion of personnel costs is fixed, these costs did not increase in line with the higher level of service days, leading to a decrease in personnel costs as a percentage of revenue compared to the three month prior year period. The increase during the six month period was also attributable to a multiemployer pension plan withdrawal charge ($5.6 million).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direct costs grew by $163.2 million and $193.4 million during the three and six month periods of fiscal 2026 compared to the prior year periods, respectively, driven by business growth. The increase during the three and six month periods was also attributable to higher commissions ($51.3 million and $43.2 million, respectively), primarily within our Sports &amp; Entertainment and Higher Education businesses. The increase during the six month period was also attributable to a non-cash charge for the impairment of certain assets related to a business held-for-sale ($6.1 million) that was partially offset by the absence of a prior-year charge related to contingent consideration liabilities from acquisition earn-outs ($11.1 million).</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by $15.1 million and $27.8 million during the three and six month periods of fiscal 2026 compared to the prior year periods, respectively. The increase during the three and six month periods of fiscal 2026 was driven by a higher depreciation expense on property and equipment ($11.4 million and $21.5 million, respectively) and higher amortization expense, primarily from acquisition related intangible assets ($3.7 million and $6.3 million, respectively).</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Selling and general corporate expenses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Selling and general corporate expenses increased by $6.1 million and $8.4 million during the three and six month periods of fiscal 2026 compared to the prior year periods, respectively. The increase was primarily driven by higher share-based compensation expense compared to the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Operating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Operating income increased by $45.6 million and $45.9 million during the three and six month periods of fiscal 2026 compared to the prior year periods, respectively, as a result of the aforementioned changes. The increased number of operational service days from the calendar shift related to the fifty-third week in fiscal 2025 positively impacted the second quarter of fiscal 2026 operating income by an estimated $25 million.</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$7.5 million and $1.3 million during the three and six month periods of fiscal 2026 compared to the prior year periods, respectively. The decrease during the three and six month periods was due to the prior year payment of $5.8 million of transaction costs related to the refinancing of the United States dollar denominated Term B-8 Loans due 2030 (the “U.S. Term B-8 Loans due 2030”), the prior year $2.5 million non-cash loss for the write-off of unamortized deferred financing costs and discount on the United States dollar denominated Term B-4 Loans due 2027 (the “U.S. Term B-4 Loans due 2027”) and 5.000% Senior Notes due April 2025 Notes (the “5.000% 2025 Notes”) and lower interest expense resulting from the refinancing of term loan and senior note balances and repayments on term loan balances. The decrease during both the three and six month periods was partially offset by recently executed interest rate swaps with higher fixed rates replacing maturing swaps that were entered into during a lower interest rate environment and higher interest rates, in particular on the euro denominated Senior Notes. The decrease during the six month period was partially offset by a payment of $0.7 million of transaction costs and a $0.4 million non-cash loss for the write-off of unamortized deferred financing costs and discount, both relating to the repricing of the United States dollar denominated Term B-10 Loans due 2030. </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and six month periods of fiscal 2026 was recorded at an effective tax rate of 25.7% and 27.3%, respectively, resulting in an increase of $13.0 million and $16.3 million, respectively, compared to the prior year periods. The Provision for Income Taxes for the three and six month periods of fiscal 2025 was recorded at an effective tax rate of 26.6% and 25.8%, respectively. During the six months ended April 3, 2026, we recorded a valuation allowance to the “Provision for Income Taxes” on the Condensed Consolidated Statements of Income of $3.4 million against foreign tax credits, as it is more likely than not a tax benefit will not be realized (see Note 6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FSS United States Segment</w:t>
      </w:r>
    </w:p>
    <w:p>
      <w:pPr>
        <w:pStyle w:val="TextBody"/>
        <w:bidi w:val="0"/>
        <w:spacing w:lineRule="auto" w:line="288" w:before="100" w:after="60"/>
        <w:jc w:val="left"/>
        <w:rPr/>
      </w:pPr>
      <w:r>
        <w:rPr>
          <w:rFonts w:ascii="Times New Roman;serif" w:hAnsi="Times New Roman;serif"/>
          <w:b w:val="false"/>
          <w:color w:val="000000"/>
          <w:sz w:val="20"/>
        </w:rPr>
        <w:t>The following tables present segment adjusted operating results for the three and six month periods of fiscal 2026 and fiscal 2025 (in millions)</w:t>
      </w:r>
      <w:r>
        <w:rPr>
          <w:rFonts w:ascii="Times New Roman;serif" w:hAnsi="Times New Roman;serif"/>
          <w:b w:val="false"/>
          <w:color w:val="000000"/>
          <w:sz w:val="13"/>
        </w:rPr>
        <w:t>(1)(2)</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107"/>
        <w:gridCol w:w="726"/>
        <w:gridCol w:w="729"/>
        <w:gridCol w:w="156"/>
        <w:gridCol w:w="156"/>
        <w:gridCol w:w="156"/>
        <w:gridCol w:w="303"/>
        <w:gridCol w:w="1101"/>
        <w:gridCol w:w="156"/>
        <w:gridCol w:w="156"/>
        <w:gridCol w:w="156"/>
        <w:gridCol w:w="156"/>
        <w:gridCol w:w="323"/>
        <w:gridCol w:w="1173"/>
        <w:gridCol w:w="166"/>
        <w:gridCol w:w="156"/>
        <w:gridCol w:w="156"/>
        <w:gridCol w:w="156"/>
        <w:gridCol w:w="303"/>
        <w:gridCol w:w="886"/>
        <w:gridCol w:w="156"/>
        <w:gridCol w:w="156"/>
        <w:gridCol w:w="156"/>
        <w:gridCol w:w="156"/>
        <w:gridCol w:w="366"/>
        <w:gridCol w:w="368"/>
        <w:gridCol w:w="470"/>
      </w:tblGrid>
      <w:tr>
        <w:trPr/>
        <w:tc>
          <w:tcPr>
            <w:tcW w:w="11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Adjusted operating income represents operating income adjusted to eliminate the impact of amortization of acquisition-related intangible assets ($25.1 million and $24.2 million in the three month periods of fiscal 2026 and fiscal 2025, respectively) and severance charges ($5.5 million in the three month period of fiscal 2026) . The amounts in the table above may represent adjusted figures to arrive at adjusted operating income. Refer to Note 10 to the condensed consolidated financial statements for a description of adjustments comprising adjusted operating income.</w:t>
            </w:r>
          </w:p>
        </w:tc>
      </w:tr>
      <w:tr>
        <w:trPr/>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02"/>
        <w:gridCol w:w="713"/>
        <w:gridCol w:w="716"/>
        <w:gridCol w:w="157"/>
        <w:gridCol w:w="157"/>
        <w:gridCol w:w="157"/>
        <w:gridCol w:w="304"/>
        <w:gridCol w:w="1107"/>
        <w:gridCol w:w="157"/>
        <w:gridCol w:w="157"/>
        <w:gridCol w:w="157"/>
        <w:gridCol w:w="157"/>
        <w:gridCol w:w="323"/>
        <w:gridCol w:w="1175"/>
        <w:gridCol w:w="166"/>
        <w:gridCol w:w="157"/>
        <w:gridCol w:w="157"/>
        <w:gridCol w:w="157"/>
        <w:gridCol w:w="304"/>
        <w:gridCol w:w="890"/>
        <w:gridCol w:w="157"/>
        <w:gridCol w:w="157"/>
        <w:gridCol w:w="157"/>
        <w:gridCol w:w="157"/>
        <w:gridCol w:w="367"/>
        <w:gridCol w:w="371"/>
        <w:gridCol w:w="469"/>
      </w:tblGrid>
      <w:tr>
        <w:trPr/>
        <w:tc>
          <w:tcPr>
            <w:tcW w:w="11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Adjusted operating income represents operating income adjusted to eliminate the impact of amortization of acquisition-related intangible assets ($50.3 million and $48.1 million in the six month periods of fiscal 2026 and fiscal 2025, respectively), severance charges ($5.5 million in the six month period of fiscal 2026) and other items impacting comparability ($11.6 million and $11.1 million in the six month periods of fiscal 2026 and fiscal 2025, respectively). The amounts in the table above may represent adjusted figures to arrive at adjusted operating income. Refer to Note 10 to the condensed consolidated financial statements for a description of adjustments comprising adjusted operating income.</w:t>
            </w:r>
          </w:p>
        </w:tc>
      </w:tr>
    </w:tbl>
    <w:p>
      <w:pPr>
        <w:pStyle w:val="TextBody"/>
        <w:bidi w:val="0"/>
        <w:spacing w:lineRule="auto" w:line="288" w:before="6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Revenue for each of these sectors is summarized as follows (in millions):</w:t>
      </w:r>
    </w:p>
    <w:tbl>
      <w:tblPr>
        <w:tblW w:w="11375" w:type="dxa"/>
        <w:jc w:val="left"/>
        <w:tblInd w:w="0" w:type="dxa"/>
        <w:tblLayout w:type="fixed"/>
        <w:tblCellMar>
          <w:top w:w="28" w:type="dxa"/>
          <w:left w:w="28" w:type="dxa"/>
          <w:bottom w:w="28" w:type="dxa"/>
          <w:right w:w="28" w:type="dxa"/>
        </w:tblCellMar>
      </w:tblPr>
      <w:tblGrid>
        <w:gridCol w:w="629"/>
        <w:gridCol w:w="315"/>
        <w:gridCol w:w="31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271"/>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316"/>
      </w:tblGrid>
      <w:tr>
        <w:trPr/>
        <w:tc>
          <w:tcPr>
            <w:tcW w:w="6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&amp; Industry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Sports, Leisure &amp; Corrections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FSS United States segment revenue increased by approximately 12.2% and 6.8% during the three and six month periods of fiscal 2026 compared to the prior year periods, respectively, primarily driven by base business growth and net new business. Growth for both the three and six month periods in the Business &amp; Industry, Healthcare and Education sectors was attributable to new business wins and base business growth, while the Sports, Leisure &amp; Corrections benefited from continued base business growth. Furthermore, the increase in segment revenue during the three month period of fiscal 2026 was also attributable to the estimated benefit due to the increased number of operational service days from the calendar shift related to the fifty-third week in fiscal 2025 (approximately 4%).</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Facilities &amp; Other sector had adjusted operating income margins over ten percent in both the three and six month periods of fiscal 2026 and the prior year periods. The Education sector had adjusted operating income margins over ten percent in both the three and six month periods of fiscal 2026 and the six month prior year period; the three month prior year period had a high-single digit adjusted operating income margin. The Healthcare sector had high-single digit adjusted operating income margins in both the three and six month periods of fiscal 2026 and the prior year periods. The Business &amp; Industry sector had high-single digit adjusted operating income margins in both the three and six month periods of fiscal 2026; the prior year periods had mid-single digit adjusted operating income margins. The Sports, Leisure &amp; Corrections sector had low-single digit adjusted operating income margins in both the three and six month periods of fiscal 2026 and the prior year periods.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 increased by $47.3 million and $44.2 million during the three and six month periods of fiscal 2026 compared to the prior year periods, respectively. The increase during the three and six month periods was driven by higher base business volume and strengthened supply chain economics from revenue growth. The increase in the three month period of fiscal 2026 was also attributable to the estimated benefit due to the increased number of operational service days from the calendar shift related to the fifty-third week in fiscal 2025 (approximately $24 million), as well as lower medical costs ($6.9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FSS International Segment</w:t>
      </w:r>
    </w:p>
    <w:p>
      <w:pPr>
        <w:pStyle w:val="TextBody"/>
        <w:bidi w:val="0"/>
        <w:spacing w:lineRule="auto" w:line="288" w:before="100" w:after="60"/>
        <w:jc w:val="left"/>
        <w:rPr/>
      </w:pPr>
      <w:r>
        <w:rPr>
          <w:rFonts w:ascii="Times New Roman;serif" w:hAnsi="Times New Roman;serif"/>
          <w:b w:val="false"/>
          <w:color w:val="000000"/>
          <w:sz w:val="20"/>
        </w:rPr>
        <w:t>The following tables present segment adjusted operating results for the three and six month periods of fiscal 2026 and fiscal 2025 (in millions)</w:t>
      </w:r>
      <w:r>
        <w:rPr>
          <w:rFonts w:ascii="Times New Roman;serif" w:hAnsi="Times New Roman;serif"/>
          <w:b w:val="false"/>
          <w:color w:val="000000"/>
          <w:sz w:val="13"/>
        </w:rPr>
        <w:t>(1)(2)</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104"/>
        <w:gridCol w:w="718"/>
        <w:gridCol w:w="721"/>
        <w:gridCol w:w="157"/>
        <w:gridCol w:w="157"/>
        <w:gridCol w:w="157"/>
        <w:gridCol w:w="304"/>
        <w:gridCol w:w="1104"/>
        <w:gridCol w:w="157"/>
        <w:gridCol w:w="157"/>
        <w:gridCol w:w="157"/>
        <w:gridCol w:w="157"/>
        <w:gridCol w:w="323"/>
        <w:gridCol w:w="1174"/>
        <w:gridCol w:w="166"/>
        <w:gridCol w:w="157"/>
        <w:gridCol w:w="157"/>
        <w:gridCol w:w="157"/>
        <w:gridCol w:w="304"/>
        <w:gridCol w:w="888"/>
        <w:gridCol w:w="157"/>
        <w:gridCol w:w="157"/>
        <w:gridCol w:w="157"/>
        <w:gridCol w:w="157"/>
        <w:gridCol w:w="367"/>
        <w:gridCol w:w="369"/>
        <w:gridCol w:w="465"/>
      </w:tblGrid>
      <w:tr>
        <w:trPr/>
        <w:tc>
          <w:tcPr>
            <w:tcW w:w="11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100" w:after="60"/>
              <w:jc w:val="left"/>
              <w:rPr>
                <w:rFonts w:ascii="Times New Roman;serif" w:hAnsi="Times New Roman;serif"/>
                <w:b w:val="false"/>
                <w:color w:val="000000"/>
                <w:sz w:val="14"/>
              </w:rPr>
            </w:pPr>
            <w:r>
              <w:rPr>
                <w:rFonts w:ascii="Times New Roman;serif" w:hAnsi="Times New Roman;serif"/>
                <w:b w:val="false"/>
                <w:color w:val="000000"/>
                <w:sz w:val="14"/>
              </w:rPr>
              <w:t>(1) Adjusted operating income represents operating income adjusted to eliminate the impact of amortization of acquisition-related intangible assets ($8.2 million and $5.8 million in the three month periods of fiscal 2026 and fiscal 2025, respectively) and other items impacting comparability ($0.9 million gain and $0.6 million loss in the three month periods of fiscal 2026 and fiscal 2025, respectively). The amounts in the table above may represent adjusted figures to arrive at adjusted operating income. Refer to Note 10 to the condensed consolidated financial statements for a description of adjustments comprising adjusted operating income.</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100" w:after="60"/>
              <w:jc w:val="left"/>
              <w:rPr>
                <w:rFonts w:ascii="Times New Roman;serif" w:hAnsi="Times New Roman;serif"/>
                <w:b w:val="false"/>
                <w:color w:val="000000"/>
                <w:sz w:val="14"/>
              </w:rPr>
            </w:pPr>
            <w:r>
              <w:rPr>
                <w:rFonts w:ascii="Times New Roman;serif" w:hAnsi="Times New Roman;serif"/>
                <w:b w:val="false"/>
                <w:color w:val="000000"/>
                <w:sz w:val="14"/>
              </w:rPr>
              <w:t>(2) Adjusted operating income represents operating income adjusted to eliminate the impact of amortization of acquisition-related intangible assets ($15.1 million and $10.5 million in the six month periods of fiscal 2026 and fiscal 2025, respectively) and other items impacting comparability ($0.9 million and $1.3 million in the six month periods of fiscal 2026 and fiscal 2025, respectively). The amounts in the table above may represent adjusted figures to arrive at adjusted operating income. Refer to Note 10 to the condensed consolidated financial statements for a description of adjustments comprising adjusted operating income.</w:t>
            </w:r>
          </w:p>
        </w:tc>
      </w:tr>
    </w:tbl>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FSS International segment revenue increased by approximately 20.8% and 19.1% during the three and six month periods of fiscal 2026 compared to the prior year periods, respectively. The increase was primarily attributable to base business growth and net new business, driven largely by performance in the U.K., Spain, Chile and Germany and the favorable impact of foreign currency translation (approximately 8.1% and 6.1% for the three and six month periods, respectively). </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Adjusted operating income increased by $10.7 million and $20.2 million during the three and six month periods of fiscal 2026 compared to the prior year periods, respectively. The increase was primarily attributable to higher base business volume, net new business and strengthened supply chain economics from revenue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As of April 3, 2026, we had $475.7 million of cash and cash equivalents and $961.7 million of availability under our senior secured revolving credit facility. A significant portion of our cash and cash equivalents are held in mature, liquid geographies where we have operations. As of April 3, 2026, we had $1.1 billion of outstanding foreign currency borrowings.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and cash equivalents and availability under our revolving credit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25, 2025.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cash activity (in millions):</w:t>
      </w:r>
    </w:p>
    <w:tbl>
      <w:tblPr>
        <w:tblW w:w="6159" w:type="dxa"/>
        <w:jc w:val="left"/>
        <w:tblInd w:w="0" w:type="dxa"/>
        <w:tblLayout w:type="fixed"/>
        <w:tblCellMar>
          <w:top w:w="28" w:type="dxa"/>
          <w:left w:w="28" w:type="dxa"/>
          <w:bottom w:w="28" w:type="dxa"/>
          <w:right w:w="28" w:type="dxa"/>
        </w:tblCellMar>
      </w:tblPr>
      <w:tblGrid>
        <w:gridCol w:w="1253"/>
        <w:gridCol w:w="1104"/>
        <w:gridCol w:w="1107"/>
        <w:gridCol w:w="222"/>
        <w:gridCol w:w="728"/>
        <w:gridCol w:w="114"/>
        <w:gridCol w:w="109"/>
        <w:gridCol w:w="109"/>
        <w:gridCol w:w="109"/>
        <w:gridCol w:w="260"/>
        <w:gridCol w:w="854"/>
        <w:gridCol w:w="190"/>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28,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Reference to the Condensed Consolidated Statements of Cash Flows will facilitate understanding of the discussion that follows.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Cash Flows Used in Operating Activities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increased by $50.7 million during the six month period of fiscal 2026 compared to the prior year period. The increase was primarily driven by a greater use of cash from the change in operating assets and liabilities as compared to the prior year period ($114.7 million) and higher payments made to clients on contracts ($64.5 million), partially offset by higher net income and non-cash gains and losses.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operating assets and liabilities compared to the prior year period was primarily due to:</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Receivables by $91.0 million, resulting in a higher use of cash due to base business growth, net new business and the timing of collections;</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Accounts payable by $28.4 million, resulting in a higher use of cash due to the timing of disbursements; and</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Inventories by $15.0 million, resulting in a higher use of cash due to increased purchases from new business.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These changes in operating assets and liabilities more than offset:</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Prepayments by $25.3 million, resulting in a lower use of cash primarily driven by the timing of annual contractual payments and lower federal income tax estimated payments compared to the prior year period.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"Other operating activities" caption in both periods reflects a source of cash due to adjustments to net income related to non-cash gains and losses and adjustments to non-operating cash transactions.</w:t>
      </w:r>
    </w:p>
    <w:p>
      <w:pPr>
        <w:pStyle w:val="TextBody"/>
        <w:bidi w:val="0"/>
        <w:spacing w:lineRule="auto" w:line="268" w:before="100" w:after="60"/>
        <w:jc w:val="left"/>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$166.0 million lower during the six month period of fiscal 2026 compared to the prior year period, primarily due to lower acquisitions of certain businesses ($156.9 million).</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 xml:space="preserve">Cash Flows Provided by Financing Activities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six month period of fiscal 2026, cash provided by financing activities was primarily impacted by net borrowings under the Receivables Facility ($625.0 million) and net borrowings under the revolving credit facility ($140.4 million). Cash provided by financing activities more than offset the optional prepayment and repayment of long-term borrowings ($67.7 million and $19.1 million, respectively), the repurchase of common stock through the share repurchase program and taxes paid by us when we withhold shares upon an employee's exercise or vesting of equity awards to cover income taxes ($53.6 million and $12.7 million, respectively), payment of dividends ($63.1 million) and payment of contingent consideration ($33.7 million).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six month period of fiscal 2025, cash provided by financing activities was primarily impacted by the upsizing of the U.S. Term B-8 Loans due 2030 ($1,395.0 million), net borrowings under the Receivables Facility ($586.0 million), the issuance of the euro denominated 4.375% Senior Notes due April 2033 ($429.7 million) and net borrowings under the revolving credit facility ($275.9 million). Cash provided by financing activities more than offset the repayment of the U.S. Term B-4 Loans due 2027 ($839.3 million), the redemption of the 5.000% 2025 Notes ($551.5 million), the repurchase of common stock through the share repurchase program and taxes paid by us when we withhold shares upon an employee's exercise or vesting of equity awards to cover income taxes ($109.3 million and $29.1 million, respectively) and payment of dividends ($55.7 million). The ”Other financing activities” caption also includes the payment of transaction costs related to the issuance of the 4.375% 2033 Notes and the U.S. Term B-8 Loans due 2030 ($15.1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Covenant Compliance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April 3, 2026, we were in compliance with these covenants.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Attributable to ASI stockholders, which is a U.S. GAAP measure of ASI's operating results, to Covenant Adjusted EBITDA as defined in our Credit Agreement. The terms and related calculations are defined in the Credit Agreement. The calculation for the purpose of the indentures governing our senior notes is slightly different. Covenant Adjusted EBITDA is a measure of ASI and its restricted subsidiaries only and does not include the results of Aramark.</w:t>
      </w:r>
    </w:p>
    <w:tbl>
      <w:tblPr>
        <w:tblW w:w="5174" w:type="dxa"/>
        <w:jc w:val="left"/>
        <w:tblInd w:w="0" w:type="dxa"/>
        <w:tblLayout w:type="fixed"/>
        <w:tblCellMar>
          <w:top w:w="28" w:type="dxa"/>
          <w:left w:w="28" w:type="dxa"/>
          <w:bottom w:w="28" w:type="dxa"/>
          <w:right w:w="28" w:type="dxa"/>
        </w:tblCellMar>
      </w:tblPr>
      <w:tblGrid>
        <w:gridCol w:w="1345"/>
        <w:gridCol w:w="1181"/>
        <w:gridCol w:w="1193"/>
        <w:gridCol w:w="271"/>
        <w:gridCol w:w="986"/>
        <w:gridCol w:w="198"/>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Twelve Months Ended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ASI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Income Taxes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0"/>
              </w:rPr>
              <w:t>(1)</w:t>
            </w:r>
            <w:r>
              <w:rPr>
                <w:color w:val="000000"/>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Unusual or non-recurring losses</w:t>
            </w:r>
            <w:r>
              <w:rPr>
                <w:rFonts w:ascii="Times New Roman;serif" w:hAnsi="Times New Roman;serif"/>
                <w:b w:val="false"/>
                <w:color w:val="000000"/>
                <w:sz w:val="10"/>
              </w:rPr>
              <w:t>(2)</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 forma EBITDA for certain transactions</w:t>
            </w:r>
            <w:r>
              <w:rPr>
                <w:rFonts w:ascii="Times New Roman;serif" w:hAnsi="Times New Roman;serif"/>
                <w:b w:val="false"/>
                <w:color w:val="000000"/>
                <w:sz w:val="10"/>
              </w:rPr>
              <w:t>(3)</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0"/>
              </w:rPr>
              <w:t>(4)</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Covenant Adjusted EBITDA</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Represents share-based compensation expense of equity awards resulting from the application of accounting for stock options, restricted stock units, performance stock units and deferred stock unit awards.</w:t>
      </w:r>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Represents a fiscal 2025 non-cash charge for the impairment of an equity investment ($19.5 million) and a fiscal 2026 non-cash charge for the impairment of certain assets related to a business held-for-sale ($6.1 million).</w:t>
      </w:r>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Represents the annualizing of net EBITDA from certain acquisitions made during the period and, for purposes of the Credit Agreement, the net benefit from cost savings initiatives ($16.3 million).</w:t>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"Other" includes adjustments to remove the impact attributable to the adoption of certain accounting standards that are made to the calculation in accordance with the Credit Agreement and indentures ($56.4 million), severance charges ($41.9 million), non-cash charges for the impairments of assets ($8.9 million), multiemployer pension plan withdrawal charge ($5.6 million), merger and integration charges ($4.9 million), the impact of hyperinflation in Argentina ($4.0 million), legal charges related to an antitrust review ($3.8 million) and other miscellaneous expenses.</w:t>
      </w:r>
    </w:p>
    <w:p>
      <w:pPr>
        <w:pStyle w:val="TextBody"/>
        <w:bidi w:val="0"/>
        <w:spacing w:before="0" w:after="0"/>
        <w:jc w:val="left"/>
        <w:rPr/>
      </w:pPr>
      <w:r>
        <w:rPr/>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covenant requirements and actual ratios for the twelve months ended April 3, 2026 are as follows: </w:t>
      </w:r>
    </w:p>
    <w:tbl>
      <w:tblPr>
        <w:tblW w:w="6779" w:type="dxa"/>
        <w:jc w:val="left"/>
        <w:tblInd w:w="0" w:type="dxa"/>
        <w:tblLayout w:type="fixed"/>
        <w:tblCellMar>
          <w:top w:w="28" w:type="dxa"/>
          <w:left w:w="28" w:type="dxa"/>
          <w:bottom w:w="28" w:type="dxa"/>
          <w:right w:w="28" w:type="dxa"/>
        </w:tblCellMar>
      </w:tblPr>
      <w:tblGrid>
        <w:gridCol w:w="1733"/>
        <w:gridCol w:w="1524"/>
        <w:gridCol w:w="1528"/>
        <w:gridCol w:w="345"/>
        <w:gridCol w:w="345"/>
        <w:gridCol w:w="346"/>
        <w:gridCol w:w="109"/>
        <w:gridCol w:w="109"/>
        <w:gridCol w:w="109"/>
        <w:gridCol w:w="184"/>
        <w:gridCol w:w="184"/>
        <w:gridCol w:w="263"/>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br/>
              <w:t>Ratio</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Consolidated Secured Debt Ratio</w:t>
            </w:r>
            <w:r>
              <w:rPr>
                <w:rFonts w:ascii="Times New Roman;serif" w:hAnsi="Times New Roman;serif"/>
                <w:b w:val="false"/>
                <w:color w:val="000000"/>
                <w:sz w:val="13"/>
              </w:rPr>
              <w:t>(1)</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2.65x</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Coverage Ratio (Fixed Charge Coverage Ratio)</w:t>
            </w:r>
            <w:r>
              <w:rPr>
                <w:rFonts w:ascii="Times New Roman;serif" w:hAnsi="Times New Roman;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4.57x</w:t>
            </w:r>
          </w:p>
        </w:tc>
      </w:tr>
    </w:tbl>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Secured Debt Ratio covenant) failed to waive any such default, would also constitute a default under the indentures governing our senior notes. </w:t>
      </w:r>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certain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certain specified exceptions, and (2) make certain restricted payments, other than pursuant to certain specified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non-cash or nonrecurring interest expense. The indentures governing our senior notes include a similar requirement which is referred to as a Fixed Charge Coverage Ratio.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Supplemental Consolidating Information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business activities do not include the use of unconsolidated special purpose entities and there are no significant business transactions that have not been reflected in the accompanying condensed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April 3, 2026.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April 3, 2026 and October 3, 2025, cash and cash equivalents at the Captive were $144.0 million and $133.5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the notes to the audited consolidated financial statements included in our Annual Report on Form 10-K, filed with the SEC on November 25, 2025. For a more complete discussion of our accounting policies and critical accounting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25, 2025.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Critical accounting estimates and the related assumptions are evaluated periodically as conditions warrant, and changes to such estimates are recorded as new information or changed conditions require.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New Accounting Standard Updates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See Note 1 to the condensed consolidated financial statements for a full description of recent accounting standard updates,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April 3, 2026 has not materially changed from October 3, 2025 (see Part II, Item 7A "Quantitative and Qualitative Disclosure About Market Risk" in our Annual Report on Form 10-K for the fiscal year ended October 3, 2025 filed with the SEC on November 25, 2025). However, we completed a debt related transaction during the first quarter of fiscal 2026 that may impact our related exposure to this market risk. Specifically, we repriced $2.4 billion of U.S. Term B-8 Loans due 2030 under the Credit Agreement by refinancing them with $2.4 billion of new U.S. Term B-10 Loans due June 2030. See Note 3 to the condensed consolidated financial statements related to the changes in our debt levels. See Note 4 to the condensed consolidated financial statements for a discussion of our derivative instruments and Note 11 for the disclosure of the fair value and related carrying value of our debt obligations as of April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occurred during our second quarter of fiscal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April 3, 2026.</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See Note 9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Part I, Item 1A, "Risk Factors" in our Annual Report on Form 10-K for the fiscal year ended October 3, 2025 filed with the SEC on November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Share repurchase activity during the three months ended April 3, 2026 was as follows:</w:t>
      </w:r>
    </w:p>
    <w:tbl>
      <w:tblPr>
        <w:tblW w:w="10205" w:type="dxa"/>
        <w:jc w:val="left"/>
        <w:tblInd w:w="0" w:type="dxa"/>
        <w:tblLayout w:type="fixed"/>
        <w:tblCellMar>
          <w:top w:w="28" w:type="dxa"/>
          <w:left w:w="28" w:type="dxa"/>
          <w:bottom w:w="28" w:type="dxa"/>
          <w:right w:w="28" w:type="dxa"/>
        </w:tblCellMar>
      </w:tblPr>
      <w:tblGrid>
        <w:gridCol w:w="488"/>
        <w:gridCol w:w="364"/>
        <w:gridCol w:w="367"/>
        <w:gridCol w:w="109"/>
        <w:gridCol w:w="109"/>
        <w:gridCol w:w="109"/>
        <w:gridCol w:w="683"/>
        <w:gridCol w:w="432"/>
        <w:gridCol w:w="434"/>
        <w:gridCol w:w="109"/>
        <w:gridCol w:w="109"/>
        <w:gridCol w:w="109"/>
        <w:gridCol w:w="305"/>
        <w:gridCol w:w="891"/>
        <w:gridCol w:w="157"/>
        <w:gridCol w:w="109"/>
        <w:gridCol w:w="109"/>
        <w:gridCol w:w="109"/>
        <w:gridCol w:w="829"/>
        <w:gridCol w:w="722"/>
        <w:gridCol w:w="724"/>
        <w:gridCol w:w="109"/>
        <w:gridCol w:w="109"/>
        <w:gridCol w:w="109"/>
        <w:gridCol w:w="441"/>
        <w:gridCol w:w="1728"/>
        <w:gridCol w:w="332"/>
      </w:tblGrid>
      <w:tr>
        <w:trPr/>
        <w:tc>
          <w:tcPr>
            <w:tcW w:w="4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(or Units)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Paid Per Share (or Units)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(or Units) Purchased as Part of Publicly Announced Plans or Programs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(or Units) That May Yet Be Purchased Under the Plans or Programs</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 2026 to January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26,872 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26,872 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329,620 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January 31, 2026 to February 27,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387,104 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387,104 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314,452 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28, 2026 to April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203,770 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617,746 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617,746 </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16"/>
        </w:rPr>
      </w:pPr>
      <w:r>
        <w:rPr>
          <w:rFonts w:ascii="Times New Roman;serif" w:hAnsi="Times New Roman;serif"/>
          <w:b w:val="false"/>
          <w:color w:val="000000"/>
          <w:sz w:val="16"/>
        </w:rPr>
        <w:t>(1) On November 5, 2024, our Board of Directors approved a share repurchase program under which we are authorized to repurchase up to $500.0 million of our outstanding common stock. The share repurchase program does not have a fixed expiration date and may be terminated at any time.</w:t>
      </w:r>
    </w:p>
    <w:p>
      <w:pPr>
        <w:pStyle w:val="TextBody"/>
        <w:bidi w:val="0"/>
        <w:spacing w:lineRule="auto" w:line="288" w:before="100" w:after="60"/>
        <w:jc w:val="left"/>
        <w:rPr>
          <w:rFonts w:ascii="Times New Roman;serif" w:hAnsi="Times New Roman;serif"/>
          <w:b w:val="false"/>
          <w:color w:val="000000"/>
          <w:sz w:val="16"/>
        </w:rPr>
      </w:pPr>
      <w:r>
        <w:rPr>
          <w:rFonts w:ascii="Times New Roman;serif" w:hAnsi="Times New Roman;serif"/>
          <w:b w:val="false"/>
          <w:color w:val="000000"/>
          <w:sz w:val="16"/>
        </w:rPr>
        <w:t>(2) 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April 3, 2026,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See the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6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May 12, 2026.</w:t>
      </w:r>
    </w:p>
    <w:tbl>
      <w:tblPr>
        <w:tblW w:w="6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Controller and Chief Accounting Officer</w:t>
              <w:br/>
              <w:t>(Principal Accounting Officer and Authorized Signatory)</w:t>
            </w:r>
          </w:p>
        </w:tc>
      </w:tr>
    </w:tbl>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c80dfb019174604901256f53369b6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16"/>
        <w:gridCol w:w="189"/>
        <w:gridCol w:w="191"/>
        <w:gridCol w:w="109"/>
        <w:gridCol w:w="109"/>
        <w:gridCol w:w="109"/>
        <w:gridCol w:w="2988"/>
        <w:gridCol w:w="2593"/>
        <w:gridCol w:w="3701"/>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Description</w:t>
            </w:r>
            <w:r>
              <w:rPr>
                <w:color w:val="000000"/>
              </w:rPr>
              <w:t> </w:t>
            </w:r>
          </w:p>
        </w:tc>
      </w:tr>
      <w:tr>
        <w:trPr/>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ex101q22026.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q22026.htm">
              <w:r>
                <w:rPr>
                  <w:rStyle w:val="InternetLink"/>
                  <w:rFonts w:ascii="Times New Roman;serif" w:hAnsi="Times New Roman;serif"/>
                  <w:b w:val="false"/>
                  <w:color w:val="0000FF"/>
                  <w:sz w:val="20"/>
                  <w:u w:val="single"/>
                </w:rPr>
                <w:t>Form of ELT Cliff Vesting Restricted Stock Unit Award.</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1q2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22026.htm">
              <w:r>
                <w:rPr>
                  <w:rStyle w:val="InternetLink"/>
                  <w:rFonts w:ascii="Times New Roman;serif" w:hAnsi="Times New Roman;serif"/>
                  <w:b w:val="false"/>
                  <w:color w:val="0000FF"/>
                  <w:sz w:val="20"/>
                  <w:u w:val="single"/>
                </w:rPr>
                <w:t>Certification of John J. Zillmer, Chief Executive Officer, pursuant to Section 302 of the Sarbanes-Oxley Act of 2002.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6.htm">
              <w:r>
                <w:rPr>
                  <w:rStyle w:val="InternetLink"/>
                  <w:rFonts w:ascii="Times New Roman;serif" w:hAnsi="Times New Roman;serif"/>
                  <w:b w:val="false"/>
                  <w:color w:val="0000FF"/>
                  <w:sz w:val="20"/>
                  <w:u w:val="single"/>
                </w:rPr>
                <w:t>Certification of James J. Tarangelo, Chief Financial Officer, pursuant to Section 302 of the Sarbanes-Oxley Act of 2002.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q2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22026.htm">
              <w:r>
                <w:rPr>
                  <w:rStyle w:val="InternetLink"/>
                  <w:rFonts w:ascii="Times New Roman;serif" w:hAnsi="Times New Roman;serif"/>
                  <w:b w:val="false"/>
                  <w:color w:val="0000FF"/>
                  <w:sz w:val="20"/>
                  <w:u w:val="single"/>
                </w:rPr>
                <w:t>Certification of John J. Zillmer, Chief Executive Officer, and James J. Tarangelo, Chief Financial Officer, pursuant to Section 906 of the Sarbanes-Oxley Act of 2002.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80dfb019174604901256f53369b6e8_16">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80dfb019174604901256f53369b6e8_16">
              <w:r>
                <w:rPr>
                  <w:rStyle w:val="InternetLink"/>
                  <w:rFonts w:ascii="Times New Roman;serif" w:hAnsi="Times New Roman;serif"/>
                  <w:b w:val="false"/>
                  <w:color w:val="000080"/>
                  <w:sz w:val="20"/>
                  <w:u w:val="single"/>
                </w:rPr>
                <w:t xml:space="preserve">The following financial information from Aramark's Quarterly Report on Form 10-Q for the period ended </w:t>
              </w:r>
            </w:hyperlink>
            <w:hyperlink w:anchor="i5c80dfb019174604901256f53369b6e8_16">
              <w:r>
                <w:rPr>
                  <w:rStyle w:val="InternetLink"/>
                  <w:rFonts w:ascii="Times New Roman;serif" w:hAnsi="Times New Roman;serif"/>
                  <w:b w:val="false"/>
                  <w:color w:val="000080"/>
                  <w:sz w:val="20"/>
                  <w:u w:val="single"/>
                </w:rPr>
                <w:t>April</w:t>
              </w:r>
            </w:hyperlink>
            <w:hyperlink w:anchor="i5c80dfb019174604901256f53369b6e8_16">
              <w:r>
                <w:rPr>
                  <w:rStyle w:val="InternetLink"/>
                  <w:rFonts w:ascii="Times New Roman;serif" w:hAnsi="Times New Roman;serif"/>
                  <w:b w:val="false"/>
                  <w:color w:val="000080"/>
                  <w:sz w:val="20"/>
                  <w:u w:val="single"/>
                </w:rPr>
                <w:t xml:space="preserve"> 3</w:t>
              </w:r>
            </w:hyperlink>
            <w:hyperlink w:anchor="i5c80dfb019174604901256f53369b6e8_16">
              <w:r>
                <w:rPr>
                  <w:rStyle w:val="InternetLink"/>
                  <w:rFonts w:ascii="Times New Roman;serif" w:hAnsi="Times New Roman;serif"/>
                  <w:b w:val="false"/>
                  <w:color w:val="000080"/>
                  <w:sz w:val="20"/>
                  <w:u w:val="single"/>
                </w:rPr>
                <w:t xml:space="preserve">, 2026 formatted in inline XBRL: (i) Condensed Consolidated Balance Sheets as of </w:t>
              </w:r>
            </w:hyperlink>
            <w:hyperlink w:anchor="i5c80dfb019174604901256f53369b6e8_16">
              <w:r>
                <w:rPr>
                  <w:rStyle w:val="InternetLink"/>
                  <w:rFonts w:ascii="Times New Roman;serif" w:hAnsi="Times New Roman;serif"/>
                  <w:b w:val="false"/>
                  <w:color w:val="000080"/>
                  <w:sz w:val="20"/>
                  <w:u w:val="single"/>
                </w:rPr>
                <w:t>April 3</w:t>
              </w:r>
            </w:hyperlink>
            <w:hyperlink w:anchor="i5c80dfb019174604901256f53369b6e8_16">
              <w:r>
                <w:rPr>
                  <w:rStyle w:val="InternetLink"/>
                  <w:rFonts w:ascii="Times New Roman;serif" w:hAnsi="Times New Roman;serif"/>
                  <w:b w:val="false"/>
                  <w:color w:val="000080"/>
                  <w:sz w:val="20"/>
                  <w:u w:val="single"/>
                </w:rPr>
                <w:t>, 2026 and October 3, 2025; (ii) Condensed Consolidated Statements of Income for the three</w:t>
              </w:r>
            </w:hyperlink>
            <w:hyperlink w:anchor="i5c80dfb019174604901256f53369b6e8_16">
              <w:r>
                <w:rPr>
                  <w:rStyle w:val="InternetLink"/>
                  <w:rFonts w:ascii="Times New Roman;serif" w:hAnsi="Times New Roman;serif"/>
                  <w:b w:val="false"/>
                  <w:color w:val="000080"/>
                  <w:sz w:val="20"/>
                  <w:u w:val="single"/>
                </w:rPr>
                <w:t xml:space="preserve"> and six</w:t>
              </w:r>
            </w:hyperlink>
            <w:hyperlink w:anchor="i5c80dfb019174604901256f53369b6e8_16">
              <w:r>
                <w:rPr>
                  <w:rStyle w:val="InternetLink"/>
                  <w:rFonts w:ascii="Times New Roman;serif" w:hAnsi="Times New Roman;serif"/>
                  <w:b w:val="false"/>
                  <w:color w:val="000080"/>
                  <w:sz w:val="20"/>
                  <w:u w:val="single"/>
                </w:rPr>
                <w:t xml:space="preserve"> months ended </w:t>
              </w:r>
            </w:hyperlink>
            <w:hyperlink w:anchor="i5c80dfb019174604901256f53369b6e8_16">
              <w:r>
                <w:rPr>
                  <w:rStyle w:val="InternetLink"/>
                  <w:rFonts w:ascii="Times New Roman;serif" w:hAnsi="Times New Roman;serif"/>
                  <w:b w:val="false"/>
                  <w:color w:val="000080"/>
                  <w:sz w:val="20"/>
                  <w:u w:val="single"/>
                </w:rPr>
                <w:t>April 3</w:t>
              </w:r>
            </w:hyperlink>
            <w:hyperlink w:anchor="i5c80dfb019174604901256f53369b6e8_16">
              <w:r>
                <w:rPr>
                  <w:rStyle w:val="InternetLink"/>
                  <w:rFonts w:ascii="Times New Roman;serif" w:hAnsi="Times New Roman;serif"/>
                  <w:b w:val="false"/>
                  <w:color w:val="000080"/>
                  <w:sz w:val="20"/>
                  <w:u w:val="single"/>
                </w:rPr>
                <w:t xml:space="preserve">, 2026 and </w:t>
              </w:r>
            </w:hyperlink>
            <w:hyperlink w:anchor="i5c80dfb019174604901256f53369b6e8_16">
              <w:r>
                <w:rPr>
                  <w:rStyle w:val="InternetLink"/>
                  <w:rFonts w:ascii="Times New Roman;serif" w:hAnsi="Times New Roman;serif"/>
                  <w:b w:val="false"/>
                  <w:color w:val="000080"/>
                  <w:sz w:val="20"/>
                  <w:u w:val="single"/>
                </w:rPr>
                <w:t>March 28</w:t>
              </w:r>
            </w:hyperlink>
            <w:hyperlink w:anchor="i5c80dfb019174604901256f53369b6e8_16">
              <w:r>
                <w:rPr>
                  <w:rStyle w:val="InternetLink"/>
                  <w:rFonts w:ascii="Times New Roman;serif" w:hAnsi="Times New Roman;serif"/>
                  <w:b w:val="false"/>
                  <w:color w:val="000080"/>
                  <w:sz w:val="20"/>
                  <w:u w:val="single"/>
                </w:rPr>
                <w:t>, 202</w:t>
              </w:r>
            </w:hyperlink>
            <w:hyperlink w:anchor="i5c80dfb019174604901256f53369b6e8_16">
              <w:r>
                <w:rPr>
                  <w:rStyle w:val="InternetLink"/>
                  <w:rFonts w:ascii="Times New Roman;serif" w:hAnsi="Times New Roman;serif"/>
                  <w:b w:val="false"/>
                  <w:color w:val="000080"/>
                  <w:sz w:val="20"/>
                  <w:u w:val="single"/>
                </w:rPr>
                <w:t>5</w:t>
              </w:r>
            </w:hyperlink>
            <w:hyperlink w:anchor="i5c80dfb019174604901256f53369b6e8_16">
              <w:r>
                <w:rPr>
                  <w:rStyle w:val="InternetLink"/>
                  <w:rFonts w:ascii="Times New Roman;serif" w:hAnsi="Times New Roman;serif"/>
                  <w:b w:val="false"/>
                  <w:color w:val="000080"/>
                  <w:sz w:val="20"/>
                  <w:u w:val="single"/>
                </w:rPr>
                <w:t xml:space="preserve">; (iii) Condensed Consolidated Statements of Comprehensive Income for the three </w:t>
              </w:r>
            </w:hyperlink>
            <w:hyperlink w:anchor="i5c80dfb019174604901256f53369b6e8_16">
              <w:r>
                <w:rPr>
                  <w:rStyle w:val="InternetLink"/>
                  <w:rFonts w:ascii="Times New Roman;serif" w:hAnsi="Times New Roman;serif"/>
                  <w:b w:val="false"/>
                  <w:color w:val="000080"/>
                  <w:sz w:val="20"/>
                  <w:u w:val="single"/>
                </w:rPr>
                <w:t xml:space="preserve">and six </w:t>
              </w:r>
            </w:hyperlink>
            <w:hyperlink w:anchor="i5c80dfb019174604901256f53369b6e8_16">
              <w:r>
                <w:rPr>
                  <w:rStyle w:val="InternetLink"/>
                  <w:rFonts w:ascii="Times New Roman;serif" w:hAnsi="Times New Roman;serif"/>
                  <w:b w:val="false"/>
                  <w:color w:val="000080"/>
                  <w:sz w:val="20"/>
                  <w:u w:val="single"/>
                </w:rPr>
                <w:t xml:space="preserve">months ended </w:t>
              </w:r>
            </w:hyperlink>
            <w:hyperlink w:anchor="i5c80dfb019174604901256f53369b6e8_16">
              <w:r>
                <w:rPr>
                  <w:rStyle w:val="InternetLink"/>
                  <w:rFonts w:ascii="Times New Roman;serif" w:hAnsi="Times New Roman;serif"/>
                  <w:b w:val="false"/>
                  <w:color w:val="000080"/>
                  <w:sz w:val="20"/>
                  <w:u w:val="single"/>
                </w:rPr>
                <w:t>April 3</w:t>
              </w:r>
            </w:hyperlink>
            <w:hyperlink w:anchor="i5c80dfb019174604901256f53369b6e8_16">
              <w:r>
                <w:rPr>
                  <w:rStyle w:val="InternetLink"/>
                  <w:rFonts w:ascii="Times New Roman;serif" w:hAnsi="Times New Roman;serif"/>
                  <w:b w:val="false"/>
                  <w:color w:val="000080"/>
                  <w:sz w:val="20"/>
                  <w:u w:val="single"/>
                </w:rPr>
                <w:t xml:space="preserve">, 2026 and </w:t>
              </w:r>
            </w:hyperlink>
            <w:hyperlink w:anchor="i5c80dfb019174604901256f53369b6e8_16">
              <w:r>
                <w:rPr>
                  <w:rStyle w:val="InternetLink"/>
                  <w:rFonts w:ascii="Times New Roman;serif" w:hAnsi="Times New Roman;serif"/>
                  <w:b w:val="false"/>
                  <w:color w:val="000080"/>
                  <w:sz w:val="20"/>
                  <w:u w:val="single"/>
                </w:rPr>
                <w:t>March 28</w:t>
              </w:r>
            </w:hyperlink>
            <w:hyperlink w:anchor="i5c80dfb019174604901256f53369b6e8_16">
              <w:r>
                <w:rPr>
                  <w:rStyle w:val="InternetLink"/>
                  <w:rFonts w:ascii="Times New Roman;serif" w:hAnsi="Times New Roman;serif"/>
                  <w:b w:val="false"/>
                  <w:color w:val="000080"/>
                  <w:sz w:val="20"/>
                  <w:u w:val="single"/>
                </w:rPr>
                <w:t>, 202</w:t>
              </w:r>
            </w:hyperlink>
            <w:hyperlink w:anchor="i5c80dfb019174604901256f53369b6e8_16">
              <w:r>
                <w:rPr>
                  <w:rStyle w:val="InternetLink"/>
                  <w:rFonts w:ascii="Times New Roman;serif" w:hAnsi="Times New Roman;serif"/>
                  <w:b w:val="false"/>
                  <w:color w:val="000080"/>
                  <w:sz w:val="20"/>
                  <w:u w:val="single"/>
                </w:rPr>
                <w:t>5</w:t>
              </w:r>
            </w:hyperlink>
            <w:hyperlink w:anchor="i5c80dfb019174604901256f53369b6e8_16">
              <w:r>
                <w:rPr>
                  <w:rStyle w:val="InternetLink"/>
                  <w:rFonts w:ascii="Times New Roman;serif" w:hAnsi="Times New Roman;serif"/>
                  <w:b w:val="false"/>
                  <w:color w:val="000080"/>
                  <w:sz w:val="20"/>
                  <w:u w:val="single"/>
                </w:rPr>
                <w:t xml:space="preserve">; (iv) Condensed Consolidated Statements of Cash Flows for the </w:t>
              </w:r>
            </w:hyperlink>
            <w:hyperlink w:anchor="i5c80dfb019174604901256f53369b6e8_16">
              <w:r>
                <w:rPr>
                  <w:rStyle w:val="InternetLink"/>
                  <w:rFonts w:ascii="Times New Roman;serif" w:hAnsi="Times New Roman;serif"/>
                  <w:b w:val="false"/>
                  <w:color w:val="000080"/>
                  <w:sz w:val="20"/>
                  <w:u w:val="single"/>
                </w:rPr>
                <w:t>six</w:t>
              </w:r>
            </w:hyperlink>
            <w:hyperlink w:anchor="i5c80dfb019174604901256f53369b6e8_16">
              <w:r>
                <w:rPr>
                  <w:rStyle w:val="InternetLink"/>
                  <w:rFonts w:ascii="Times New Roman;serif" w:hAnsi="Times New Roman;serif"/>
                  <w:b w:val="false"/>
                  <w:color w:val="000080"/>
                  <w:sz w:val="20"/>
                  <w:u w:val="single"/>
                </w:rPr>
                <w:t xml:space="preserve"> months ended </w:t>
              </w:r>
            </w:hyperlink>
            <w:hyperlink w:anchor="i5c80dfb019174604901256f53369b6e8_16">
              <w:r>
                <w:rPr>
                  <w:rStyle w:val="InternetLink"/>
                  <w:rFonts w:ascii="Times New Roman;serif" w:hAnsi="Times New Roman;serif"/>
                  <w:b w:val="false"/>
                  <w:color w:val="000080"/>
                  <w:sz w:val="20"/>
                  <w:u w:val="single"/>
                </w:rPr>
                <w:t>April</w:t>
              </w:r>
            </w:hyperlink>
            <w:hyperlink w:anchor="i5c80dfb019174604901256f53369b6e8_16">
              <w:r>
                <w:rPr>
                  <w:rStyle w:val="InternetLink"/>
                  <w:rFonts w:ascii="Times New Roman;serif" w:hAnsi="Times New Roman;serif"/>
                  <w:b w:val="false"/>
                  <w:color w:val="000080"/>
                  <w:sz w:val="20"/>
                  <w:u w:val="single"/>
                </w:rPr>
                <w:t xml:space="preserve"> 3</w:t>
              </w:r>
            </w:hyperlink>
            <w:hyperlink w:anchor="i5c80dfb019174604901256f53369b6e8_16">
              <w:r>
                <w:rPr>
                  <w:rStyle w:val="InternetLink"/>
                  <w:rFonts w:ascii="Times New Roman;serif" w:hAnsi="Times New Roman;serif"/>
                  <w:b w:val="false"/>
                  <w:color w:val="000080"/>
                  <w:sz w:val="20"/>
                  <w:u w:val="single"/>
                </w:rPr>
                <w:t xml:space="preserve">, 2026 and </w:t>
              </w:r>
            </w:hyperlink>
            <w:hyperlink w:anchor="i5c80dfb019174604901256f53369b6e8_16">
              <w:r>
                <w:rPr>
                  <w:rStyle w:val="InternetLink"/>
                  <w:rFonts w:ascii="Times New Roman;serif" w:hAnsi="Times New Roman;serif"/>
                  <w:b w:val="false"/>
                  <w:color w:val="000080"/>
                  <w:sz w:val="20"/>
                  <w:u w:val="single"/>
                </w:rPr>
                <w:t>March 28</w:t>
              </w:r>
            </w:hyperlink>
            <w:hyperlink w:anchor="i5c80dfb019174604901256f53369b6e8_16">
              <w:r>
                <w:rPr>
                  <w:rStyle w:val="InternetLink"/>
                  <w:rFonts w:ascii="Times New Roman;serif" w:hAnsi="Times New Roman;serif"/>
                  <w:b w:val="false"/>
                  <w:color w:val="000080"/>
                  <w:sz w:val="20"/>
                  <w:u w:val="single"/>
                </w:rPr>
                <w:t>, 202</w:t>
              </w:r>
            </w:hyperlink>
            <w:hyperlink w:anchor="i5c80dfb019174604901256f53369b6e8_16">
              <w:r>
                <w:rPr>
                  <w:rStyle w:val="InternetLink"/>
                  <w:rFonts w:ascii="Times New Roman;serif" w:hAnsi="Times New Roman;serif"/>
                  <w:b w:val="false"/>
                  <w:color w:val="000080"/>
                  <w:sz w:val="20"/>
                  <w:u w:val="single"/>
                </w:rPr>
                <w:t>5</w:t>
              </w:r>
            </w:hyperlink>
            <w:hyperlink w:anchor="i5c80dfb019174604901256f53369b6e8_16">
              <w:r>
                <w:rPr>
                  <w:rStyle w:val="InternetLink"/>
                  <w:rFonts w:ascii="Times New Roman;serif" w:hAnsi="Times New Roman;serif"/>
                  <w:b w:val="false"/>
                  <w:color w:val="000080"/>
                  <w:sz w:val="20"/>
                  <w:u w:val="single"/>
                </w:rPr>
                <w:t>; (v) Condensed Consolidated Statements of Stockholders' Equity for the three</w:t>
              </w:r>
            </w:hyperlink>
            <w:hyperlink w:anchor="i5c80dfb019174604901256f53369b6e8_16">
              <w:r>
                <w:rPr>
                  <w:rStyle w:val="InternetLink"/>
                  <w:rFonts w:ascii="Times New Roman;serif" w:hAnsi="Times New Roman;serif"/>
                  <w:b w:val="false"/>
                  <w:color w:val="000080"/>
                  <w:sz w:val="20"/>
                  <w:u w:val="single"/>
                </w:rPr>
                <w:t xml:space="preserve"> and six</w:t>
              </w:r>
            </w:hyperlink>
            <w:hyperlink w:anchor="i5c80dfb019174604901256f53369b6e8_16">
              <w:r>
                <w:rPr>
                  <w:rStyle w:val="InternetLink"/>
                  <w:rFonts w:ascii="Times New Roman;serif" w:hAnsi="Times New Roman;serif"/>
                  <w:b w:val="false"/>
                  <w:color w:val="000080"/>
                  <w:sz w:val="20"/>
                  <w:u w:val="single"/>
                </w:rPr>
                <w:t xml:space="preserve"> months ended </w:t>
              </w:r>
            </w:hyperlink>
            <w:hyperlink w:anchor="i5c80dfb019174604901256f53369b6e8_16">
              <w:r>
                <w:rPr>
                  <w:rStyle w:val="InternetLink"/>
                  <w:rFonts w:ascii="Times New Roman;serif" w:hAnsi="Times New Roman;serif"/>
                  <w:b w:val="false"/>
                  <w:color w:val="000080"/>
                  <w:sz w:val="20"/>
                  <w:u w:val="single"/>
                </w:rPr>
                <w:t>April 3</w:t>
              </w:r>
            </w:hyperlink>
            <w:hyperlink w:anchor="i5c80dfb019174604901256f53369b6e8_16">
              <w:r>
                <w:rPr>
                  <w:rStyle w:val="InternetLink"/>
                  <w:rFonts w:ascii="Times New Roman;serif" w:hAnsi="Times New Roman;serif"/>
                  <w:b w:val="false"/>
                  <w:color w:val="000080"/>
                  <w:sz w:val="20"/>
                  <w:u w:val="single"/>
                </w:rPr>
                <w:t xml:space="preserve">, 2026 and </w:t>
              </w:r>
            </w:hyperlink>
            <w:hyperlink w:anchor="i5c80dfb019174604901256f53369b6e8_16">
              <w:r>
                <w:rPr>
                  <w:rStyle w:val="InternetLink"/>
                  <w:rFonts w:ascii="Times New Roman;serif" w:hAnsi="Times New Roman;serif"/>
                  <w:b w:val="false"/>
                  <w:color w:val="000080"/>
                  <w:sz w:val="20"/>
                  <w:u w:val="single"/>
                </w:rPr>
                <w:t>March 28</w:t>
              </w:r>
            </w:hyperlink>
            <w:hyperlink w:anchor="i5c80dfb019174604901256f53369b6e8_16">
              <w:r>
                <w:rPr>
                  <w:rStyle w:val="InternetLink"/>
                  <w:rFonts w:ascii="Times New Roman;serif" w:hAnsi="Times New Roman;serif"/>
                  <w:b w:val="false"/>
                  <w:color w:val="000080"/>
                  <w:sz w:val="20"/>
                  <w:u w:val="single"/>
                </w:rPr>
                <w:t>, 202</w:t>
              </w:r>
            </w:hyperlink>
            <w:hyperlink w:anchor="i5c80dfb019174604901256f53369b6e8_16">
              <w:r>
                <w:rPr>
                  <w:rStyle w:val="InternetLink"/>
                  <w:rFonts w:ascii="Times New Roman;serif" w:hAnsi="Times New Roman;serif"/>
                  <w:b w:val="false"/>
                  <w:color w:val="000080"/>
                  <w:sz w:val="20"/>
                  <w:u w:val="single"/>
                </w:rPr>
                <w:t>5</w:t>
              </w:r>
            </w:hyperlink>
            <w:hyperlink w:anchor="i5c80dfb019174604901256f53369b6e8_16">
              <w:r>
                <w:rPr>
                  <w:rStyle w:val="InternetLink"/>
                  <w:rFonts w:ascii="Times New Roman;serif" w:hAnsi="Times New Roman;serif"/>
                  <w:b w:val="false"/>
                  <w:color w:val="000080"/>
                  <w:sz w:val="20"/>
                  <w:u w:val="single"/>
                </w:rPr>
                <w:t>; and (vi) Notes to condensed consolidated financial statements.</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Quarterly Report on Form 10-Q; included in Exhibit 101 Inline XBRL document set.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Identifies exhibits that consist of management contract or compensatory arrangement.</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XBRL instance document does not appear in the interactive data file because the XBRL tags are embedded within the inline XBRL document.</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Aramark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RESTRICTED STOCK UNIT AWARD</w:t>
        <w:br/>
        <w:t>(CLIFF VESTING ELT VERSION)</w:t>
      </w:r>
    </w:p>
    <w:p>
      <w:pPr>
        <w:pStyle w:val="TextBody"/>
        <w:bidi w:val="0"/>
        <w:spacing w:lineRule="auto" w:line="240" w:before="0" w:after="240"/>
        <w:ind w:left="0" w:right="0" w:hanging="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RSUs</w:t>
      </w:r>
      <w:r>
        <w:rPr>
          <w:rFonts w:ascii="Times New Roman;serif" w:hAnsi="Times New Roman;serif"/>
          <w:b w:val="false"/>
          <w:color w:val="000000"/>
          <w:sz w:val="24"/>
        </w:rPr>
        <w:t>. Aramark (formerly known as Aramark Holdings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hereby grants the number of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set forth on the Certificate of Grant of the Restricted Stock Units attached to this Award and made a part hereof (the “</w:t>
      </w:r>
      <w:r>
        <w:rPr>
          <w:rFonts w:ascii="Times New Roman;serif" w:hAnsi="Times New Roman;serif"/>
          <w:b w:val="false"/>
          <w:color w:val="000000"/>
          <w:sz w:val="24"/>
          <w:u w:val="single"/>
        </w:rPr>
        <w:t>Certificate of Grant</w:t>
      </w:r>
      <w:r>
        <w:rPr>
          <w:color w:val="000000"/>
        </w:rPr>
        <w:t>”</w:t>
      </w:r>
      <w:r>
        <w:rPr>
          <w:rFonts w:ascii="Times New Roman;serif" w:hAnsi="Times New Roman;serif"/>
          <w:b w:val="false"/>
          <w:color w:val="000000"/>
          <w:sz w:val="24"/>
        </w:rPr>
        <w:t>) to the Participant, on the terms and conditions hereinafter set forth. This grant is made pursuant to the terms of the Company 2023 Stock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which Plan, as amended from time to time, is incorporated herein by reference and made a part of this Award. Each RSU represents the unfunded, unsecured right of the Participant to receive a share of Common Stock, (as specified below) of the Company (each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on the dates specified herein. Capitalized terms not otherwise defined herein shall have the same meanings as in the Plan and the Certificate of Grant.</w:t>
      </w:r>
    </w:p>
    <w:p>
      <w:pPr>
        <w:pStyle w:val="TextBody"/>
        <w:bidi w:val="0"/>
        <w:spacing w:lineRule="auto" w:line="240" w:before="0" w:after="240"/>
        <w:ind w:left="0" w:right="0" w:hanging="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Payment of Shares</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10000"/>
          <w:sz w:val="24"/>
        </w:rPr>
        <w:t>(a)</w:t>
      </w:r>
      <w:r>
        <w:rPr>
          <w:rFonts w:ascii="Times New Roman;serif" w:hAnsi="Times New Roman;serif"/>
          <w:b w:val="false"/>
          <w:color w:val="000000"/>
          <w:sz w:val="24"/>
        </w:rPr>
        <w:t>The Company shall, subject to the remainder of this Award, transfer to the Participant a number of Shares of the Company equal to the number of RSUs granted to the Participant under this Award at such time as the Participant becomes vested in the right to such transfer (x) as of the Vesting Date, so long as the Participant remains employed with the Company or any of its Affiliates through the Vesting Date, or (y) as otherwise provided in Section 2(c) or (d) below (in whole Shares only with the Participant receiving a cash payment equal to the Fair Market Value of any fractional Share on or about the transfer date).</w:t>
      </w:r>
    </w:p>
    <w:p>
      <w:pPr>
        <w:pStyle w:val="TextBody"/>
        <w:bidi w:val="0"/>
        <w:spacing w:lineRule="auto" w:line="240" w:before="0" w:after="240"/>
        <w:ind w:left="0" w:right="0" w:hanging="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As used herein, the following terms shall have the meanings set forth below:</w:t>
      </w:r>
    </w:p>
    <w:p>
      <w:pPr>
        <w:pStyle w:val="TextBody"/>
        <w:bidi w:val="0"/>
        <w:spacing w:lineRule="auto" w:line="240" w:before="0" w:after="240"/>
        <w:ind w:left="0" w:right="0" w:hanging="720"/>
        <w:jc w:val="both"/>
        <w:rPr/>
      </w:pPr>
      <w:r>
        <w:rPr>
          <w:rFonts w:ascii="Times New Roman;serif" w:hAnsi="Times New Roman;serif"/>
          <w:b w:val="false"/>
          <w:color w:val="010000"/>
          <w:sz w:val="24"/>
        </w:rPr>
        <w:t>(i)</w:t>
      </w:r>
      <w:r>
        <w:rPr>
          <w:color w:val="000000"/>
        </w:rPr>
        <w:t>“</w:t>
      </w:r>
      <w:r>
        <w:rPr>
          <w:rFonts w:ascii="Times New Roman;serif" w:hAnsi="Times New Roman;serif"/>
          <w:b w:val="false"/>
          <w:color w:val="000000"/>
          <w:sz w:val="24"/>
          <w:u w:val="single"/>
        </w:rPr>
        <w:t>Succession Date</w:t>
      </w:r>
      <w:r>
        <w:rPr>
          <w:color w:val="000000"/>
        </w:rPr>
        <w:t xml:space="preserve">” </w:t>
      </w:r>
      <w:r>
        <w:rPr>
          <w:rFonts w:ascii="Times New Roman;serif" w:hAnsi="Times New Roman;serif"/>
          <w:b w:val="false"/>
          <w:color w:val="000000"/>
          <w:sz w:val="24"/>
        </w:rPr>
        <w:t>means the date upon which a Successor CEO commences active employment with the Company.</w:t>
      </w:r>
    </w:p>
    <w:p>
      <w:pPr>
        <w:pStyle w:val="TextBody"/>
        <w:bidi w:val="0"/>
        <w:spacing w:lineRule="auto" w:line="240" w:before="0" w:after="240"/>
        <w:ind w:left="0" w:right="0" w:hanging="720"/>
        <w:jc w:val="both"/>
        <w:rPr/>
      </w:pPr>
      <w:r>
        <w:rPr>
          <w:rFonts w:ascii="Times New Roman;serif" w:hAnsi="Times New Roman;serif"/>
          <w:b w:val="false"/>
          <w:color w:val="010000"/>
          <w:sz w:val="24"/>
        </w:rPr>
        <w:t>(ii)</w:t>
      </w:r>
      <w:r>
        <w:rPr>
          <w:color w:val="000000"/>
        </w:rPr>
        <w:t>“</w:t>
      </w:r>
      <w:r>
        <w:rPr>
          <w:rFonts w:ascii="Times New Roman;serif" w:hAnsi="Times New Roman;serif"/>
          <w:b w:val="false"/>
          <w:color w:val="000000"/>
          <w:sz w:val="24"/>
          <w:u w:val="single"/>
        </w:rPr>
        <w:t>Successor CEO</w:t>
      </w:r>
      <w:r>
        <w:rPr>
          <w:color w:val="000000"/>
        </w:rPr>
        <w:t xml:space="preserve">” </w:t>
      </w:r>
      <w:r>
        <w:rPr>
          <w:rFonts w:ascii="Times New Roman;serif" w:hAnsi="Times New Roman;serif"/>
          <w:b w:val="false"/>
          <w:color w:val="000000"/>
          <w:sz w:val="24"/>
        </w:rPr>
        <w:t>means the individual who is appointed by the Board to replace the Company’s current CEO as the Company’s permanent (non-interim) Chief Executive Officer.</w:t>
      </w:r>
    </w:p>
    <w:p>
      <w:pPr>
        <w:pStyle w:val="TextBody"/>
        <w:bidi w:val="0"/>
        <w:spacing w:lineRule="auto" w:line="240" w:before="0" w:after="240"/>
        <w:ind w:left="0" w:right="0" w:hanging="720"/>
        <w:jc w:val="both"/>
        <w:rPr/>
      </w:pPr>
      <w:r>
        <w:rPr>
          <w:rFonts w:ascii="Times New Roman;serif" w:hAnsi="Times New Roman;serif"/>
          <w:b w:val="false"/>
          <w:color w:val="010000"/>
          <w:sz w:val="24"/>
        </w:rPr>
        <w:t>(iii)</w:t>
      </w:r>
      <w:r>
        <w:rPr>
          <w:color w:val="000000"/>
        </w:rPr>
        <w:t>“</w:t>
      </w:r>
      <w:r>
        <w:rPr>
          <w:rFonts w:ascii="Times New Roman;serif" w:hAnsi="Times New Roman;serif"/>
          <w:b w:val="false"/>
          <w:color w:val="000000"/>
          <w:sz w:val="24"/>
          <w:u w:val="single"/>
        </w:rPr>
        <w:t>Vesting Date</w:t>
      </w:r>
      <w:r>
        <w:rPr>
          <w:color w:val="000000"/>
        </w:rPr>
        <w:t xml:space="preserve">” </w:t>
      </w:r>
      <w:r>
        <w:rPr>
          <w:rFonts w:ascii="Times New Roman;serif" w:hAnsi="Times New Roman;serif"/>
          <w:b w:val="false"/>
          <w:color w:val="000000"/>
          <w:sz w:val="24"/>
        </w:rPr>
        <w:t>means the earlier to occur of (x) the third anniversary of the Date of Grant or (y) the date that is 6 months following the Succession Date (or such earlier date following the Succession Date as may be determined by the Board in its sole discretion).</w:t>
      </w:r>
    </w:p>
    <w:p>
      <w:pPr>
        <w:pStyle w:val="TextBody"/>
        <w:bidi w:val="0"/>
        <w:spacing w:lineRule="auto" w:line="240" w:before="0" w:after="240"/>
        <w:ind w:left="0" w:right="0" w:hanging="720"/>
        <w:jc w:val="both"/>
        <w:rPr/>
      </w:pPr>
      <w:r>
        <w:rPr>
          <w:rFonts w:ascii="Times New Roman;serif" w:hAnsi="Times New Roman;serif"/>
          <w:b w:val="false"/>
          <w:color w:val="010000"/>
          <w:sz w:val="24"/>
        </w:rPr>
        <w:t>(c)</w:t>
      </w:r>
      <w:r>
        <w:rPr>
          <w:rFonts w:ascii="Times New Roman;serif" w:hAnsi="Times New Roman;serif"/>
          <w:b w:val="false"/>
          <w:color w:val="000000"/>
          <w:sz w:val="24"/>
        </w:rPr>
        <w:t>Notwithstanding Section 2(a) of this Award,</w:t>
      </w:r>
    </w:p>
    <w:p>
      <w:pPr>
        <w:pStyle w:val="TextBody"/>
        <w:bidi w:val="0"/>
        <w:spacing w:lineRule="auto" w:line="240" w:before="0" w:after="240"/>
        <w:ind w:left="0" w:right="0" w:hanging="720"/>
        <w:jc w:val="both"/>
        <w:rPr/>
      </w:pPr>
      <w:r>
        <w:rPr>
          <w:rFonts w:ascii="Times New Roman;serif" w:hAnsi="Times New Roman;serif"/>
          <w:b w:val="false"/>
          <w:color w:val="010000"/>
          <w:sz w:val="24"/>
        </w:rPr>
        <w:t>(i)</w:t>
      </w:r>
      <w:r>
        <w:rPr>
          <w:rFonts w:ascii="Times New Roman;serif" w:hAnsi="Times New Roman;serif"/>
          <w:b w:val="false"/>
          <w:color w:val="000000"/>
          <w:sz w:val="24"/>
        </w:rPr>
        <w:t>upon the Participant’s death or Disability while the RSUs remain outstanding, any previously unvested RSUs shall immediately become vested RSUs pursuant to which Shares equal to the number of RSUs which become vested in accordance with this clause (i) shall be transferred;</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10000"/>
          <w:sz w:val="24"/>
        </w:rPr>
        <w:t>(ii)</w:t>
      </w:r>
      <w:r>
        <w:rPr>
          <w:rFonts w:ascii="Times New Roman;serif" w:hAnsi="Times New Roman;serif"/>
          <w:b w:val="false"/>
          <w:color w:val="000000"/>
          <w:sz w:val="24"/>
        </w:rPr>
        <w:t>upon the Participant’s Termination of Relationship by the Company without Cause that occurs on or after the Succession Date and while the RSUs remain outstanding, any previously unvested RSUs shall immediately become vested RSUs pursuant to which Shares equal to the number of RSUs which become vested in accordance with this clause (ii) shall be transferred; and</w:t>
      </w:r>
    </w:p>
    <w:p>
      <w:pPr>
        <w:pStyle w:val="TextBody"/>
        <w:bidi w:val="0"/>
        <w:spacing w:lineRule="auto" w:line="240" w:before="0" w:after="240"/>
        <w:ind w:left="0" w:right="0" w:hanging="720"/>
        <w:jc w:val="both"/>
        <w:rPr/>
      </w:pPr>
      <w:r>
        <w:rPr>
          <w:rFonts w:ascii="Times New Roman;serif" w:hAnsi="Times New Roman;serif"/>
          <w:b w:val="false"/>
          <w:color w:val="010000"/>
          <w:sz w:val="24"/>
        </w:rPr>
        <w:t>(iii)</w:t>
      </w:r>
      <w:r>
        <w:rPr>
          <w:rFonts w:ascii="Times New Roman;serif" w:hAnsi="Times New Roman;serif"/>
          <w:b w:val="false"/>
          <w:color w:val="000000"/>
          <w:sz w:val="24"/>
        </w:rPr>
        <w:t>upon a Termination of Relationship for any reason other than as set forth in clauses (i) and (ii) above prior to the Vesting Date, all outstanding RSUs shall be forfeited and immediately cancelled.</w:t>
      </w:r>
    </w:p>
    <w:p>
      <w:pPr>
        <w:pStyle w:val="TextBody"/>
        <w:bidi w:val="0"/>
        <w:spacing w:lineRule="auto" w:line="240" w:before="0" w:after="240"/>
        <w:ind w:left="0" w:right="0" w:hanging="72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Also notwithstanding Section 2(a) or (c) of this Award, in the event of (i) the occurrence of a Change of Control and (ii) thereafter, a Termination of Relationship of the Participant by the Company or any of its Affiliates (or successors in interest) without Cause or by the Participant for Good Reason that occurs prior to the second anniversary of the date of such Change of Control, then all then outstanding RSUs shall become vested and the number of Shares equal to all such outstanding RSUs hereunder shall be distributed to the Participant, in each case, as soon as practicable following the date of such Termination of Relationship;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Committee may determine that, in lieu of Shares and/or fractional Shares, the Participant shall receive a cash payment equal to the Fair Market Value of such Shares (or fractional Shares, as the case may be) on the Change of Control.</w:t>
      </w:r>
    </w:p>
    <w:p>
      <w:pPr>
        <w:pStyle w:val="TextBody"/>
        <w:bidi w:val="0"/>
        <w:spacing w:lineRule="auto" w:line="240" w:before="0" w:after="240"/>
        <w:ind w:left="0" w:right="0" w:hanging="720"/>
        <w:jc w:val="both"/>
        <w:rPr/>
      </w:pPr>
      <w:r>
        <w:rPr>
          <w:rFonts w:ascii="Times New Roman;serif" w:hAnsi="Times New Roman;serif"/>
          <w:b w:val="false"/>
          <w:color w:val="010000"/>
          <w:sz w:val="24"/>
        </w:rPr>
        <w:t>(e)</w:t>
      </w:r>
      <w:r>
        <w:rPr>
          <w:rFonts w:ascii="Times New Roman;serif" w:hAnsi="Times New Roman;serif"/>
          <w:b w:val="false"/>
          <w:color w:val="000000"/>
          <w:sz w:val="24"/>
        </w:rPr>
        <w:t>Upon each vesting event of any RSUs and the corresponding transfer of Shares as a result thereof, in each case in accordance with Sections 2(a), 2(c) or 2(d) of this Award, as applicable, the RSUs with respect to which Shares have been transferred hereunder shall be extinguished on the relevant transfer dates.</w:t>
      </w:r>
    </w:p>
    <w:p>
      <w:pPr>
        <w:pStyle w:val="TextBody"/>
        <w:bidi w:val="0"/>
        <w:spacing w:lineRule="auto" w:line="240" w:before="0" w:after="24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Dividends</w:t>
      </w:r>
      <w:r>
        <w:rPr>
          <w:rFonts w:ascii="Times New Roman;serif" w:hAnsi="Times New Roman;serif"/>
          <w:b w:val="false"/>
          <w:color w:val="000000"/>
          <w:sz w:val="24"/>
        </w:rPr>
        <w:t>. If on any date while RSUs are outstanding hereunder, the Company shall pay any dividend on the Shares (other than a dividend payable in Shares), the number of RSUs granted to the Participant shall, as of such dividend payment date, be increased by a number of RSUs equal to: (a) the product of (x) the number of RSUs held by the Participant as of the related dividend record date, multiplied by (y) a dollar amount equal to the per Share amount of any cash dividend (or, in the case of any dividend payable in whole or in part other than in cash or Shares, the per Share value of such dividend, as determined in good faith by the Committee), divided by (b) the Fair Market Value of a Share on the payment date of such dividend. In the case of any dividend declared on Shares that is payable in the form of Shares, the number of RSUs granted to the Participant shall be increased by a number equal to the product of (I) the aggregate number of RSUs that have been held by the Participant through the related dividend record date, multiplied by (II) the number of Shares (including any fraction thereof) payable as a dividend on a Share. Shares shall be transferred with respect to all additional RSUs granted pursuant to this Section 3 at the same time as Shares are transferred with respect to the RSUs to which such additional RSUs were attributable.</w:t>
      </w:r>
    </w:p>
    <w:p>
      <w:pPr>
        <w:pStyle w:val="TextBody"/>
        <w:bidi w:val="0"/>
        <w:spacing w:lineRule="auto" w:line="240" w:before="0" w:after="24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Adjustments Upon Certain Events</w:t>
      </w:r>
      <w:r>
        <w:rPr>
          <w:rFonts w:ascii="Times New Roman;serif" w:hAnsi="Times New Roman;serif"/>
          <w:b w:val="false"/>
          <w:color w:val="000000"/>
          <w:sz w:val="24"/>
        </w:rPr>
        <w:t>. In the event of any event described in Section 12 of the Plan occurring after the Date of Grant, the adjustment provisions (including cash payments) as provided for under Section 12 of the Plan shall apply.</w:t>
      </w:r>
    </w:p>
    <w:p>
      <w:pPr>
        <w:pStyle w:val="TextBody"/>
        <w:bidi w:val="0"/>
        <w:spacing w:lineRule="auto" w:line="240" w:before="0" w:after="24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Restriction on Transfer</w:t>
      </w:r>
      <w:r>
        <w:rPr>
          <w:rFonts w:ascii="Times New Roman;serif" w:hAnsi="Times New Roman;serif"/>
          <w:b w:val="false"/>
          <w:color w:val="000000"/>
          <w:sz w:val="24"/>
        </w:rPr>
        <w:t xml:space="preserve">. The RSUs may not be transferred, pledged, assigned, hypothecated or otherwise disposed of in any way by the Participant, except (i) if permitted by the Board or the Committee, (ii) by will or the laws of descent and distribution or (iii) pursuant to beneficiary designation procedures approved by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in each case in compliance with applicable laws. The RSUs shall not be subject to execution, attachment or similar process. Any attempted assignment, transfer, pledge, hypothecation or other disposition of the RSUs contrary to the provisions of this Award or the Plan shall be null and void and without effect.</w:t>
      </w:r>
    </w:p>
    <w:p>
      <w:pPr>
        <w:pStyle w:val="TextBody"/>
        <w:bidi w:val="0"/>
        <w:spacing w:lineRule="auto" w:line="240" w:before="0" w:after="240"/>
        <w:ind w:left="0" w:right="0" w:hanging="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xml:space="preserve">. By accepting this Award, the Participant understands that the processing (including international transfer) of personal data will take place as set out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for the purposes specified therein and if required by applicable law, rule or regulation.</w:t>
      </w:r>
    </w:p>
    <w:p>
      <w:pPr>
        <w:pStyle w:val="TextBody"/>
        <w:bidi w:val="0"/>
        <w:spacing w:lineRule="auto" w:line="240" w:before="0" w:after="24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Participant’s Employment</w:t>
      </w:r>
      <w:r>
        <w:rPr>
          <w:rFonts w:ascii="Times New Roman;serif" w:hAnsi="Times New Roman;serif"/>
          <w:b w:val="false"/>
          <w:color w:val="000000"/>
          <w:sz w:val="24"/>
        </w:rPr>
        <w:t>. Nothing in this Award or in the RSU shall confer upon the Participant any right to continue in the employ of the Company or any of its Affiliates or interfere in any way with the right of the Company and its Affiliates, in their sole discretion, to terminate the Participant’s employment or to increase or decrease the Participant’s compensation at any time.</w:t>
      </w:r>
    </w:p>
    <w:p>
      <w:pPr>
        <w:pStyle w:val="TextBody"/>
        <w:bidi w:val="0"/>
        <w:spacing w:lineRule="auto" w:line="240" w:before="0" w:after="240"/>
        <w:ind w:left="0" w:right="0" w:hanging="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Acquired Rights</w:t>
      </w:r>
      <w:r>
        <w:rPr>
          <w:rFonts w:ascii="Times New Roman;serif" w:hAnsi="Times New Roman;serif"/>
          <w:b w:val="false"/>
          <w:color w:val="000000"/>
          <w:sz w:val="24"/>
        </w:rPr>
        <w:t>. The Committee or the Board has the power to amend or terminate the Plan at any time and the opportunity given to the Participant to participate in the Plan and the grant of this Award is entirely at the discretion of the Committee or the Board and does not obligate the Company or any of its Affiliates to offer such participation in the future (whether on the same or different terms). The Participant’s participation in the Plan and the receipt of this Award is outside the terms of the Participant’s regular contract of employment and is therefore not to be considered part of any normal or expected compensation and that the termination of the Participant’s employment under any circumstances whatsoever will give the Participant no claim or right of action against the Company or its Affiliates in respect of any loss of rights under this Award or the Plan that may arise as a result of such termination of employment.</w:t>
      </w:r>
    </w:p>
    <w:p>
      <w:pPr>
        <w:pStyle w:val="TextBody"/>
        <w:bidi w:val="0"/>
        <w:spacing w:lineRule="auto" w:line="240" w:before="0" w:after="240"/>
        <w:ind w:left="0" w:right="0" w:hanging="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Rights of a Stockholder</w:t>
      </w:r>
      <w:r>
        <w:rPr>
          <w:rFonts w:ascii="Times New Roman;serif" w:hAnsi="Times New Roman;serif"/>
          <w:b w:val="false"/>
          <w:color w:val="000000"/>
          <w:sz w:val="24"/>
        </w:rPr>
        <w:t>. The Participant shall not have any rights as a stockholder of the Company until the Shares in question have been registered in the Company’s register of stockholders.</w:t>
      </w:r>
    </w:p>
    <w:p>
      <w:pPr>
        <w:pStyle w:val="TextBody"/>
        <w:bidi w:val="0"/>
        <w:spacing w:lineRule="auto" w:line="240" w:before="0" w:after="240"/>
        <w:ind w:left="0" w:right="0" w:hanging="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Withholding</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10000"/>
          <w:sz w:val="24"/>
        </w:rPr>
        <w:t>(a)</w:t>
      </w:r>
      <w:r>
        <w:rPr>
          <w:rFonts w:ascii="Times New Roman;serif" w:hAnsi="Times New Roman;serif"/>
          <w:b w:val="false"/>
          <w:color w:val="000000"/>
          <w:sz w:val="24"/>
        </w:rPr>
        <w:t>The Participant will pay, or make provisions satisfactory to the Company for payment of any federal, state, local and other applicable taxes required to be withheld in connection with any issuance or transfer of Shares under this Award and to take such action as may be necessary in the opinion of the Company to satisfy all obligations for the payment of such taxes. If Participant has not made payment for applicable taxes, such taxes shall be paid by withholding Shares from the issuance or transfer of Shares due under this Award, and the Company and any such Affiliate is hereby authorized to withhold such amounts from any such issuance, transfer, compensation or other amount owing to the Participant.</w:t>
      </w:r>
    </w:p>
    <w:p>
      <w:pPr>
        <w:pStyle w:val="TextBody"/>
        <w:bidi w:val="0"/>
        <w:spacing w:lineRule="auto" w:line="240" w:before="0" w:after="240"/>
        <w:ind w:left="0" w:right="0" w:hanging="720"/>
        <w:jc w:val="both"/>
        <w:rPr/>
      </w:pPr>
      <w:r>
        <w:rPr>
          <w:rFonts w:ascii="Times New Roman;serif" w:hAnsi="Times New Roman;serif"/>
          <w:b w:val="false"/>
          <w:color w:val="010000"/>
          <w:sz w:val="24"/>
        </w:rPr>
        <w:t>(b)</w:t>
      </w:r>
      <w:r>
        <w:rPr>
          <w:rFonts w:ascii="Times New Roman;serif" w:hAnsi="Times New Roman;serif"/>
          <w:b w:val="false"/>
          <w:color w:val="000000"/>
          <w:sz w:val="24"/>
        </w:rPr>
        <w:t>If the Participant’s employment with the Company terminates prior to the issuance or transfer of any remaining Shares due to be issued or transferred to the Participant under this Award, the payment of any applicable withholding taxes with respect to any such issuance or transfer shall be made through the withholding of Shares from such issuance or transfer, rounded down to the nearest whole Share, with the balance to be paid in cash or withheld from compensation or other amount owing to the Participant from the Company or any Affiliate, as provided in Section 10(a) above.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Section 409A of the Code</w:t>
      </w:r>
      <w:r>
        <w:rPr>
          <w:rFonts w:ascii="Times New Roman;serif" w:hAnsi="Times New Roman;serif"/>
          <w:b w:val="false"/>
          <w:color w:val="000000"/>
          <w:sz w:val="24"/>
        </w:rPr>
        <w:t>. The provisions of Section 15(u) of the Plan are hereby incorporated by reference and made a part hereof.</w:t>
      </w:r>
    </w:p>
    <w:p>
      <w:pPr>
        <w:pStyle w:val="TextBody"/>
        <w:bidi w:val="0"/>
        <w:spacing w:lineRule="auto" w:line="240" w:before="0" w:after="240"/>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RSUs Subject to Plan</w:t>
      </w:r>
      <w:r>
        <w:rPr>
          <w:rFonts w:ascii="Times New Roman;serif" w:hAnsi="Times New Roman;serif"/>
          <w:b w:val="false"/>
          <w:color w:val="000000"/>
          <w:sz w:val="24"/>
        </w:rPr>
        <w:t>. All RSUs are subject to the Plan. In the event of a conflict between any term or provision contained herein and a term or provision of the Plan, the applicable terms and provisions of the Plan will govern and prevail.</w:t>
      </w:r>
    </w:p>
    <w:p>
      <w:pPr>
        <w:pStyle w:val="TextBody"/>
        <w:bidi w:val="0"/>
        <w:spacing w:lineRule="auto" w:line="240" w:before="0" w:after="240"/>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claims, certifications, requests, demands and other communications hereunder shall be in writing and shall be deemed to have been duly given and delivered if personally delivered or if sent by nationally-recognized overnight courier, by telecopy, email or by registered or certified mail, return receipt requested and postage prepaid, addressed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Company, to it at: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Aramark</w:t>
        <w:br/>
        <w:t>2400 Market Street</w:t>
        <w:br/>
        <w:t xml:space="preserve">Philadelphia, Pennsylvania 19103 </w:t>
        <w:br/>
        <w:t>Attention: General Counsel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Participant, to him or her at the address set forth on the signature page hereto; or to such other address as the party to whom notice is to be given may have furnished to the other party in writing in accordance herewith. Any such notice or other communication shall be deemed to have been received (a) in the case of personal delivery, on the date of such delivery (or if such date is not a business day, on the next business day after the date of delivery), (b) in the case of nationally-recognized overnight courier, on the next business day after the date sent, (c) in the case of telecopy transmission, when received (or if not sent on a business day, on the next business day after the date sent), and (d) in the case of mailing, on the third business day following that on which the piece of mail containing such communication is posted.</w:t>
      </w:r>
    </w:p>
    <w:p>
      <w:pPr>
        <w:pStyle w:val="TextBody"/>
        <w:bidi w:val="0"/>
        <w:spacing w:lineRule="auto" w:line="240" w:before="0" w:after="240"/>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Waiver of Breach</w:t>
      </w:r>
      <w:r>
        <w:rPr>
          <w:rFonts w:ascii="Times New Roman;serif" w:hAnsi="Times New Roman;serif"/>
          <w:b w:val="false"/>
          <w:color w:val="000000"/>
          <w:sz w:val="24"/>
        </w:rPr>
        <w:t>. The waiver by either party of a breach of any provision of this Award must be in writing and shall not operate or be construed as a waiver of any other or subsequent breach.</w:t>
      </w:r>
    </w:p>
    <w:p>
      <w:pPr>
        <w:pStyle w:val="TextBody"/>
        <w:bidi w:val="0"/>
        <w:spacing w:lineRule="auto" w:line="240" w:before="0" w:after="240"/>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THIS AWARD WILL BE GOVERNED BY AND CONSTRUED IN ACCORDANCE WITH THE LAWS OF THE STATE OF NEW YORK, WITHOUT GIVING EFFECT TO ANY CHOICE OR CONFLICT OF LAW PROVISION OR RULE (WHETHER OF THE STATE OF NEW YORK OR ANY OTHER JURISDICTION) THAT WOULD CAUSE THE LAWS OF ANY JURISDICTION OTHER THAN THE STATE OF NEW YORK TO BE APPLIED. IN FURTHERANCE OF THE FOREGOING, THE INTERNAL LAW OF THE STATE OF NEW YORK WILL CONTROL THE INTERPRETATION AND CONSTRUCTION OF THIS AWARD, EVEN IF UNDER SUCH JURISDICTION’S CHOICE OF LAW OR CONFLICT OF LAW ANALYSIS, THE SUBSTANTIVE LAW OF SOME OTHER JURISDICTION WOULD ORDINARILY APPLY.</w:t>
      </w:r>
    </w:p>
    <w:p>
      <w:pPr>
        <w:pStyle w:val="TextBody"/>
        <w:bidi w:val="0"/>
        <w:spacing w:lineRule="auto" w:line="240" w:before="0" w:after="240"/>
        <w:ind w:left="0" w:right="0" w:hanging="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 xml:space="preserve">Modification of Rights; Entire Agreement. </w:t>
      </w:r>
      <w:r>
        <w:rPr>
          <w:rFonts w:ascii="Times New Roman;serif" w:hAnsi="Times New Roman;serif"/>
          <w:b w:val="false"/>
          <w:color w:val="000000"/>
          <w:sz w:val="24"/>
        </w:rPr>
        <w:t xml:space="preserve">The Participant’s rights under this Award and the Plan may be modified only to the extent expressly provided under this Award or under Sections 14(a) and (b) of the Plan. This Award and the Plan (and the other writings referred to herein) constitute the entire agreement between the parties with respect to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subject matter hereof and thereof and supersede all prior written or oral negotiations, commitments, representations and agreements with respect thereto. For the avoidance of doubt, this Award, the Certificate of Grant and the Plan do not supersede any "Restrictive Covenant Agreement" (as defined below) or employment agreement between the Participant and the Company or its Affiliates.</w:t>
      </w:r>
    </w:p>
    <w:p>
      <w:pPr>
        <w:pStyle w:val="TextBody"/>
        <w:bidi w:val="0"/>
        <w:spacing w:lineRule="auto" w:line="240" w:before="0" w:after="240"/>
        <w:ind w:left="0" w:right="0" w:hanging="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Clawback upon Breach of Restrictive Covenants</w:t>
      </w:r>
      <w:r>
        <w:rPr>
          <w:rFonts w:ascii="Times New Roman;serif" w:hAnsi="Times New Roman;serif"/>
          <w:b w:val="false"/>
          <w:color w:val="000000"/>
          <w:sz w:val="24"/>
        </w:rPr>
        <w:t>. In the event the Participant breaches the Participant’s “Restrictive Covenant Agreement” (as defined below) at any time during the Participant’s employment with the Company or within two years following the termination thereof, then without limiting any other remedies available to the Company (including, without limitation, remedies involving injunctive relief), the Participant shall immediately forfeit any remaining unvested portion of the Award and the Participant shall be required to return to the Company all Shares previously issued in respect of the Award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Award. As used herein, the “Restrictive Covenant Agreement” means any agreement between the Participant and the Company or its Affiliates (including, without limitation, any agreement relating to employment and post-employment competition) subjecting the Participant to confidentiality, non-solicitation, non-competition and/or other restrictive covenants in favor of the Company or its Affiliates.</w:t>
      </w:r>
    </w:p>
    <w:p>
      <w:pPr>
        <w:pStyle w:val="TextBody"/>
        <w:bidi w:val="0"/>
        <w:spacing w:lineRule="auto" w:line="240" w:before="0" w:after="240"/>
        <w:ind w:left="0" w:right="0" w:hanging="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Severability</w:t>
      </w:r>
      <w:r>
        <w:rPr>
          <w:rFonts w:ascii="Times New Roman;serif" w:hAnsi="Times New Roman;serif"/>
          <w:b w:val="false"/>
          <w:color w:val="000000"/>
          <w:sz w:val="24"/>
        </w:rPr>
        <w:t>. It is the desire and intent of the parties hereto that the provisions of this Award be enforced to the fullest extent permissible under the laws and public policies applied in each jurisdiction in which enforcement is sought. Accordingly, if any particular provision of this Award shall be adjudicated by a court of competent jurisdiction to be invalid, prohibited or unenforceable for any reason, such provision, as to such jurisdiction, shall be ineffective, without invalidating the remaining provisions of this Award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Award or affecting the validity or enforceability of such provision in any other jurisdiction.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Name:     [(Per Certificate of Grant)] </w:t>
        <w:br/>
        <w:t>Date:    [Acceptance Date]</w:t>
        <w:br/>
        <w:t>[Note:     Grant will be accepted electronically.]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DATA PROTECTION NOTICE</w:t>
      </w:r>
    </w:p>
    <w:p>
      <w:pPr>
        <w:pStyle w:val="TextBody"/>
        <w:bidi w:val="0"/>
        <w:spacing w:before="79" w:after="240"/>
        <w:jc w:val="center"/>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1.</w:t>
      </w:r>
      <w:r>
        <w:rPr>
          <w:rFonts w:ascii="Times New Roman;serif" w:hAnsi="Times New Roman;serif"/>
          <w:b/>
          <w:color w:val="000000"/>
          <w:sz w:val="24"/>
          <w:u w:val="single"/>
        </w:rPr>
        <w:t>Data Protection and Privacy (For Jurisdictions in the European Economic Area and United Kingdom).</w:t>
      </w:r>
    </w:p>
    <w:p>
      <w:pPr>
        <w:pStyle w:val="TextBody"/>
        <w:bidi w:val="0"/>
        <w:spacing w:lineRule="auto" w:line="240" w:before="0" w:after="240"/>
        <w:ind w:left="0" w:right="0" w:hanging="720"/>
        <w:jc w:val="left"/>
        <w:rPr/>
      </w:pPr>
      <w:r>
        <w:rPr>
          <w:rFonts w:ascii="Times New Roman;serif" w:hAnsi="Times New Roman;serif"/>
          <w:b w:val="false"/>
          <w:color w:val="000000"/>
          <w:sz w:val="24"/>
        </w:rPr>
        <w:t>(a)The Participant hereby acknowledges and understands that the Participant’s Data (as defined in subsection (b) below) is collected, retained, used, disclosed, transferred and/or otherwise processed, in electronic or other form, by the Company and the Participant’s employer (if different from the Company) as described in this Award. The Company and the Participant’s employer (if different from the Company) are separate data controllers in respect of processing the Data, and this data protection notice is being separately provided for and on behalf of each such controller (the “</w:t>
      </w:r>
      <w:r>
        <w:rPr>
          <w:rFonts w:ascii="Times New Roman;serif" w:hAnsi="Times New Roman;serif"/>
          <w:b w:val="false"/>
          <w:color w:val="000000"/>
          <w:sz w:val="24"/>
          <w:u w:val="single"/>
        </w:rPr>
        <w:t>Controller</w:t>
      </w:r>
      <w:r>
        <w:rPr>
          <w:color w:val="000000"/>
        </w:rPr>
        <w:t>”</w:t>
      </w:r>
      <w:r>
        <w:rPr>
          <w:rFonts w:ascii="Times New Roman;serif" w:hAnsi="Times New Roman;serif"/>
          <w:b w:val="false"/>
          <w:color w:val="000000"/>
          <w:sz w:val="24"/>
        </w:rPr>
        <w:t>). The Controller can be reached by reaching out to your local human resources representative or data protection officer. The Participant’s Data will only be processed by the Controller when there is a legal basis for processing. The legal basis for the processing of the Data is further described in subsection (c) below.    </w:t>
      </w:r>
    </w:p>
    <w:p>
      <w:pPr>
        <w:pStyle w:val="TextBody"/>
        <w:bidi w:val="0"/>
        <w:spacing w:lineRule="auto" w:line="240" w:before="0" w:after="240"/>
        <w:ind w:left="0" w:right="0" w:hanging="720"/>
        <w:jc w:val="left"/>
        <w:rPr/>
      </w:pPr>
      <w:r>
        <w:rPr>
          <w:rFonts w:ascii="Times New Roman;serif" w:hAnsi="Times New Roman;serif"/>
          <w:b w:val="false"/>
          <w:color w:val="000000"/>
          <w:sz w:val="24"/>
        </w:rPr>
        <w:t>(b)The personal data being processed in the context of the Plan refers to personal data within the meaning of the (EU) 2016/679 General Data Protection Regulation (for Participants in the European Economic Area) and the UK General Data Protection Regulation and the Data Protection Act 2018 (for Participants in the United Kingdom) (collectively, the “</w:t>
      </w:r>
      <w:r>
        <w:rPr>
          <w:rFonts w:ascii="Times New Roman;serif" w:hAnsi="Times New Roman;serif"/>
          <w:b w:val="false"/>
          <w:color w:val="000000"/>
          <w:sz w:val="24"/>
          <w:u w:val="single"/>
        </w:rPr>
        <w:t>GDPR</w:t>
      </w:r>
      <w:r>
        <w:rPr>
          <w:color w:val="000000"/>
        </w:rPr>
        <w:t>”</w:t>
      </w:r>
      <w:r>
        <w:rPr>
          <w:rFonts w:ascii="Times New Roman;serif" w:hAnsi="Times New Roman;serif"/>
          <w:b w:val="false"/>
          <w:color w:val="000000"/>
          <w:sz w:val="24"/>
        </w:rPr>
        <w:t xml:space="preserve">). Such personal data relate to the Participant’s employment, the nature and amount of the Participant’s compensation and the fact and conditions of the Participant’s participation in the Plan, </w:t>
      </w:r>
      <w:r>
        <w:rPr>
          <w:rFonts w:ascii="Times New Roman;serif" w:hAnsi="Times New Roman;serif"/>
          <w:b w:val="false"/>
          <w:i/>
          <w:color w:val="000000"/>
          <w:sz w:val="24"/>
        </w:rPr>
        <w:t>i.e.,</w:t>
      </w:r>
      <w:r>
        <w:rPr>
          <w:color w:val="000000"/>
        </w:rPr>
        <w:t xml:space="preserve"> </w:t>
      </w:r>
      <w:r>
        <w:rPr>
          <w:rFonts w:ascii="Times New Roman;serif" w:hAnsi="Times New Roman;serif"/>
          <w:b w:val="false"/>
          <w:color w:val="000000"/>
          <w:sz w:val="24"/>
        </w:rPr>
        <w:t>the Participant’s name and signature, home address, telephone number and e-mail address, date of birth, citizen service number or other national identification number, bank account details, job title, hire date, any equity or directorships held in the Controller and details of all restricted stock units or any other entitlement to equity awarded, cancelled, exercised, vested, unvested or outstanding in the Participant’s favor, for the purpose of the implementation, management and administration of the Plan (collectively, the “</w:t>
      </w:r>
      <w:r>
        <w:rPr>
          <w:rFonts w:ascii="Times New Roman;serif" w:hAnsi="Times New Roman;serif"/>
          <w:b w:val="false"/>
          <w:color w:val="000000"/>
          <w:sz w:val="24"/>
          <w:u w:val="single"/>
        </w:rPr>
        <w:t>Data</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(c)The Controller will process the Data in accordance with the GDPR for the sole purposes of, and based on the following legal bases: (i) the Controller’s legitimate interest in relation to implementing, administering and managing the Participant’s participation in the Plan (communicating with the Participant in connection with the Plan); (ii) to perform the Controller’s contractual obligations under the Award; (iii) to comply with the Controller’s legal and regulatory obligations; and (iii) for the purpose of the Controller’s legitimate interests such as to establish, exercise or defend its rights and legal position and to monitor compliance with the Award and/or the Plan.</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(d)The Participant understands that the Data may be collected by, and/or transferred to (i) one Controller to the other Controller; (ii) the Controller’s subsidiaries; (iii) the equity plan administrator(s); (iv) where relevant, external (legal) advisors, banks, payroll providers; (v) potential business partners in the context of a contemplated sale or restructuring of the Controller; and (vi) where relevant independent third party financial institutions based in the United States and Bermuda assisting in the implementation, administration and management of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Plan. The Participant may at any time request details of the categories of recipients of the Data set out above by contacting the Participant’s local human resources representative or the Controller’s data protection team (gdpr@aramark.com). The Participant understands that the recipients may collect, receive, possess, use, retain and transfer the Data, in electronic or other form, solely for the purposes of implementing, administering and managing the Participant’s participation in the Plan, including transfers of such Data to a broker or other third party.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(e)The Participant acknowledges that these recipients may be established in the Participant’s country, or elsewhere (including countries outside the European Economic Area or United Kingdom, such as the United States of America), and that the recipient’s country may have a different or lower standard of data privacy rights and protections than the Participant’s country. Where the Data will be transferred outside the European Economic Area or United Kingdom, as applicable, and where there is not a European Commission/UK adequacy decision in place, the transfers will be in accordance with Chapter V of the GDPR, and in line with the recommendations of the European Data Protection Board or the UK Information Commissioner’s Office, as applicable. Such transfers will occur subject to the data protection safeguards afforded under (i) the EU Standard Contractual Clauses and/or UK equivalent; or (ii) the EU-US Data Privacy Framework and/or UK equivalent. For more information on the transfer mechanisms used, and/or to obtain a redacted copy of such appropriate safeguards, the Participant may contact the Participant’s local human resources representative or data protection officer.</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(f)The Participant understands that the Data will be held only as long as is necessary and required under applicable law to implement, administer and manage the Participant’s participation in the Plan in accordance with applicable law.</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(g)The Participant understands that the Participant may, at any time, under certain circumstances exercise the rights granted to the Participant by the GDPR including (where applicable) the right to: request to access or be provided with a copy of the Participant’s Data, request additional information about the storage and processing of the Data, require rectification or erasure of (part of) the Data, or to object or have restricted the processing of the Data and to comply with the Participant’s right to data portability, withdraw any consent previously granted to the Controller to process the Participant’s Data, or to lodge a complaint with the competent (national) Data Protection Authority or UK Information Commissioner’s Office, as applicable. The above rights can be exercised by contacting in writing the Participant’s local human resources representative or the Controller’s data protection team via the contact details provided above. The Participant understands, however, that processing of the Participant’s Data is necessary for participation in the Plan and that objecting to the processing of the Participant’s Data or withdrawing any consent to the processing of the Participant’s Data may affect the Participant’s ability to participate in the Plan. No Controller makes decisions based solely on automated processing of the Data (including profiling), which produces legal effects concerning Participants or similarly significantly affects Participants.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(h)For more information on the processing of the Participant’s Data and other personal data (including in the context of the employment relationship in general), the Participant is referred to the Privacy Notice provided to the Participant by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Participant’s employer and also available by contacting the Participant’s local human resources representative.</w:t>
      </w:r>
    </w:p>
    <w:p>
      <w:pPr>
        <w:pStyle w:val="TextBody"/>
        <w:bidi w:val="0"/>
        <w:spacing w:lineRule="auto" w:line="240" w:before="0" w:after="240"/>
        <w:ind w:left="0" w:right="0" w:hanging="720"/>
        <w:jc w:val="left"/>
        <w:rPr/>
      </w:pPr>
      <w:r>
        <w:rPr>
          <w:rFonts w:ascii="Times New Roman;serif" w:hAnsi="Times New Roman;serif"/>
          <w:b w:val="false"/>
          <w:color w:val="000000"/>
          <w:sz w:val="24"/>
        </w:rPr>
        <w:t>2.</w:t>
      </w:r>
      <w:r>
        <w:rPr>
          <w:rFonts w:ascii="Times New Roman;serif" w:hAnsi="Times New Roman;serif"/>
          <w:b/>
          <w:color w:val="000000"/>
          <w:sz w:val="24"/>
          <w:u w:val="single"/>
        </w:rPr>
        <w:t>Data Protection and Privacy (For Jurisdictions other than in the European Economic Area and United Kingdom).</w:t>
      </w:r>
    </w:p>
    <w:p>
      <w:pPr>
        <w:pStyle w:val="TextBody"/>
        <w:bidi w:val="0"/>
        <w:spacing w:lineRule="auto" w:line="288" w:before="0" w:after="240"/>
        <w:ind w:left="0" w:right="0" w:hanging="629"/>
        <w:jc w:val="left"/>
        <w:rPr>
          <w:rFonts w:ascii="Times New Roman;serif" w:hAnsi="Times New Roman;serif"/>
          <w:b w:val="false"/>
          <w:color w:val="000000"/>
          <w:sz w:val="24"/>
        </w:rPr>
      </w:pPr>
      <w:r>
        <w:rPr>
          <w:rFonts w:ascii="Times New Roman;serif" w:hAnsi="Times New Roman;serif"/>
          <w:b w:val="false"/>
          <w:color w:val="000000"/>
          <w:sz w:val="24"/>
        </w:rPr>
        <w:t xml:space="preserve">(a)By participating in the Plan or accepting any rights granted under it, the Participant understands that the Company and its Affiliates and/or agents collect, use, store and process Data relating to the Participant to fulfill their obligations and exercise their rights under the Plan, issue certificates (if any), statements and communications relating to the Plan and generally administer and manage the Plan, including keeping records of participation levels from time to time. Any such processing will take place as described in this data privacy notice. </w:t>
      </w:r>
    </w:p>
    <w:p>
      <w:pPr>
        <w:pStyle w:val="TextBody"/>
        <w:bidi w:val="0"/>
        <w:spacing w:lineRule="auto" w:line="288" w:before="79" w:after="240"/>
        <w:ind w:left="0" w:right="0" w:hanging="629"/>
        <w:jc w:val="left"/>
        <w:rPr>
          <w:rFonts w:ascii="Times New Roman;serif" w:hAnsi="Times New Roman;serif"/>
          <w:b w:val="false"/>
          <w:color w:val="000000"/>
          <w:sz w:val="24"/>
        </w:rPr>
      </w:pPr>
      <w:r>
        <w:rPr>
          <w:rFonts w:ascii="Times New Roman;serif" w:hAnsi="Times New Roman;serif"/>
          <w:b w:val="false"/>
          <w:color w:val="000000"/>
          <w:sz w:val="24"/>
        </w:rPr>
        <w:t>(b)Data relating to the Participant as described above may be transferred not only within the country in which the Participant is based from time to time, but also worldwide, to other Affiliates and/or agents and to the following third parties for the purposes described in paragraph (a) above: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(i)Plan administrators, transfer agents, auditors, brokers, agents and contractors of, and third party service providers to, the Company or its Affiliates such as printers and mail houses engaged to print or distribute notices or communications about the Plan;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(ii)regulators, tax authorities, stock or security exchanges and other supervisory, regulatory, governmental or public bodies as required by law;</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(iii)actual or proposed merger or acquisition partners or proposed assignees of, or those taking or proposing to take security over, all or a portion of the business or assets or stock of the Company or its Affiliates and their agents and contractors;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(iv)other third parties to whom the Company or its Affiliates and/or agents may need to communicate/transfer the data in connection with the administration of the Plan, under a duty of confidentiality to the Company and its Affiliates; and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(v)the Participant’s family members, heirs, legatees and others associated with the Participant in connection with the Plan.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Not all countries, where the personal data may be processed or transferred to, have an equal level of data protection as in Canada. Countries to which data are transferred include the United States and Bermuda. For any transfers outside the country of origin of the personal data or with a third party, the Company and/or its Affiliates will ensure that appropriate measures are in place to ensure an adequate level of protection for your personal data, including technical or contractual measures where necessary.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10.1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A-3</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national and international transfer of personal data is only done in order to fulfill the obligations and rights of the Company and/or its Affiliates under the Plan.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Participant may access, modify, correct or delete personal data about the Participant, restrict or object to the processing of personal data, or opt to receive personal data in a structured, commonly used, machine readable form which provides the ability to move, copy or transfer personal data to another controller by contacting the local data protection officer in the country in which the Participant is based. Please note, however, that certain personal information about the Participant may be exempt from afore mentioned rights pursuant to applicable data protection laws. In addition, the Participant has the right to lodge a complaint with a competent data protection supervisory authority or data protection regulator, in particular in the jurisdiction where the Participant resides, works or the place of the alleged infringement. If the Participant has a complaint regarding the manner in which personal information relating to the Participant is dealt with, the Participant should contact the appropriate local data protection officer referred to above.</w:t>
      </w:r>
    </w:p>
    <w:p>
      <w:pPr>
        <w:pStyle w:val="TextBody"/>
        <w:bidi w:val="0"/>
        <w:spacing w:lineRule="auto" w:line="288" w:before="0" w:after="240"/>
        <w:ind w:left="0" w:right="0" w:hanging="629"/>
        <w:jc w:val="left"/>
        <w:rPr>
          <w:rFonts w:ascii="Times New Roman;serif" w:hAnsi="Times New Roman;serif"/>
          <w:b w:val="false"/>
          <w:color w:val="000000"/>
          <w:sz w:val="24"/>
        </w:rPr>
      </w:pPr>
      <w:r>
        <w:rPr>
          <w:rFonts w:ascii="Times New Roman;serif" w:hAnsi="Times New Roman;serif"/>
          <w:b w:val="false"/>
          <w:color w:val="000000"/>
          <w:sz w:val="24"/>
        </w:rPr>
        <w:t xml:space="preserve">(c)The processing (including transfer) of data described above is essential for the administration and operation of the Plan. Therefore, it is essential that his/her personal data is processed in the manner described above. </w:t>
      </w:r>
    </w:p>
    <w:p>
      <w:pPr>
        <w:pStyle w:val="TextBody"/>
        <w:bidi w:val="0"/>
        <w:spacing w:lineRule="auto" w:line="288" w:before="0" w:after="240"/>
        <w:ind w:left="0" w:right="0" w:hanging="629"/>
        <w:jc w:val="left"/>
        <w:rPr>
          <w:rFonts w:ascii="Times New Roman;serif" w:hAnsi="Times New Roman;serif"/>
          <w:b w:val="false"/>
          <w:color w:val="000000"/>
          <w:sz w:val="24"/>
        </w:rPr>
      </w:pPr>
      <w:r>
        <w:rPr>
          <w:rFonts w:ascii="Times New Roman;serif" w:hAnsi="Times New Roman;serif"/>
          <w:b w:val="false"/>
          <w:color w:val="000000"/>
          <w:sz w:val="24"/>
        </w:rPr>
        <w:t>(d)The Company and/or its Affiliates will only retain personal data for as long as is required to satisfy the purposes as described in paragraph (a) above, except where otherwise provided or required by law (e.g. in connection with pending litigation).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A-4</w:t>
                      </w:r>
                    </w:p>
                  </w:txbxContent>
                </v:textbox>
                <w10:wrap type="none"/>
              </v:rect>
            </w:pict>
          </mc:Fallback>
        </mc:AlternateContent>
      </w:r>
    </w:p>
    <w:p>
      <w:pPr>
        <w:pStyle w:val="TextBody"/>
        <w:bidi w:val="0"/>
        <w:spacing w:lineRule="auto" w:line="288" w:before="180" w:after="283"/>
        <w:jc w:val="right"/>
        <w:rPr/>
      </w:pPr>
      <w:r>
        <w:rPr>
          <w:color w:val="000000"/>
        </w:rPr>
        <w:t> </w:t>
      </w: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John J. Zillmer, Chief Executive Officer,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Aramark for the quarter ended April 3, 2026;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12, 2026 </w:t>
      </w:r>
    </w:p>
    <w:tbl>
      <w:tblPr>
        <w:tblW w:w="2145" w:type="dxa"/>
        <w:jc w:val="lef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James J. Tarangelo, Executive Vice President and Chief Financial Officer,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Aramark for the quarter ended April 3, 2026;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12, 2026 </w:t>
      </w:r>
    </w:p>
    <w:tbl>
      <w:tblPr>
        <w:tblW w:w="2625" w:type="dxa"/>
        <w:jc w:val="lef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TARANGELO</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J. Tarangelo</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Vice President and</w:t>
              <w:br/>
              <w:t>Chief Financial Officer</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SARBANES-OXLEY ACT OF 2002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Aramark (the “Company”) on Form 10-Q for the fiscal quarter ended April 3, 2026, as filed with the Securities and Exchange Commission on the date hereof (the “Report”), we, John J. Zillmer, Chief Executive Officer of the Company, and James J. Tarangelo, Executive Vice President and Chief Financial Officer of the Company, each certify, pursuant to 18 U.S.C. Section 1350, as adopted pursuant to Section 906 of the Sarbanes-Oxley Act of 2002, that, based on each of our knowledge:</w:t>
      </w:r>
    </w:p>
    <w:p>
      <w:pPr>
        <w:pStyle w:val="TextBody"/>
        <w:bidi w:val="0"/>
        <w:spacing w:before="100" w:after="283"/>
        <w:jc w:val="left"/>
        <w:rPr/>
      </w:pPr>
      <w:r>
        <w:rPr/>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100" w:after="283"/>
        <w:ind w:left="0" w:right="0" w:firstLine="90"/>
        <w:jc w:val="left"/>
        <w:rPr/>
      </w:pPr>
      <w:r>
        <w:rPr/>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Date: May 12, 2026</w:t>
      </w:r>
    </w:p>
    <w:p>
      <w:pPr>
        <w:pStyle w:val="TextBody"/>
        <w:bidi w:val="0"/>
        <w:spacing w:lineRule="auto" w:line="288" w:before="0" w:after="0"/>
        <w:jc w:val="right"/>
        <w:rPr>
          <w:color w:val="000000"/>
        </w:rPr>
      </w:pPr>
      <w:r>
        <w:rPr>
          <w:color w:val="000000"/>
        </w:rPr>
        <w:t>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2625" w:type="dxa"/>
        <w:jc w:val="righ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TARANGELO</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J. Tarangelo</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Vice President and</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23757</Words>
  <Characters>132453</Characters>
  <CharactersWithSpaces>154874</CharactersWithSpaces>
  <Paragraphs>2518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