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40" w:hanging="368"/>
        <w:spacing w:after="0"/>
        <w:tabs>
          <w:tab w:leader="none" w:pos="2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27, 2025</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1960" w:val="left"/>
          <w:tab w:leader="none" w:pos="842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420" w:right="13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July 25, 2025, the number of shares of the registrant's common stock outstanding is 262,850,908.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820" w:type="dxa"/>
            <w:vAlign w:val="bottom"/>
            <w:gridSpan w:val="7"/>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18"/>
                <w:szCs w:val="18"/>
                <w:color w:val="auto"/>
              </w:rPr>
            </w:pPr>
          </w:p>
        </w:tc>
        <w:tc>
          <w:tcPr>
            <w:tcW w:w="2660" w:type="dxa"/>
            <w:vAlign w:val="bottom"/>
            <w:gridSpan w:val="2"/>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ongoing conflict in the Middle East, global supply chain disruptions, inflation, volatility and disruption of global financial markets; the impact of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19, 2024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Pr>
          <w:p>
            <w:pPr>
              <w:spacing w:after="0"/>
              <w:rPr>
                <w:sz w:val="16"/>
                <w:szCs w:val="16"/>
                <w:color w:val="auto"/>
              </w:rPr>
            </w:pP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672,483</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$35,098 and $34,259)</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2,096,928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387,601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275,363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249,550</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3,528,537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3,406,562</w:t>
            </w:r>
          </w:p>
        </w:tc>
        <w:tc>
          <w:tcPr>
            <w:tcW w:w="0" w:type="dxa"/>
            <w:vAlign w:val="bottom"/>
          </w:tcPr>
          <w:p>
            <w:pPr>
              <w:spacing w:after="0"/>
              <w:rPr>
                <w:sz w:val="1"/>
                <w:szCs w:val="1"/>
                <w:color w:val="auto"/>
              </w:rPr>
            </w:pPr>
          </w:p>
        </w:tc>
      </w:tr>
      <w:tr>
        <w:trPr>
          <w:trHeight w:val="18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1,702,075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1,573,193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4,852,720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4,677,201</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1,899,911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1,804,602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638,659</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593,607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574,154</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13,283,678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964,286</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54,163</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1,137,859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1,394,007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518,912</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1,033,410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1,282,842</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2,737,997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4,214,210</w:t>
            </w:r>
          </w:p>
        </w:tc>
        <w:tc>
          <w:tcPr>
            <w:tcW w:w="0" w:type="dxa"/>
            <w:vAlign w:val="bottom"/>
          </w:tcPr>
          <w:p>
            <w:pPr>
              <w:spacing w:after="0"/>
              <w:rPr>
                <w:sz w:val="1"/>
                <w:szCs w:val="1"/>
                <w:color w:val="auto"/>
              </w:rPr>
            </w:pPr>
          </w:p>
        </w:tc>
      </w:tr>
      <w:tr>
        <w:trPr>
          <w:trHeight w:val="18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6,253,834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4,307,171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241,012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375,378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490,132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9)</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307,793,845 shares and 304,285,195 shares;</w:t>
            </w:r>
          </w:p>
        </w:tc>
        <w:tc>
          <w:tcPr>
            <w:tcW w:w="2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and outstanding: 262,644,222 shares and 263,939,983 shares)</w:t>
            </w:r>
          </w:p>
        </w:tc>
        <w:tc>
          <w:tcPr>
            <w:tcW w:w="2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Capital surplus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4,014,513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3,931,932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239,709</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(132,457)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Treasury stock (held in treasury: 45,149,623 shares and 40,345,212 shares)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(1,175,487)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(1,003,253)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3,084,131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3,038,974</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13,283,678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12,674,371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4,626,451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4,376,076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13,457,835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12,983,754</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16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Cost of services provided (exclusive of depreciation and</w:t>
            </w:r>
          </w:p>
        </w:tc>
        <w:tc>
          <w:tcPr>
            <w:tcW w:w="2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4,256,343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4,040,866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11,955,096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322,794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218,149</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4,443,864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4,214,397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12,883,809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12,496,039</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487,715</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282,417</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65,658</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139,640</w:t>
            </w:r>
          </w:p>
        </w:tc>
        <w:tc>
          <w:tcPr>
            <w:tcW w:w="0" w:type="dxa"/>
            <w:vAlign w:val="bottom"/>
          </w:tcPr>
          <w:p>
            <w:pPr>
              <w:spacing w:after="0"/>
              <w:rPr>
                <w:sz w:val="1"/>
                <w:szCs w:val="1"/>
                <w:color w:val="auto"/>
              </w:rPr>
            </w:pPr>
          </w:p>
        </w:tc>
      </w:tr>
      <w:tr>
        <w:trPr>
          <w:trHeight w:val="162"/>
        </w:trPr>
        <w:tc>
          <w:tcPr>
            <w:tcW w:w="416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2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interests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Aramark stockholders: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262,761</w:t>
            </w:r>
          </w:p>
        </w:tc>
        <w:tc>
          <w:tcPr>
            <w:tcW w:w="0" w:type="dxa"/>
            <w:vAlign w:val="bottom"/>
          </w:tcPr>
          <w:p>
            <w:pPr>
              <w:spacing w:after="0"/>
              <w:rPr>
                <w:sz w:val="1"/>
                <w:szCs w:val="1"/>
                <w:color w:val="auto"/>
              </w:rPr>
            </w:pPr>
          </w:p>
        </w:tc>
      </w:tr>
      <w:tr>
        <w:trPr>
          <w:trHeight w:val="210"/>
        </w:trPr>
        <w:tc>
          <w:tcPr>
            <w:tcW w:w="4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265,387</w:t>
            </w:r>
          </w:p>
        </w:tc>
        <w:tc>
          <w:tcPr>
            <w:tcW w:w="0" w:type="dxa"/>
            <w:vAlign w:val="bottom"/>
          </w:tcPr>
          <w:p>
            <w:pPr>
              <w:spacing w:after="0"/>
              <w:rPr>
                <w:sz w:val="1"/>
                <w:szCs w:val="1"/>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3220" w:type="dxa"/>
            <w:vAlign w:val="bottom"/>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101,597</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Aramark</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86,419</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53,508</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219,996</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102,068</w:t>
            </w:r>
          </w:p>
        </w:tc>
        <w:tc>
          <w:tcPr>
            <w:tcW w:w="0" w:type="dxa"/>
            <w:vAlign w:val="bottom"/>
          </w:tcPr>
          <w:p>
            <w:pPr>
              <w:spacing w:after="0"/>
              <w:rPr>
                <w:sz w:val="1"/>
                <w:szCs w:val="1"/>
                <w:color w:val="auto"/>
              </w:rPr>
            </w:pPr>
          </w:p>
        </w:tc>
      </w:tr>
      <w:tr>
        <w:trPr>
          <w:trHeight w:val="22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239,628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139,640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352,085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322,794</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Increase in contingent consideration liability (see Note 11)</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(11,948)</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46,895</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(236,390)</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27,632</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(224,211)</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(353,730)</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(108,262)</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106,027</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(295,101)</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(288,140)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4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(71,215)</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marketable securities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71,215</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(106,334)</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(379,404)</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2,222,037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298,329</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(1,591,906)</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(74,853)</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24,872</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(56,006)</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679,377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(800,564)</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 and restricted cash</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 and restricted cash</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(1,476,838)</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732,613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1,972,367</w:t>
            </w: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557,704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tcPr>
          <w:p>
            <w:pPr>
              <w:spacing w:after="0"/>
              <w:rPr>
                <w:sz w:val="16"/>
                <w:szCs w:val="16"/>
                <w:color w:val="auto"/>
              </w:rPr>
            </w:pPr>
          </w:p>
        </w:tc>
        <w:tc>
          <w:tcPr>
            <w:tcW w:w="318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226,652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267,273</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109,252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90,290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Pr>
          <w:p>
            <w:pPr>
              <w:spacing w:after="0"/>
              <w:rPr>
                <w:sz w:val="17"/>
                <w:szCs w:val="17"/>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23"/>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501,485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436,075</w:t>
            </w: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56,219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59,454</w:t>
            </w: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557,704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27, 2024</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declared ($0.105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27, 2024</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(1,034,546)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(111,039)</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declared ($0.105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March 28, 2025</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3,020,070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3,979,438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(1,145,585)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6"/>
                <w:szCs w:val="16"/>
                <w:color w:val="auto"/>
              </w:rPr>
              <w:t>Net income attributable to Aramark</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declared ($0.105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27, 2025</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(1,175,487)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29, 2023</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Separation of Uniform Segment (See</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Note 1)</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Dividends declared ($0.095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29, 2023</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(994,167)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Separation of Uniform Segment (See</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 1)</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declared ($0.095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March 29, 2024</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2,891,140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3,875,095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(997,612)</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Net income attributable to Aramark</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Dividends declared ($0.095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28, 2024</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(1,001,526)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19, 2024. The Condensed Consolidated Balance Sheet as of September 27, 2024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w:t>
      </w:r>
      <w:r>
        <w:rPr>
          <w:rFonts w:ascii="Times New Roman" w:cs="Times New Roman" w:eastAsia="Times New Roman" w:hAnsi="Times New Roman"/>
          <w:sz w:val="17"/>
          <w:szCs w:val="17"/>
          <w:i w:val="1"/>
          <w:iCs w:val="1"/>
          <w:color w:val="auto"/>
        </w:rPr>
        <w:t>Accounting Standard Update ("ASU") 2024-03, 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The guidance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requires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w:t>
      </w:r>
    </w:p>
    <w:p>
      <w:pPr>
        <w:spacing w:after="0" w:line="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assessing the impact of the new guidance on its financial statement disclosures.</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xml:space="preserve"> to enhance the reportable segment disclosures. The guidance will require additional disclosures about significant segment expenses. The guidance is effective for the Company's annual disclosures for fiscal 2025 and for interim periods beginning in fiscal 2026; early adoption is permitted. The Company will adopt the new reportable segment disclosure guidance for the Company's fiscal 2025 annual disclosures and will apply the new guidance retrospectively to all prior periods.</w:t>
      </w:r>
    </w:p>
    <w:p>
      <w:pPr>
        <w:spacing w:after="0" w:line="5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 translation adjustments (net of tax) and changes in the fair value of cash flow hedges (net of tax).</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60" w:type="dxa"/>
            <w:vAlign w:val="bottom"/>
            <w:tcBorders>
              <w:bottom w:val="single" w:sz="8" w:color="auto"/>
            </w:tcBorders>
          </w:tcPr>
          <w:p>
            <w:pPr>
              <w:spacing w:after="0"/>
              <w:rPr>
                <w:sz w:val="16"/>
                <w:szCs w:val="16"/>
                <w:color w:val="auto"/>
              </w:rPr>
            </w:pPr>
          </w:p>
        </w:tc>
      </w:tr>
      <w:tr>
        <w:trPr>
          <w:trHeight w:val="135"/>
        </w:trPr>
        <w:tc>
          <w:tcPr>
            <w:tcW w:w="5060" w:type="dxa"/>
            <w:vAlign w:val="bottom"/>
          </w:tcPr>
          <w:p>
            <w:pPr>
              <w:spacing w:after="0"/>
              <w:rPr>
                <w:sz w:val="11"/>
                <w:szCs w:val="11"/>
                <w:color w:val="auto"/>
              </w:rPr>
            </w:pPr>
          </w:p>
        </w:tc>
        <w:tc>
          <w:tcPr>
            <w:tcW w:w="10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60" w:type="dxa"/>
            <w:vAlign w:val="bottom"/>
          </w:tcPr>
          <w:p>
            <w:pPr>
              <w:spacing w:after="0"/>
              <w:rPr>
                <w:sz w:val="11"/>
                <w:szCs w:val="11"/>
                <w:color w:val="auto"/>
              </w:rPr>
            </w:pPr>
          </w:p>
        </w:tc>
        <w:tc>
          <w:tcPr>
            <w:tcW w:w="86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100" w:type="dxa"/>
            <w:vAlign w:val="bottom"/>
          </w:tcPr>
          <w:p>
            <w:pPr>
              <w:spacing w:after="0"/>
              <w:rPr>
                <w:sz w:val="11"/>
                <w:szCs w:val="11"/>
                <w:color w:val="auto"/>
              </w:rPr>
            </w:pPr>
          </w:p>
        </w:tc>
        <w:tc>
          <w:tcPr>
            <w:tcW w:w="10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40" w:type="dxa"/>
            <w:vAlign w:val="bottom"/>
            <w:gridSpan w:val="2"/>
          </w:tcPr>
          <w:p>
            <w:pPr>
              <w:jc w:val="center"/>
              <w:ind w:right="90"/>
              <w:spacing w:after="0" w:line="135" w:lineRule="exact"/>
              <w:rPr>
                <w:sz w:val="20"/>
                <w:szCs w:val="20"/>
                <w:color w:val="auto"/>
              </w:rPr>
            </w:pPr>
            <w:r>
              <w:rPr>
                <w:rFonts w:ascii="Times New Roman" w:cs="Times New Roman" w:eastAsia="Times New Roman" w:hAnsi="Times New Roman"/>
                <w:sz w:val="14"/>
                <w:szCs w:val="14"/>
                <w:b w:val="1"/>
                <w:bCs w:val="1"/>
                <w:color w:val="auto"/>
              </w:rPr>
              <w:t>Tax</w:t>
            </w:r>
          </w:p>
        </w:tc>
        <w:tc>
          <w:tcPr>
            <w:tcW w:w="86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6"/>
        </w:trPr>
        <w:tc>
          <w:tcPr>
            <w:tcW w:w="50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24,544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1,527</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11,155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53,503</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34"/>
        </w:trPr>
        <w:tc>
          <w:tcPr>
            <w:tcW w:w="5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60" w:type="dxa"/>
            <w:vAlign w:val="bottom"/>
            <w:tcBorders>
              <w:bottom w:val="single" w:sz="8" w:color="auto"/>
            </w:tcBorders>
          </w:tcPr>
          <w:p>
            <w:pPr>
              <w:spacing w:after="0"/>
              <w:rPr>
                <w:sz w:val="16"/>
                <w:szCs w:val="16"/>
                <w:color w:val="auto"/>
              </w:rPr>
            </w:pPr>
          </w:p>
        </w:tc>
      </w:tr>
      <w:tr>
        <w:trPr>
          <w:trHeight w:val="135"/>
        </w:trPr>
        <w:tc>
          <w:tcPr>
            <w:tcW w:w="5060" w:type="dxa"/>
            <w:vAlign w:val="bottom"/>
          </w:tcPr>
          <w:p>
            <w:pPr>
              <w:spacing w:after="0"/>
              <w:rPr>
                <w:sz w:val="11"/>
                <w:szCs w:val="11"/>
                <w:color w:val="auto"/>
              </w:rPr>
            </w:pPr>
          </w:p>
        </w:tc>
        <w:tc>
          <w:tcPr>
            <w:tcW w:w="10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60" w:type="dxa"/>
            <w:vAlign w:val="bottom"/>
          </w:tcPr>
          <w:p>
            <w:pPr>
              <w:spacing w:after="0"/>
              <w:rPr>
                <w:sz w:val="11"/>
                <w:szCs w:val="11"/>
                <w:color w:val="auto"/>
              </w:rPr>
            </w:pPr>
          </w:p>
        </w:tc>
        <w:tc>
          <w:tcPr>
            <w:tcW w:w="860" w:type="dxa"/>
            <w:vAlign w:val="bottom"/>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100" w:type="dxa"/>
            <w:vAlign w:val="bottom"/>
          </w:tcPr>
          <w:p>
            <w:pPr>
              <w:spacing w:after="0"/>
              <w:rPr>
                <w:sz w:val="11"/>
                <w:szCs w:val="11"/>
                <w:color w:val="auto"/>
              </w:rPr>
            </w:pPr>
          </w:p>
        </w:tc>
        <w:tc>
          <w:tcPr>
            <w:tcW w:w="10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40" w:type="dxa"/>
            <w:vAlign w:val="bottom"/>
            <w:gridSpan w:val="2"/>
          </w:tcPr>
          <w:p>
            <w:pPr>
              <w:jc w:val="center"/>
              <w:ind w:right="90"/>
              <w:spacing w:after="0" w:line="135" w:lineRule="exact"/>
              <w:rPr>
                <w:sz w:val="20"/>
                <w:szCs w:val="20"/>
                <w:color w:val="auto"/>
              </w:rPr>
            </w:pPr>
            <w:r>
              <w:rPr>
                <w:rFonts w:ascii="Times New Roman" w:cs="Times New Roman" w:eastAsia="Times New Roman" w:hAnsi="Times New Roman"/>
                <w:sz w:val="14"/>
                <w:szCs w:val="14"/>
                <w:b w:val="1"/>
                <w:bCs w:val="1"/>
                <w:color w:val="auto"/>
              </w:rPr>
              <w:t>Tax</w:t>
            </w:r>
          </w:p>
        </w:tc>
        <w:tc>
          <w:tcPr>
            <w:tcW w:w="86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6"/>
        </w:trPr>
        <w:tc>
          <w:tcPr>
            <w:tcW w:w="50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139,640</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nine months ended June 28, 2024, the amounts in the table above exclude the impact of a $5.1 million pension plan adjustment and a $26.3 million currency translation adjustment related to the separation and distribution of the Uniform segment (discussed below).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w:t>
            </w:r>
          </w:p>
        </w:tc>
      </w:tr>
      <w:tr>
        <w:trPr>
          <w:trHeight w:val="223"/>
        </w:trPr>
        <w:tc>
          <w:tcPr>
            <w:tcW w:w="76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(132,457)</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reflected in the Condensed Consolidated Statements of Income, was a foreign currency transaction loss of $1.7 million and $3.0 million during the three and nine month periods ended June 27, 2025, respectively, and $0.4 million and $5.2 million during the three and nine month periods ended June 28, 2024, respectively. The impact of foreign currency transaction gains and losses exclusive of Argentina's operations included in the Company's operating results during the three and nine month periods of both fiscal 2025 and 2024 were immaterial to the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insures portions of its risk related to general liability, automobile liability, workers’ compensation liability claims as well as certain property damage risks through a wholly owned captive insurance subsidiary (the "Captive") as part of 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June 27, 2025.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June 27, 2025 and September 27, 2024, cash and cash equivalents at the Captive were $97.7 million and $94.7 million, respectively. The Captive also invests in United States Treasury securities where the amount of these investments as of June 27, 2025 and September 27, 2024 was $43.7 million and $42.3 million, respectively, and is recorded in "Prepayments and other current assets" on the Condensed Consolidated Balance Sheets.</w:t>
      </w:r>
    </w:p>
    <w:p>
      <w:pPr>
        <w:spacing w:after="0" w:line="57"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long-term receivables, interest rate swaps, investments in 50% or less owned entities and computer software costs.</w:t>
      </w:r>
    </w:p>
    <w:p>
      <w:pPr>
        <w:spacing w:after="0" w:line="2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June 27, 2025 and September 27, 2024 was $112.6 million and $84.0 million, respectively.</w:t>
      </w:r>
    </w:p>
    <w:p>
      <w:pPr>
        <w:spacing w:after="0" w:line="40"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June 27, 2025 and September 27, 2024 was $46.9 million and $35.4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June 27, 2025 and September 27, 2024, the Company had $2.3 million and $2.6 million, respectively, of outstanding payment obligations to the financial institutions as part of the SCF Program recorded in "Accounts payable" on the Condensed Consolidated Balance Sheets.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eight years, contain provisions related to residual value guarantees. The maximum potential liability to the Company under such arrangements was approximately $33.1 million at June 27, 2025 if the terminal fair value of vehicles coming off lease was zero. Consistent with past experience, management does not expect any significant payments will be required pursuant to these arrangements. No amounts have been accrued for the guarantee arrangements at June 27,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108"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of Aramark Uniform and Career Apparel</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30, 2023, the Company completed the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spacing w:after="0" w:line="5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right="2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Transition Services Agreement </w:t>
      </w:r>
      <w:r>
        <w:rPr>
          <w:rFonts w:ascii="Times New Roman" w:cs="Times New Roman" w:eastAsia="Times New Roman" w:hAnsi="Times New Roman"/>
          <w:sz w:val="17"/>
          <w:szCs w:val="17"/>
          <w:color w:val="auto"/>
        </w:rPr>
        <w:t>- governs services between the Company and Vestis and their respective affiliates to provide each other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spacing w:after="0" w:line="1" w:lineRule="exact"/>
        <w:rPr>
          <w:sz w:val="20"/>
          <w:szCs w:val="20"/>
          <w:color w:val="auto"/>
        </w:rPr>
      </w:pPr>
    </w:p>
    <w:p>
      <w:pPr>
        <w:ind w:left="500" w:right="64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and nine months ended June 27, 2025, the value of the services provided to Vestis were immaterial to the Company's financial statements with no outstanding receivables balance as of June 27, 2025 and September 27, 2024. During the three and nine months ended June 28, 2024, the value of the services provided to Vestis were $2.3 million and $10.4 million, respectively.</w:t>
      </w:r>
    </w:p>
    <w:p>
      <w:pPr>
        <w:spacing w:after="0" w:line="2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During the nine months ended June 28,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spacing w:after="0" w:line="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Company recorded its distribution of Vestis' net assets as a change in "Retained Earnings." The amount recorded reflected the carrying amounts, as of September 29, 2023, of the net assets distributed offset by the holdback of Vestis shares upon distribution of $8.8 million, net cash received from Vestis post-separation of $6.1 million and other adjustments of $0.6 million. The Company also recorded a net decrease to "Accumulated other comprehensive loss" of $31.4 million to derecognize foreign currency translation adjustments and pension plan adjustments which were attributable to Vestis.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OTHER INTANGIBLE ASSETS: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nine months ended June 27, 2025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4,229,888</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622,832</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4,852,720</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80" w:type="dxa"/>
            <w:vAlign w:val="bottom"/>
            <w:gridSpan w:val="2"/>
          </w:tcPr>
          <w:p>
            <w:pPr>
              <w:jc w:val="right"/>
              <w:ind w:right="12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4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647,006</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1,157,596</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for the nine months ended June 27, 2025 and June 28, 2024 was $90.6 million and $78.8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8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 Billion Revolving Credit Facility due August 2029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A Loans due August 2029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499,624</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June 2030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1,073,060</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April 2028</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725,504</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Term B Loans due January 2027</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836,680</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(EUR) due April 2033</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w:t>
            </w: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February 2028</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1,144,404</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April 2025</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550,789</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(EUR) due April 2025</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362,459</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Facility due July 2026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40,440</w:t>
            </w: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23"/>
        </w:trPr>
        <w:tc>
          <w:tcPr>
            <w:tcW w:w="6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5,271,457</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(964,286)</w:t>
            </w:r>
          </w:p>
        </w:tc>
      </w:tr>
      <w:tr>
        <w:trPr>
          <w:trHeight w:val="223"/>
        </w:trPr>
        <w:tc>
          <w:tcPr>
            <w:tcW w:w="6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6,253,834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4,307,171</w:t>
            </w:r>
          </w:p>
        </w:tc>
      </w:tr>
      <w:tr>
        <w:trPr>
          <w:trHeight w:val="20"/>
        </w:trPr>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27, 2025, there were $1,058.7 million of outstanding foreign currency borrowings.</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27, 2025, there was $906.5 million of availability under the senior secured revolving credit facility and $30.0 million of availability under the Receivables Facility.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3.125% Senior Notes (EUR) due April 2025</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1, 2025, Aramark International Finance S.à.r.l. ("AIFS"), an indirect wholly owned subsidiary of the Company, fully repaid the €325.0 million outstanding aggregate principal amount of AIFS’ euro denominated 3.125% 2025 Senior Notes due April 2025 (the "3.125% 2025 Notes") at maturity, using a portion of the net proceeds from the issuance and sale of the euro denominated 4.375% Senior Notes due April 2033 (the "4.375% 2033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4.375% Senior Notes (EUR) due April 2033</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19, 2025, AIFS issued €400.0 million of 4.375% 2033 Notes, and used a portion of the net proceeds from the issuance and sale of the 4.375% 2033 Notes to repay the 3.125% 2025 Notes and the remainder for general corporate purposes, including reduction of debt. The Company capitalized €4.4 million in third-party costs directly attributable to the issuance and sale of the 4.375% 2033 Notes. The capitalized costs are amortized using the effective interest method over the term of the 4.375% 2033 Notes and are presented in “Long-Term Borrowings” on the Condensed Consolidated Balance Sheet as of June 27, 2025 as a direct deduction from the carrying value of the notes.</w:t>
      </w:r>
    </w:p>
    <w:p>
      <w:pPr>
        <w:spacing w:after="0" w:line="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4.375% 2033 Notes were issued pursuant to an indenture (the "2033 Notes Indenture"), entered into by and among AIFS, the Company, Aramark Services, Inc. ("ASI") and certain other Aramark entities, as guarantors, U.S. Bank Trust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as trustee, and U.S. Bank Europe DAC, as paying agent, transfer agent and registrar. The 4.375% 2033 Notes were issued at par.</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4.375% 2033 Notes are senior unsecured obligations of AIFS. The 4.375% 2033 Notes rank equal in right of payment to all of the AIFS's existing and future senior indebtedness and will rank senior in right of payment to the AIFS' future subordinated indebtedness, if any. The 4.375% 2033 Notes are guaranteed on a senior, unsecured basis by the Company and substantially all of the domestic subsidiaries of ASI. The guarantees of the 4.375% 2033 Notes rank equal in right of payment to all of the senior obligations of such guarantor. The guarantee of the 4.375% 2033 Notes by guarantor is effectively subordinated to all of such guarantor's existing and future secured indebtedness, to the extent of the value of the assets securing that indebtedness, and structurally subordinated to all of the liabilities of any of such guarantor's subsidiaries that do not guarantee the 4.375% 2033 Notes. The 4.375% 2033 Notes are also guaranteed on a senior unsecured basis by the Company for purposes of financial reporting. Interest on the 4.375% 2033 Notes is payable on April 15 and October 15 of each year, commencing October 15, 2025.</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April 15, 2028, AIFS may redeem all or a portion of the 4.375% 2033 Notes at a price equal to 100% of the principal amount of the 4.375% 2033 Notes redeemed plus a “make whole” premium, as described in the 2033 Notes Indenture, and accrued and unpaid interest, if any, to, but not including the date of redemption. AIFS has the option to redeem all or a portion of the 4.375% 2033 Notes at any time on or after April 15, 2028 at the redemption prices set forth in the 2033 Notes Indenture plus accrued and unpaid interest, if any, to, but not including the date of redemption.</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2033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create or allow any restriction on the ability of restricted subsidiaries to make payments to ASI; enter into sale and leaseback transactions; merge, consolidate, sell or otherwise dispose of all or substantially all of ASI and its subsidiaries' assets on a consolidated basis; and designate ASI's subsidiaries as unrestricted subsidiaries. The Company will not be subject to the covenants that apply to ASI or its restricted subsidiaries under the 2033 Notes Indenture. The 2033 Notes Indenture also provides for events of default which, if any of them occurs, would permit or require the principal of and accrued interest on the 4.375% 2033 Notes to become or to be declared due and payable. Further, a failure to pay any obligations under the 2033 Notes Indenture as they become due or any event causing amounts to become due prior to their stated maturity could result in a cross-default and potential acceleration of ASI’s other outstanding debt obligations, including the other senior notes and obligations under the senior secured credit facilities.</w:t>
      </w:r>
    </w:p>
    <w:p>
      <w:pPr>
        <w:spacing w:after="0" w:line="4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United States Term B Loans due June 2030 Incremental Amendment, United States Term B Loans due January 2027 Repayment and 5.000% Senior Notes Due April 2025 Redemption</w:t>
      </w:r>
    </w:p>
    <w:p>
      <w:pPr>
        <w:spacing w:after="0" w:line="254" w:lineRule="auto"/>
        <w:rPr>
          <w:sz w:val="20"/>
          <w:szCs w:val="20"/>
          <w:color w:val="auto"/>
        </w:rPr>
      </w:pPr>
      <w:r>
        <w:rPr>
          <w:rFonts w:ascii="Times New Roman" w:cs="Times New Roman" w:eastAsia="Times New Roman" w:hAnsi="Times New Roman"/>
          <w:sz w:val="18"/>
          <w:szCs w:val="18"/>
          <w:color w:val="auto"/>
        </w:rPr>
        <w:t>ASI and certain of its subsidiaries entered into a credit agreement on March 28, 2017 (as subsequently amended the "Credit Agreement"). On February 18, 2025, ASI entered into an incremental amendment to the Credit Agreement (“Incremental Amendment No. 17”) to provide for, among other things, the establishment of new term loans comprised of new United States dollar denominated Term B-8 Loans ("New U.S. Term B-8 Loans due 2030") in an amount equal to $1,395.0 million, in the form of a fungible upsize to ASI’s existing United States dollar denominated Term B-8 Loans due in June 2030 (“U.S. Term B-8 Loans due 2030”). The New U.S. Term B-8 Loans due 2030 were funded in full on the closing date of Incremental Amendment No. 17 and were applied by ASI to: (a) repay in full $839.3 million of the United States dollar denominated Term B-4 Loans due January 2027 ("U.S. Term B-4 Loans due 2027") previously outstanding under the Credit Agreement; (b) to redeem the entire $551.5 million aggregate principal amount outstanding of ASI's 5.000% Senior Notes due April 2025 (the "5.000% 2025 Notes") at a redemption price equal to 100% of the aggregate principal amount, plus accrued and unpaid interest to the date of redemption; and (c) to pay fees, premiums, expenses and other transaction costs in connection with the foregoing.</w:t>
      </w:r>
    </w:p>
    <w:p>
      <w:pPr>
        <w:spacing w:after="0" w:line="6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U.S. Term B-8 Loans due 2030 bear interest rates equal to either (a) a forward-looking term rate based on the Secured Overnight Financing Rate for the applicable interest period (“Term SOFR”) or (b) a base rate determined by reference to the highest of either (1) the prime rate of the administrative agent, (2) the federal funds rate plus 0.50% and (3) Term SOFR for a one-month interest period plus 1.00% plus an applicable margin set at 2.00% for borrowings based on Term SOFR and 1.00% for borrowings based on the base rate.</w:t>
      </w:r>
    </w:p>
    <w:p>
      <w:pPr>
        <w:spacing w:after="0" w:line="58"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U.S. Term B-8 Loans due 2030 require the payment of installments in the quarterly principal amount of $6.3 million from March 31, 2025 through March 31, 2030, and $2,346.4 million at maturity. The U.S. Term B-8 Loans due 2030 are subject to substantially similar terms relating to guarantees, collateral, mandatory prepayments and covenants that are applicable to ASI’s other Term B Loans outstanding under the Credit Agreement.</w:t>
      </w:r>
    </w:p>
    <w:p>
      <w:pPr>
        <w:spacing w:after="0" w:line="2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capitalized $4.6 million of transaction costs directly attributable to the refinancing in Amendment No. 17, which are amortized using the effective interest method over the term of the loans and are presented in “Long-Term Borrowings” on the Condensed Consolidated Balance Sheet as of June 27, 2025 as a direct deduction from the carrying value of the loans. Amounts paid for capitalized transaction costs are included within “Other financing activities” on the Condensed Consolidated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Statement of Cash Flows for the nine months ended June 27, 2025. Additionally, the Company recorded $8.3 million of charges to "Interest Expense, net" on the Condensed Consolidated Statements of Income for the nine months ended June 27, 2025, consisting of a $2.5 million non-cash loss for the write-off of unamortized deferred financing costs and discount on the U.S. Term B-4 Loans due 2027 and the 5.000% 2025 Notes and the payment of $5.8 million of transaction costs related to the refinancing.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Senior Secured Credit Agreement Refinancing</w:t>
      </w:r>
    </w:p>
    <w:p>
      <w:pPr>
        <w:spacing w:after="0" w:line="10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On March 27, 2024, ASI amended its existing Credit Agreement (“Amendment No. 14”), to provide for, among other things, the repricing of all the United States dollar denominated Term B-5 Loans previously outstanding under the Credit Agreement (“U.S. Term B-5 Loans due 2028”) and the repricing of all the United States dollar denominated Term B-6 Loans previously outstanding under the Credit Agreement (“U.S. Term B-6 Loans due 2030”).</w:t>
      </w:r>
    </w:p>
    <w:p>
      <w:pPr>
        <w:spacing w:after="0" w:line="3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Amendment No. 14, (i) U.S. Term B-5 Loans due 2028 previously outstanding under the Credit Agreement were replaced with new United States dollar denominated Term B-7 Loans (“U.S. Term B-7 Loans due 2028”) in an amount equal to $730.5 million due in April 2028 and (ii) U.S. Term B-6 Loans due 2030 previously outstanding under the Credit Agreement were replaced with the new United States dollar denominated Term B-8 Loans (“U.S. Term B-8 Loans due 2030”) in an amount equal to $1,094.5 million due in June 2030.</w:t>
      </w:r>
    </w:p>
    <w:p>
      <w:pPr>
        <w:spacing w:after="0" w:line="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capitalized $0.9 million of transaction costs that are included within “Other financing activities” on the Condensed Consolidated Statement of Cash Flows for the nine months ended June 28, 2024. Additionally, the Company recorded $1.6 million of charges to "Interest Expense, net" on the Condensed Consolidated Statements of Income for the nine months ended June 28, 2024, consisting of a $1.2 million non-cash loss for the write-off of unamortized deferred financing costs and discount on the U.S. Term B-5 Loans due 2028 and U.S. Term B-6 Loans due 2030 and the payment of $0.4 million of transaction costs related to the repricings.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6.375% Senior Notes due 2025 Repayment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 2023, the Company fully redeemed the $1,500.0 million 6.375% 2025 Senior Notes due May 2025 (the "6.375% 2025 Notes") in conjunction with the separation and distribution of the Uniform segment (see Note 1). The Company recorded $31.8 million of charges to "Interest Expense, net" on the Condensed Consolidated Statements of Income for the nine months ended June 28, 2024,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nine months ended June 28,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INSTRUMENTS:</w:t>
      </w:r>
    </w:p>
    <w:p>
      <w:pPr>
        <w:spacing w:after="0" w:line="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which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$2.4 billion notional amount of outstanding interest rate swap agreements as of June 27, 2025, which fix the rate on a like amount of variable rate borrowings with varying maturities through May 2028. During the nine months ended June 27, 2025, interest rate swaps with notional amounts of $800.0 million matured. The Company entered into $900.0 million notional amount of interest rate swap agreements during the nine months ended June 27, 2025 to hedge the cash flow risk of variability in interest payments on variable rate borrowings.</w:t>
      </w:r>
    </w:p>
    <w:p>
      <w:pPr>
        <w:spacing w:after="0" w:line="4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June 27, 2025 and September 27, 2024, $19.7 million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$36.5 million, respectively, of unrealized net of tax gains related to the interest rate swaps were included in "Accumulated other comprehensive loss" on the Condensed Consolidated Balance Sheets.</w:t>
      </w:r>
    </w:p>
    <w:p>
      <w:pPr>
        <w:spacing w:after="0" w:line="2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unrealized gain (loss) arising from the Company's derivatives designated as cash flow hedging instruments on Other comprehensive income (loss) (in thousands):</w:t>
      </w: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229"/>
        </w:trPr>
        <w:tc>
          <w:tcPr>
            <w:tcW w:w="43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bl>
    <w:p>
      <w:pPr>
        <w:spacing w:after="0" w:line="211" w:lineRule="exact"/>
        <w:rPr>
          <w:sz w:val="20"/>
          <w:szCs w:val="20"/>
          <w:color w:val="auto"/>
        </w:rPr>
      </w:pPr>
    </w:p>
    <w:p>
      <w:pPr>
        <w:ind w:left="360" w:hanging="334"/>
        <w:spacing w:after="0"/>
        <w:tabs>
          <w:tab w:leader="none" w:pos="3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amounts driven by fluctuations in forward interest rates, the maturity of previously existing interest rate swaps and the initiation of new interest rate swaps.</w:t>
      </w:r>
    </w:p>
    <w:p>
      <w:pPr>
        <w:spacing w:after="0" w:line="18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11 for a description of the fair value levels), of the Company's derivatives designated as hedging instruments on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60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Pr>
          <w:p>
            <w:pPr>
              <w:spacing w:after="0"/>
              <w:rPr>
                <w:sz w:val="16"/>
                <w:szCs w:val="16"/>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42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r>
      <w:tr>
        <w:trPr>
          <w:trHeight w:val="223"/>
        </w:trPr>
        <w:tc>
          <w:tcPr>
            <w:tcW w:w="4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49,292</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42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reclassified from "Accumulated other comprehensive loss" into earnings for derivatives designated as hedging instruments on the Condensed Consolidated Statements of Income (in thousands):</w:t>
      </w: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8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June 27, 2025, the Company has a euro denominated term loan in the amount of €90.5 million. The term loan was designated as a hedge of the Company's net euro currency exposure represented by certain holdings in the Company's European affiliates.</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June 27, 2025, the net of tax gain expected to be reclassified from "Accumulated other comprehensive loss" into earnings over the next twelve months based on current market rates is approximately $17.0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RECOGNITION: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the Accounting Standards Codification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r>
      <w:tr>
        <w:trPr>
          <w:trHeight w:val="229"/>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2,931.4</w:t>
            </w:r>
          </w:p>
        </w:tc>
      </w:tr>
      <w:tr>
        <w:trPr>
          <w:trHeight w:val="23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r>
      <w:tr>
        <w:trPr>
          <w:trHeight w:val="229"/>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r>
      <w:tr>
        <w:trPr>
          <w:trHeight w:val="229"/>
        </w:trPr>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Facilities &amp; Other</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1,294.5</w:t>
            </w:r>
          </w:p>
        </w:tc>
      </w:tr>
      <w:tr>
        <w:trPr>
          <w:trHeight w:val="223"/>
        </w:trPr>
        <w:tc>
          <w:tcPr>
            <w:tcW w:w="424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FSS United States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w:t>
            </w:r>
          </w:p>
        </w:tc>
      </w:tr>
      <w:tr>
        <w:trPr>
          <w:trHeight w:val="270"/>
        </w:trPr>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r>
      <w:tr>
        <w:trPr>
          <w:trHeight w:val="223"/>
        </w:trPr>
        <w:tc>
          <w:tcPr>
            <w:tcW w:w="42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Total FSS International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3,583.1</w:t>
            </w:r>
          </w:p>
        </w:tc>
      </w:tr>
      <w:tr>
        <w:trPr>
          <w:trHeight w:val="270"/>
        </w:trPr>
        <w:tc>
          <w:tcPr>
            <w:tcW w:w="4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12,983.8</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spacing w:after="0" w:line="5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During the nine months ended June 27, 2025, deferred income increased related to customer prepayments and decreased related to income recognized during the period as a result of satisfying the performance obligation or return of funds related to non-performance. For the nine months ended June 27, 2025, the Company recognized $311.5 million of revenue that was included in deferred income at the beginning of the period. Deferred income balances are summarized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June 27, 2025, the company recorded a benefit to the “Provision for Income Taxes” on the Condensed Consolidated Statements of Income of $3.1 million for the reversal of a valuation allowance against deferred tax assets within a foreign subsidiary due to an acquisition of a business.</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nine months ended June 28, 2024, the Company recorded a valuation allowance adjustment to the "Provision for Income Taxes" on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2021,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Guided by the OECD framework, more than 140 countries have agreed to enact Pillar Two legislation. The Company currently operates in several countries which will be subject to Pillar Two. The OECD has since issued administrative guidance providing transition and safe harbor rules around the implementation of Pillar Two rules which apply to the Company for fiscal years 2025 through 2027. The Company currently expects to meet the safe harbor requirements in each country subject to Pillar Two in which it operates but will continue to monitor and reflect the impact of legislative changes in future periods, as appropriate. The Pillar Two legislation has no material impact on the condensed consolidated financial statements, and the Company does not expect the impact will be material in future periods.</w:t>
      </w:r>
    </w:p>
    <w:p>
      <w:pPr>
        <w:spacing w:after="0" w:line="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(“OBBB”) Act was signed into law. The OBBB Act contains a broad range of tax reform measures, including provisions that extend or modify certain elements of the Tax Cuts and Jobs Act. The new law has a range of effective dates, with certain changes taking effect in fiscal year 2025 and others that become effective in future periods. The Company is currently assessing the impact of the provisions on its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July 22, 2025, a $0.105 dividend per share of common stock was declared, payable on August 20, 2025, to stockholders of record on the close of business on August 6, 2025.</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Shares repurchased by the Company are accounted for under the treasury cost method. The value of the repurchased shares includes the 1% excise tax accrual as a result of the Inflation Reduction Act of 2022. The Company made an accounting policy election to record the value of the repurchased shares, including the 1% excise tax accrual, to treasury stock. The share repurchase program does not have a fixed expiration date and may be terminated at any time. During the nine months ended June 27, 2025, the Company repurchased 4.0 million shares of its common stock for $140.2 million.</w:t>
      </w:r>
    </w:p>
    <w:p>
      <w:pPr>
        <w:spacing w:after="0" w:line="5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June 27, 2025 and September 27, 2024, zero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0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140,111</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23"/>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265,347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266,577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5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shares that were outstanding but were not included in the diluted earnings per common share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8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15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3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4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229"/>
        </w:trPr>
        <w:tc>
          <w:tcPr>
            <w:tcW w:w="53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Share-based awards</w:t>
            </w:r>
            <w:r>
              <w:rPr>
                <w:rFonts w:ascii="Times New Roman" w:cs="Times New Roman" w:eastAsia="Times New Roman" w:hAnsi="Times New Roman"/>
                <w:sz w:val="23"/>
                <w:szCs w:val="23"/>
                <w:color w:val="auto"/>
                <w:vertAlign w:val="superscript"/>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r>
              <w:rPr>
                <w:rFonts w:ascii="Times New Roman" w:cs="Times New Roman" w:eastAsia="Times New Roman" w:hAnsi="Times New Roman"/>
                <w:sz w:val="23"/>
                <w:szCs w:val="23"/>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15" w:lineRule="exact"/>
        <w:rPr>
          <w:sz w:val="20"/>
          <w:szCs w:val="20"/>
          <w:color w:val="auto"/>
        </w:rPr>
      </w:pPr>
    </w:p>
    <w:p>
      <w:pPr>
        <w:ind w:left="320" w:hanging="294"/>
        <w:spacing w:after="0"/>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awards were not included in the computation of diluted earnings per common share, as their effect would have been antidilutive.</w:t>
      </w:r>
    </w:p>
    <w:p>
      <w:pPr>
        <w:spacing w:after="0" w:line="26" w:lineRule="exact"/>
        <w:rPr>
          <w:rFonts w:ascii="Times New Roman" w:cs="Times New Roman" w:eastAsia="Times New Roman" w:hAnsi="Times New Roman"/>
          <w:sz w:val="13"/>
          <w:szCs w:val="13"/>
          <w:color w:val="auto"/>
        </w:rPr>
      </w:pPr>
    </w:p>
    <w:p>
      <w:pPr>
        <w:ind w:left="320" w:hanging="294"/>
        <w:spacing w:after="0"/>
        <w:tabs>
          <w:tab w:leader="none" w:pos="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stock units were not included in the computation of diluted earnings per common share, as the performance targets were not yet met.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results and outlook. The lawsuit seeks unspecified damages and other relief. On November 22, 2024, the complaint was amended to add the Company and its Chief Executive Officer as additional defendants.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reports its operating results in two reportable segments: FSS United States and FSS International. The Company defines its segments as those operations whose results the chief operating decision maker, identified as the Chief Executive Officer, regularly reviews to analyze performance and allocate resources. Generally, on an annual basis, approximately 84% of the global revenue is related to food services and 16% is related to facilities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is as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5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8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40" w:type="dxa"/>
            <w:vAlign w:val="bottom"/>
            <w:vMerge w:val="continue"/>
          </w:tcPr>
          <w:p>
            <w:pPr>
              <w:spacing w:after="0"/>
              <w:rPr>
                <w:sz w:val="15"/>
                <w:szCs w:val="15"/>
                <w:color w:val="auto"/>
              </w:rPr>
            </w:pPr>
          </w:p>
        </w:tc>
        <w:tc>
          <w:tcPr>
            <w:tcW w:w="17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20" w:type="dxa"/>
            <w:vAlign w:val="bottom"/>
          </w:tcPr>
          <w:p>
            <w:pPr>
              <w:spacing w:after="0"/>
              <w:rPr>
                <w:sz w:val="15"/>
                <w:szCs w:val="15"/>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top w:val="single" w:sz="8" w:color="auto"/>
            </w:tcBorders>
            <w:shd w:val="clear" w:color="auto" w:fill="CCEEFF"/>
          </w:tcPr>
          <w:p>
            <w:pPr>
              <w:spacing w:after="0"/>
              <w:rPr>
                <w:sz w:val="20"/>
                <w:szCs w:val="20"/>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9,604.6</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31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459.2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rPr>
              <w:t>141.1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600.3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8"/>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Corporate includes general expenses not specifically allocated to an individual segment and share-based compensation expense for equity awards.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2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Before Income Taxes</w:t>
            </w: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22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OF FINANCIAL ASSETS AND FINANCIAL LIABILITIES: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8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accounts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derivatives. Management believes that the carrying value of cash and cash equivalents, marketable securities, accounts receivable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are representative of their respective fair values. In conjunction with the fair value measurement of the derivative instruments,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made an accounting policy election to measure the credit risk of its derivative instruments that are subject to master netting agreements on a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by counterparty portfolio, as the gross values would not be materially different. The fair value of the Company's debt at June 27,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27, 2024 was $6,325.2 million and $5,300.7 million, respectively. The carrying value of the Company's debt at June 27, 2025 and September 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was $6,294.9 million and $5,271.5 million, respectively. The fair values were computed using market quotes, if available, or based on discounted cash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using market interest rates as of the end of the respective periods. The inputs utilized in estimating the fair value of the Company's debt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Level 2 in the fair value hierarchy levels.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the Company recorded a contingent consideration obligation. During the nine months ended June 27, 2025, the Company adjusted the contingent consideration liability, resulting in expense of $11.1 million, which is included in "Cost of services provided (exclusive of depreciation and amortization)" on the Condensed Consolidated Statements of Income. The earnout period has ended and the contingent consideration liability at June 27, 2025 and September 27, 2024 was zero. The contingent consideration liability was fully paid out in the second quarter of fiscal 2025.</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7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and nine months ended June 27, 2025 and June 28, 2024 should be read in conjunction with our audited consolidated financial statements and the notes to those statements for the fiscal year ended September 27, 2024 included in our Annual Report on Form 10-K, filed with the Securities and Exchange Commission (the "SEC") on November 19, 2024.</w:t>
      </w:r>
    </w:p>
    <w:p>
      <w:pPr>
        <w:spacing w:after="0" w:line="5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Recent developments regarding tariffs and global trade have resulted in increased volatility and uncertainty for macroeconomic conditions. Since the beginning of the fiscal year, we have seen a moderation in global inflationary costs in product, energy and labor as well as in market interest rates, while we have continued to experience volatility in foreign currencies. Given the uncertainty of tariff policy and the resulting impact on current and future macroeconomic conditions, we may see continued volatility in foreign currencies as well as fluctuating trends in global inflationary costs and market interest rates in the near term. We regularly evaluate and believe we take appropriate actions when necessary to mitigate the risk in these areas. These actions include management of operating costs, including supply chain initiatives and pricing actions, and managing interest rate risk through the use of interest rate swaps and other risk mitigation strategies.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 ending October 3, 2025 is a fifty-three week period and the fiscal year ended September 27, 2024 is a fifty-two week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and nine months ended June 27, 2025 and June 28, 2024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9"/>
                <w:szCs w:val="9"/>
                <w:b w:val="1"/>
                <w:bCs w:val="1"/>
                <w:color w:val="auto"/>
              </w:rPr>
              <w:t>(1)</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0" w:firstLine="8"/>
        <w:spacing w:after="0" w:line="28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70.2% and 71.9% and FSS International represented 29.8% and 28.1% for the three months ended June 27, 2025 and June 28, 2024,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71.4% and 72.4% and FSS International represented 28.6% and 27.6% for the nine months ended June 27, 2025 and June 28, 2024,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increased by approximately 5.7% and 3.7% during the three and nine month periods of fiscal 2025 compared to the prior year periods, respectively. The increase was primarily attributable to base business growth and additional operating days due to a calendar shift at several universities in the FSS United States segment, partially offset by the exit of some lower margin accounts occurring later in fiscal 2024. The increase in the three month period of fiscal 2025 was also attributable to net new business and a favorable impact of foreign currency translation (0.5%). The increase for the nine month period of fiscal 2025 was partially offset by the negative impact of foreign currency translation (0.7%).</w:t>
      </w:r>
    </w:p>
    <w:p>
      <w:pPr>
        <w:spacing w:after="0" w:line="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and nine months ended June 27, 2025 and June 28, 2024 (in millions).</w:t>
      </w: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4"/>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Cost of services provided</w:t>
            </w: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(exclusive of depreciation</w:t>
            </w:r>
          </w:p>
        </w:tc>
        <w:tc>
          <w:tcPr>
            <w:tcW w:w="240" w:type="dxa"/>
            <w:vAlign w:val="bottom"/>
          </w:tcPr>
          <w:p>
            <w:pPr>
              <w:spacing w:after="0"/>
              <w:rPr>
                <w:sz w:val="12"/>
                <w:szCs w:val="12"/>
                <w:color w:val="auto"/>
              </w:rPr>
            </w:pPr>
          </w:p>
        </w:tc>
        <w:tc>
          <w:tcPr>
            <w:tcW w:w="7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and amortization)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3,371.9</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ind w:right="688"/>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and nine months ended June 27, 2025 and June 28, 2024.</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0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w:t>
            </w: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20" w:type="dxa"/>
            <w:vAlign w:val="bottom"/>
            <w:gridSpan w:val="2"/>
            <w:vMerge w:val="continue"/>
          </w:tcPr>
          <w:p>
            <w:pPr>
              <w:spacing w:after="0"/>
              <w:rPr>
                <w:sz w:val="10"/>
                <w:szCs w:val="10"/>
                <w:color w:val="auto"/>
              </w:rPr>
            </w:pPr>
          </w:p>
        </w:tc>
        <w:tc>
          <w:tcPr>
            <w:tcW w:w="1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0" w:type="dxa"/>
            <w:vAlign w:val="bottom"/>
          </w:tcPr>
          <w:p>
            <w:pPr>
              <w:spacing w:after="0"/>
              <w:rPr>
                <w:sz w:val="1"/>
                <w:szCs w:val="1"/>
                <w:color w:val="auto"/>
              </w:rPr>
            </w:pPr>
          </w:p>
        </w:tc>
      </w:tr>
      <w:tr>
        <w:trPr>
          <w:trHeight w:val="19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components</w:t>
            </w:r>
          </w:p>
        </w:tc>
        <w:tc>
          <w:tcPr>
            <w:tcW w:w="180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support service costs</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Operating income increased by $20.9 million and $86.3 million during the three and nine month periods of fiscal 2025 compared to the prior year periods, respectively, driven by base business growth and supply chain efficiencies, partially offset by higher medical claims ($13.0 million and $12.5 million, respectively). The increase in operating income during the three month period of fiscal 2025 was partially offset by severance charges ($12.7 million). In addition, the increase in operating income during the nine month period of fiscal 2025 was attributable to prior year expenses related to the separation and distribution of the Uniform segment ($29.0 million), which was partially offset by higher amortization of acquisition-related intangible assets ($11.8 million) and higher contingent consideration expenses ($10.6 million).</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Interest Expense, net, increased by 6.0% during the three month period of fiscal 2025 compared to the prior year period primarily due to the entering of new interest rate swap agreements at higher interest rates to replace maturing interest rate swap agreements. The interest costs were partially offset by the net effect of the retired United States dollar denominated Term B-4 Loans due January 2027 (“U.S. Term B-4 Loans due 2027”), the redeemed 5.000% Senior Notes due April 2025 (“5.000% 2025 Notes”) and the upsizing of the United States dollar denominated Term B-8 Loans due 2030 (“U.S. Term B-8 Loans due 2030”).</w:t>
      </w:r>
    </w:p>
    <w:p>
      <w:pPr>
        <w:spacing w:after="0" w:line="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Expense, net, decreased by 10.8% during the nine month period of fiscal 2025 compared to the prior year period due to the following: a prior year payment of a $23.9 million call premium; a prior year $7.9 million non-cash loss for the write-off of unamortized deferred financing costs related to the repayment of the 6.375% Senior Notes due May 2025 (the "6.375% 2025 Notes"); a prior year $1.6 million write-off of unamortized deferred financing costs and discount on the United States dollar denominated Term B-5 Loans due 2028 and United States dollar denominated Term B-6 Loans due 2030; and transaction costs related to the repricing of these loans and lower borrowings under the Receivables Facility and revolving credit facility. The decrease was partially offset by the payment of $5.8 million of transaction costs related to the refinancing of the U.S. Term B-8 Loans due 2030, a $2.5 million non-cash loss for the write-off of unamortized deferred financing costs and discount on the U.S. Term B-4 Loans due 2027 and 5.000% 2025 Notes as well as the aforementioned increase referenced in the paragraph above.</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 periods of fiscal 2025 was recorded at an effective tax rate of 25.2% and 25.6%, respectively. The Provision for Income Taxes for the three and nine month periods of fiscal 2024 was recorded at an effective tax rate of 27.5% and 32.0%, respectively. During the three and nine month periods of fiscal 2025, we recorded an income tax benefit of $3.1 million for the reversal of a valuation allowance against deferred tax assets within a foreign subsidiary due to an acquisition of a business. During the nine month period of fiscal 2024, we recorded a $7.1 million valuation allowance adjustment against certain foreign tax credits, as it is more likely than not a tax benefit will not be realized due to the reduction of future forecasted foreign income as a result of the separation and distribution of the Uniform segment (see Note 6 to the condensed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25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1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90"/>
        </w:trPr>
        <w:tc>
          <w:tcPr>
            <w:tcW w:w="3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4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3.3% and 2.2% during the three and nine month periods of fiscal 2025 compared to the prior year periods, respectively, primarily attributable to base business growth. Specifically, for both the three and nine month periods: the Business &amp; Industry sector increase was due to volume growth in base business and net new business; the Education sector revenue was positively impacted by additional operating days due to a calendar shift at several universities; the Sports, Leisure and Corrections sector increase was driven by higher net new business within the Corrections business; and the Facilities &amp; Other sector decrease resulted from the exit of some lower margin accounts in late fiscal 2024, partially offset by increased revenues from procurement services.</w:t>
      </w:r>
    </w:p>
    <w:p>
      <w:pPr>
        <w:spacing w:after="0" w:line="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income increased by $19.9 million and $46.2 million during the three and nine month periods of fiscal 2025 compared to the prior year periods, respectively. The increase was primarily attributable to base business growth and supply chain efficiencies, partially offset by higher medical claims ($13.0 million and $12.5 million for the three and nine month periods, respectively). The increase during the three month period of fiscal 2025 was also attributable to a greater number of operating days due to a calendar shift in the Education sector, partially offset by severance charges ($4.4 million). The increase during the nine month period of fiscal 2025 was partially offset by higher contingent consideration expenses ($10.6 million) and higher amortization of acquisition-related intangible assets ($5.2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12.0% and 7.5% during the three and nine month periods of fiscal 2025 compared to the prior year periods, respectively. The increase was primarily attributable to base business growth and net new business growth. Additionally, the increase during the three month period of fiscal 2025 compared to the prior year period was favorably impacted by foreign currency translation (1.7%). The increase during the nine month period of fiscal 2025 was partially offset by the negative impact of foreign currency translation (2.5%).</w:t>
      </w:r>
    </w:p>
    <w:p>
      <w:pPr>
        <w:spacing w:after="0" w:line="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income decreased by $3.2 million during the three month period of fiscal 2025 compared to the prior year period primarily due to severance charges ($8.2 million), partially offset by base business growth and supply chain efficiencies. Operating income increased by $13.2 million during the nine month period of fiscal 2025 compared to the prior year period primarily attributable to base business growth and supply chain efficiencies, partially offset by severance charges ($8.2 million) and higher amortization of acquisition-related intangible assets ($6.6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decreased by $4.2 million and $26.9 million during the three and nine month periods of fiscal 2025 compared to the prior year periods, respectively. The decrease during the three month period of fiscal 2025 was primarily attributable to lower share-based compensation expense. The decrease during the nine month period of fiscal 2025 was mainly attributable to prior year expenses related to the separation and distribution of the Uniform segment ($29.0 million), partially offset by an increase in acquisition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27, 2025, we had $501.5 million of cash and cash equivalents, $43.7 million of marketable securities, $906.5 million of availability under our senior secured revolving credit facility and $30.0 million of availability under our Receivables Facility. A significant portion of our cash and cash equivalents are held in mature, liquid geographies where we have operations. As of June 27, 2025, we had $1,058.7 million of outstanding foreign currency borrowings.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19, 2025, we issued €400.0 million of euro denominated 4.375% Senior Notes due April 2033 (the "4.375% 2033 Notes"). We used a portion of the net proceeds from the issuance and sale of the 4.375% 2033 Notes to repay at maturity, April 1, 2025, all of the €325.0 million outstanding aggregate principal amount of euro denominated 3.125% Senior Notes due April 2025 (the "3.125% 2025 Notes") and the remainder for general corporate purposes, including reduction of debt (see Note 3 to the condensed consolidated financial statements).</w:t>
      </w:r>
    </w:p>
    <w:p>
      <w:pPr>
        <w:spacing w:after="0" w:line="4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entered into a credit agreement on March 28, 2017 (as subsequently amended the "Credit Agreement"). On February 18, 2025, we entered into an incremental amendment to the Credit Agreement (“Incremental Amendment No. 17”) to provide for, among other things, the establishment of new term loans comprised of new United States dollar denominated Term B-8 Loans ("New U.S. Term B-8 Loans due 2030") in an amount equal to $1,395.0 million, in the form of a fungible upsize to the existing U.S. Term B-8 Loans due 2030. The New U.S. Term B-8 Loans due 2030 were funded in full on the closing date of Incremental Amendment No. 17 and were applied to: (a) repay in full $839.3 million of the U.S. Term B-4 Loans due 2027 previously outstanding under the Credit Agreement; (b) to redeem the entire $551.5 million aggregate principal amount outstanding of the 5.000% 2025 Notes; and (c) to pay fees, premiums, expenses and other transaction costs in connection with the foregoing (see Note 3 to the condensed consolidated financial statements).</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19,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40" w:type="dxa"/>
            <w:vAlign w:val="bottom"/>
          </w:tcPr>
          <w:p>
            <w:pPr>
              <w:spacing w:after="0"/>
              <w:rPr>
                <w:sz w:val="16"/>
                <w:szCs w:val="16"/>
                <w:color w:val="auto"/>
              </w:rPr>
            </w:pP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28, 2024</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679.4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r>
    </w:tbl>
    <w:p>
      <w:pPr>
        <w:spacing w:after="0" w:line="157" w:lineRule="exact"/>
        <w:rPr>
          <w:sz w:val="20"/>
          <w:szCs w:val="20"/>
          <w:color w:val="auto"/>
        </w:rPr>
      </w:pPr>
    </w:p>
    <w:p>
      <w:pPr>
        <w:ind w:right="2040"/>
        <w:spacing w:after="0" w:line="336"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Operating Activities</w:t>
      </w:r>
    </w:p>
    <w:p>
      <w:pPr>
        <w:spacing w:after="0" w:line="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decreased by $40.6 million during the nine month period of fiscal 2025 compared to the prior year period. The decrease was driven by higher net income, lower payments made to clients on contracts and favorable non-cash gains and losses, partially offset by a greater use of cash from the change in operating assets and liabilities as compared to the prior year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unfavorable change in operating assets and liabilities compared to the prior year period of $69.1 million was primarily due to:</w:t>
      </w:r>
    </w:p>
    <w:p>
      <w:pPr>
        <w:spacing w:after="0" w:line="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by $51.4 million, resulting in a higher use of cash due to the timing of disbursements;</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by $29.6 million, resulting in a higher use of cash due to the timing of insurance and other annual contractual payments compared to the prior period;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by $26.3 million, resulting in a lower source of cash due to increased purchases from new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$28.6 million, resulting in a lower use of cash due to the timing of collections; and</w:t>
      </w:r>
    </w:p>
    <w:p>
      <w:pPr>
        <w:spacing w:after="0" w:line="6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$9.6 million, resulting in a lower use of cash primarily due to the timing of interest payments and payroll, partially offset by higher employee incentive payments and higher commission payments mainly in our Sports business.</w:t>
      </w:r>
    </w:p>
    <w:p>
      <w:pPr>
        <w:spacing w:after="0" w:line="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"Other operating activities" caption in both periods reflect adjustments to net income in the current year and prior year periods related to non-cash gains and losses and adjustments to non-operating cash transactions.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were $234.8 million higher during the nine month period of fiscal 2025 compared to the prior year period primarily due to higher acquisitions of certain businesses ($156.7 million) and higher purchases of property and equipment ($58.9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 period of fiscal 2025, cash provided by financing activities was primarily impacted by the following:</w:t>
      </w:r>
    </w:p>
    <w:p>
      <w:pPr>
        <w:spacing w:after="0" w:line="1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upsizing of the U.S. Term B-8 Loans due 2030 ($1,395.0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Receivables Facility ($570.0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4.375% 2033 Notes ($429.7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revolving credit facility ($394.7 million).</w:t>
      </w:r>
    </w:p>
    <w:p>
      <w:pPr>
        <w:spacing w:after="0" w:line="10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sources of cash were partially offset by repayment of the U.S. Term B-4 Loans due 2027 ($839.3 million), redemption of the 5.000% 2025 Notes ($551.5 million), repayment of the 3.125% 2025 Notes ($363.4 million), and the repurchase of common stock through the share repurchase program ($140.2 million).</w:t>
      </w:r>
    </w:p>
    <w:p>
      <w:pPr>
        <w:spacing w:after="0" w:line="4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7"/>
          <w:szCs w:val="17"/>
          <w:color w:val="auto"/>
        </w:rPr>
        <w:t>During the nine month period of fiscal 2024, cash used in financing activities was primarily impacted by repayment of the 6.375% 2025 Notes ($1,500.0 million), offset by borrowings under the Receivables Facility ($599.0 million) and borrowings under the revolving credit facility ($248.0 million).</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nine month periods of fiscal 2025 and fiscal 2024 primarily related to taxes paid by us when we withhold shares upon an employee's exercise or vesting of equity awards to cover income taxes. The nine month period of fiscal 2025 includes the payment of contingent consideration obligations ($25.2 million) and transaction costs related to the issuance of the 4.375% 2033 Notes and the U.S. Term B-8 Loans due 2030 ($15.1 million). The nine month period of fiscal 2024 includes the payment of a call premium on the 6.375% 2025 Notes ($23.9 million) and contingent consideration obligations ($12.8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June 27, 2025, we were in compliance with these covenants.</w:t>
      </w:r>
    </w:p>
    <w:p>
      <w:pPr>
        <w:spacing w:after="0" w:line="5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r>
      <w:tr>
        <w:trPr>
          <w:trHeight w:val="18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June 27, 2025</w:t>
            </w:r>
          </w:p>
        </w:tc>
      </w:tr>
      <w:tr>
        <w:trPr>
          <w:trHeight w:val="229"/>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29"/>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30"/>
        </w:trPr>
        <w:tc>
          <w:tcPr>
            <w:tcW w:w="9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4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or non-recurring gains</w:t>
            </w:r>
            <w:r>
              <w:rPr>
                <w:rFonts w:ascii="Times New Roman" w:cs="Times New Roman" w:eastAsia="Times New Roman" w:hAnsi="Times New Roman"/>
                <w:sz w:val="9"/>
                <w:szCs w:val="9"/>
                <w:color w:val="auto"/>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(4)</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48"/>
        </w:trPr>
        <w:tc>
          <w:tcPr>
            <w:tcW w:w="9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Covenant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420" w:hanging="492"/>
        <w:spacing w:after="0" w:line="282" w:lineRule="auto"/>
        <w:tabs>
          <w:tab w:leader="none" w:pos="4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resulting from the application of accounting for stock options, stock appreciation rights, restricted stock units, performance stock units and deferred stock unit awards.</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2024 gain from the sale of our remaining equity investment in the San Antonio Spurs NBA franchise ($25.1 million).</w:t>
      </w:r>
    </w:p>
    <w:p>
      <w:pPr>
        <w:spacing w:after="0" w:line="9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made during the period.</w:t>
      </w:r>
    </w:p>
    <w:p>
      <w:pPr>
        <w:spacing w:after="0" w:line="63" w:lineRule="exact"/>
        <w:rPr>
          <w:rFonts w:ascii="Times New Roman" w:cs="Times New Roman" w:eastAsia="Times New Roman" w:hAnsi="Times New Roman"/>
          <w:sz w:val="18"/>
          <w:szCs w:val="18"/>
          <w:color w:val="auto"/>
        </w:rPr>
      </w:pPr>
    </w:p>
    <w:p>
      <w:pPr>
        <w:ind w:left="500" w:right="20" w:hanging="492"/>
        <w:spacing w:after="0" w:line="258" w:lineRule="auto"/>
        <w:tabs>
          <w:tab w:leader="none" w:pos="4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adjustments to remove the impact attributable to the adoption of certain accounting standards that are made to the calculation in accordance with the Credit Agreement and indentures ($53.7 million), severance charges ($19.4 million), non-cash adjustments to inventory based on expected usage ($18.2 million), charges related to a ruling on a foreign tax matter ($6.8 million), dividends from miscellaneous investments, net of earnings ($5.0 million), the impact of hyperinflation in Argentina ($3.3 million), contingent consideration expense related to acquisition earn outs, net of reversals ($2.4 million), legal charges related to an anti-trust review ($1.1 million) and other miscellaneous expenses.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twelve months ended June 27, 2025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77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8"/>
        </w:trPr>
        <w:tc>
          <w:tcPr>
            <w:tcW w:w="7700" w:type="dxa"/>
            <w:vAlign w:val="bottom"/>
            <w:tcBorders>
              <w:top w:val="single" w:sz="8" w:color="CCEEFF"/>
            </w:tcBorders>
            <w:shd w:val="clear" w:color="auto" w:fill="CCEEFF"/>
          </w:tcPr>
          <w:p>
            <w:pPr>
              <w:ind w:left="60"/>
              <w:spacing w:after="0" w:line="228"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7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2.96x</w:t>
            </w:r>
          </w:p>
        </w:tc>
      </w:tr>
      <w:tr>
        <w:trPr>
          <w:trHeight w:val="306"/>
        </w:trPr>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2.000x</w:t>
            </w:r>
          </w:p>
        </w:tc>
        <w:tc>
          <w:tcPr>
            <w:tcW w:w="172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3.98x</w:t>
            </w:r>
          </w:p>
        </w:tc>
      </w:tr>
    </w:tbl>
    <w:p>
      <w:pPr>
        <w:spacing w:after="0" w:line="80" w:lineRule="exact"/>
        <w:rPr>
          <w:sz w:val="20"/>
          <w:szCs w:val="20"/>
          <w:color w:val="auto"/>
        </w:rPr>
      </w:pPr>
    </w:p>
    <w:p>
      <w:pPr>
        <w:ind w:left="500" w:right="40" w:hanging="492"/>
        <w:spacing w:after="0" w:line="254" w:lineRule="auto"/>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20" w:hanging="492"/>
        <w:spacing w:after="0" w:line="253" w:lineRule="auto"/>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certain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certain specified exceptions, and (2) make certain restricted payments, other than pursuant to certain specified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w:t>
      </w:r>
    </w:p>
    <w:p>
      <w:pPr>
        <w:spacing w:after="0" w:line="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June 27, 2025.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June 27, 2025 and September 27, 2024, cash and cash equivalents at the Captive were $97.7 million and $94.7 million, respectively. The Captive also invests in United States Treasury securities where the amount as of June 27, 2025 and September 27, 2024 was $43.7 million and $42.3 million, respectively, and is recorded in "Prepayments and other current assets"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our Annual Report on Form 10-K, filed with the SEC on November 19, 2024. For a more complete discussion of our accounting policies and critical accounting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19, 2024.</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June 27, 2025 has not materially changed from September 27, 2024 (see Part II, Item 7A "Quantitative and Qualitative Disclosure About Market Risk" in our Annual Report on Form 10-K for the fiscal year ended September 27, 2024 filed with the SEC on November 19, 2024). However, we completed several debt related transactions during the second quarter of fiscal 2025 that may impact our related exposure to this market risk. First, we repaid in full $839.3 million of the U.S. Term B-4 Loans due 2027 and redeemed the entire $551.5 million aggregate principal amount outstanding of the 5.000% 2025 Notes. In connection with the repayment and redemption, we completed a syndication process for New U.S. Term B-8 Loans due 2030 in an aggregate principal amount of $1,395.0 million. In addition, we issued €400.0 million of the 4.375% 2033 Notes, using a portion of the net proceeds to repay all of the 3.125% 2025 Notes on April 1, 2025 and the remainder for general corporate purposes, including reduction of debt. Lastly, during the nine months ended June 27, 2025, interest rate swaps with a notional amount of $800.0 million matured and interest rate swaps with a notional amount of $900.0 million were entered into. See Note 3 to the condensed consolidated financial statements related to the changes in our debt levels. See Note 4 to the condensed consolidated financial statements for a discussion of our derivative instruments and Note 11 for the disclosure of the fair value and related carrying value of our debt obligations as of June 27, 2025.</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third quarter of fiscal 2025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June 27,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the condensed consolidated financial statements.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September 27, 2024 filed with the SEC on November 19, 2024.</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June 27, 2025 was as follows: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29, 2025 to April 25,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26, 2025 to May 23,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24, 2025 to June 27, 2025</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6"/>
                <w:szCs w:val="16"/>
                <w:color w:val="auto"/>
              </w:rPr>
            </w:pPr>
          </w:p>
        </w:tc>
        <w:tc>
          <w:tcPr>
            <w:tcW w:w="16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Value of Shares (or</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That May Yet</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right="174"/>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189"/>
        </w:trPr>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80" w:type="dxa"/>
            <w:vAlign w:val="bottom"/>
          </w:tcPr>
          <w:p>
            <w:pPr>
              <w:spacing w:after="0"/>
              <w:rPr>
                <w:sz w:val="16"/>
                <w:szCs w:val="16"/>
                <w:color w:val="auto"/>
              </w:rPr>
            </w:pPr>
          </w:p>
        </w:tc>
        <w:tc>
          <w:tcPr>
            <w:tcW w:w="17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Per Share (or Units)</w:t>
            </w: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54"/>
              <w:spacing w:after="0" w:line="189"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62"/>
        </w:trPr>
        <w:tc>
          <w:tcPr>
            <w:tcW w:w="16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8"/>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893,100</w:t>
            </w:r>
          </w:p>
        </w:tc>
        <w:tc>
          <w:tcPr>
            <w:tcW w:w="8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893,100</w:t>
            </w:r>
          </w:p>
        </w:tc>
        <w:tc>
          <w:tcPr>
            <w:tcW w:w="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359,844</w:t>
            </w:r>
          </w:p>
        </w:tc>
        <w:tc>
          <w:tcPr>
            <w:tcW w:w="0" w:type="dxa"/>
            <w:vAlign w:val="bottom"/>
          </w:tcPr>
          <w:p>
            <w:pPr>
              <w:spacing w:after="0"/>
              <w:rPr>
                <w:sz w:val="1"/>
                <w:szCs w:val="1"/>
                <w:color w:val="auto"/>
              </w:rPr>
            </w:pPr>
          </w:p>
        </w:tc>
      </w:tr>
      <w:tr>
        <w:trPr>
          <w:trHeight w:val="229"/>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359,844</w:t>
            </w:r>
          </w:p>
        </w:tc>
        <w:tc>
          <w:tcPr>
            <w:tcW w:w="0" w:type="dxa"/>
            <w:vAlign w:val="bottom"/>
          </w:tcPr>
          <w:p>
            <w:pPr>
              <w:spacing w:after="0"/>
              <w:rPr>
                <w:sz w:val="1"/>
                <w:szCs w:val="1"/>
                <w:color w:val="auto"/>
              </w:rPr>
            </w:pPr>
          </w:p>
        </w:tc>
      </w:tr>
      <w:tr>
        <w:trPr>
          <w:trHeight w:val="234"/>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359,844</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-334010</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-633730</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660" w:space="720"/>
            <w:col w:w="6840"/>
          </w:cols>
          <w:pgMar w:left="320" w:top="175" w:right="359" w:bottom="1440" w:gutter="0" w:footer="0" w:header="0"/>
          <w:type w:val="continuous"/>
        </w:sectPr>
      </w:pPr>
    </w:p>
    <w:p>
      <w:pPr>
        <w:ind w:right="60" w:firstLine="8"/>
        <w:spacing w:after="0" w:line="28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5, 2024, our Board of Directors approved a share repurchase program under which we are authorized to repurchase up to $500.0 million of our outstanding common stock. The share repurchase program does not have a fixed expiration date and may be terminated at any time.</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2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27, 2025,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5, 2025.</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James J. Tarangelo, Chief Financial Officer, pursuant to Section 302 of the Sarbanes-Oxley Act of 2002.</w:t>
      </w:r>
    </w:p>
    <w:p>
      <w:pPr>
        <w:spacing w:after="0" w:line="23" w:lineRule="exact"/>
        <w:rPr>
          <w:sz w:val="20"/>
          <w:szCs w:val="20"/>
          <w:color w:val="auto"/>
        </w:rPr>
      </w:pPr>
    </w:p>
    <w:p>
      <w:pPr>
        <w:ind w:left="1100" w:right="260" w:hanging="548"/>
        <w:spacing w:after="0" w:line="234"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James J. Tarangelo, Chief Financial Officer, pursuant to Section 906 of the Sarbanes-Oxley Act of 2002.</w:t>
      </w:r>
    </w:p>
    <w:p>
      <w:pPr>
        <w:spacing w:after="0" w:line="10" w:lineRule="exact"/>
        <w:rPr>
          <w:sz w:val="20"/>
          <w:szCs w:val="20"/>
          <w:color w:val="auto"/>
        </w:rPr>
      </w:pPr>
    </w:p>
    <w:p>
      <w:pPr>
        <w:ind w:left="1100" w:hanging="408"/>
        <w:spacing w:after="0" w:line="220" w:lineRule="auto"/>
        <w:tabs>
          <w:tab w:leader="none" w:pos="110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June 27, 2025 formatted in inline XBRL: (i) Condensed Consolidated Balance Sheets as of June 27, 2025 and September 27, 2024; (ii) Condensed Consolidated Statements of Income for the three and nine months ended June 27, 2025 and June 28, 2024; (iii) Condensed Consolidated Statements of Comprehensive Income for the three and nine months ended June 27, 2025 and June 28, 2024; (iv) Condensed Consolidated Statements of Cash Flows for the nine months ended June 27, 2025 and June 28, 2024; (v) Condensed Consolidated Statements of Stockholders' Equity for the three and nine months ended June 27, 2025 and June 28, 2024; and (vi) Notes to condensed consolidated financial statements.</w:t>
      </w:r>
    </w:p>
    <w:p>
      <w:pPr>
        <w:ind w:left="340" w:right="1100" w:firstLine="352"/>
        <w:spacing w:after="0" w:line="380" w:lineRule="auto"/>
        <w:tabs>
          <w:tab w:leader="none" w:pos="11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102"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60"/>
          </w:cols>
          <w:pgMar w:left="320" w:top="175" w:right="4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June 27, 2025;</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3000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104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Tarangelo, Senior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June 27, 2025;</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3000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ind w:left="1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June 27, 2025,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5, 2025</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2025-08-05T15:37:23Z</dcterms:created>
  <dcterms:modified xsi:type="dcterms:W3CDTF">2025-08-05T15:37:23Z</dcterms:modified>
</cp:coreProperties>
</file>