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8" w:lineRule="exact"/>
        <w:rPr>
          <w:sz w:val="24"/>
          <w:szCs w:val="24"/>
          <w:color w:val="auto"/>
        </w:rPr>
      </w:pPr>
    </w:p>
    <w:p>
      <w:pPr>
        <w:ind w:left="2600" w:hanging="278"/>
        <w:spacing w:after="0"/>
        <w:tabs>
          <w:tab w:leader="none" w:pos="26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22"/>
          <w:szCs w:val="22"/>
          <w:b w:val="1"/>
          <w:bCs w:val="1"/>
          <w:color w:val="auto"/>
        </w:rPr>
        <w:t>QUARTERLY REPORT PURSUANT TO SECTION 13 or 15(d) OF</w:t>
      </w:r>
    </w:p>
    <w:p>
      <w:pPr>
        <w:spacing w:after="0" w:line="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1, 2022</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2560" w:hanging="342"/>
        <w:spacing w:after="0"/>
        <w:tabs>
          <w:tab w:leader="none" w:pos="2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001-36223</w:t>
      </w:r>
    </w:p>
    <w:p>
      <w:pPr>
        <w:spacing w:after="0" w:line="6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51435</wp:posOffset>
            </wp:positionV>
            <wp:extent cx="2468880"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tbl>
      <w:tblPr>
        <w:tblLayout w:type="fixed"/>
        <w:tblInd w:w="1840" w:type="dxa"/>
        <w:tblCellMar>
          <w:top w:w="0" w:type="dxa"/>
          <w:left w:w="0" w:type="dxa"/>
          <w:bottom w:w="0" w:type="dxa"/>
          <w:right w:w="0" w:type="dxa"/>
        </w:tblCellMar>
      </w:tblPr>
      <w:tr>
        <w:trPr>
          <w:trHeight w:val="402"/>
        </w:trPr>
        <w:tc>
          <w:tcPr>
            <w:tcW w:w="5780" w:type="dxa"/>
            <w:vAlign w:val="bottom"/>
          </w:tcPr>
          <w:p>
            <w:pPr>
              <w:jc w:val="center"/>
              <w:ind w:left="1712"/>
              <w:spacing w:after="0"/>
              <w:rPr>
                <w:sz w:val="20"/>
                <w:szCs w:val="20"/>
                <w:color w:val="auto"/>
              </w:rPr>
            </w:pPr>
            <w:r>
              <w:rPr>
                <w:rFonts w:ascii="Times New Roman" w:cs="Times New Roman" w:eastAsia="Times New Roman" w:hAnsi="Times New Roman"/>
                <w:sz w:val="32"/>
                <w:szCs w:val="32"/>
                <w:b w:val="1"/>
                <w:bCs w:val="1"/>
                <w:color w:val="auto"/>
              </w:rPr>
              <w:t>Aramark</w:t>
            </w:r>
          </w:p>
        </w:tc>
        <w:tc>
          <w:tcPr>
            <w:tcW w:w="1400" w:type="dxa"/>
            <w:vAlign w:val="bottom"/>
          </w:tcPr>
          <w:p>
            <w:pPr>
              <w:spacing w:after="0"/>
              <w:rPr>
                <w:sz w:val="24"/>
                <w:szCs w:val="24"/>
                <w:color w:val="auto"/>
              </w:rPr>
            </w:pPr>
          </w:p>
        </w:tc>
      </w:tr>
      <w:tr>
        <w:trPr>
          <w:trHeight w:val="188"/>
        </w:trPr>
        <w:tc>
          <w:tcPr>
            <w:tcW w:w="5780" w:type="dxa"/>
            <w:vAlign w:val="bottom"/>
          </w:tcPr>
          <w:p>
            <w:pPr>
              <w:jc w:val="center"/>
              <w:ind w:left="1712"/>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400" w:type="dxa"/>
            <w:vAlign w:val="bottom"/>
          </w:tcPr>
          <w:p>
            <w:pPr>
              <w:spacing w:after="0"/>
              <w:rPr>
                <w:sz w:val="16"/>
                <w:szCs w:val="16"/>
                <w:color w:val="auto"/>
              </w:rPr>
            </w:pPr>
          </w:p>
        </w:tc>
      </w:tr>
      <w:tr>
        <w:trPr>
          <w:trHeight w:val="244"/>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20-8236097</w:t>
            </w:r>
          </w:p>
        </w:tc>
      </w:tr>
      <w:tr>
        <w:trPr>
          <w:trHeight w:val="144"/>
        </w:trPr>
        <w:tc>
          <w:tcPr>
            <w:tcW w:w="5780" w:type="dxa"/>
            <w:vAlign w:val="bottom"/>
          </w:tcPr>
          <w:p>
            <w:pPr>
              <w:jc w:val="center"/>
              <w:ind w:right="3412"/>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4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5780" w:type="dxa"/>
            <w:vAlign w:val="bottom"/>
          </w:tcPr>
          <w:p>
            <w:pPr>
              <w:jc w:val="center"/>
              <w:ind w:right="339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271"/>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9"/>
              </w:rPr>
              <w:t>2400 Market Street</w:t>
            </w:r>
          </w:p>
        </w:tc>
        <w:tc>
          <w:tcPr>
            <w:tcW w:w="1400" w:type="dxa"/>
            <w:vAlign w:val="bottom"/>
          </w:tcPr>
          <w:p>
            <w:pPr>
              <w:spacing w:after="0"/>
              <w:rPr>
                <w:sz w:val="23"/>
                <w:szCs w:val="23"/>
                <w:color w:val="auto"/>
              </w:rPr>
            </w:pPr>
          </w:p>
        </w:tc>
      </w:tr>
      <w:tr>
        <w:trPr>
          <w:trHeight w:val="247"/>
        </w:trPr>
        <w:tc>
          <w:tcPr>
            <w:tcW w:w="5780" w:type="dxa"/>
            <w:vAlign w:val="bottom"/>
          </w:tcPr>
          <w:p>
            <w:pPr>
              <w:jc w:val="center"/>
              <w:ind w:right="3392"/>
              <w:spacing w:after="0"/>
              <w:rPr>
                <w:sz w:val="20"/>
                <w:szCs w:val="20"/>
                <w:color w:val="auto"/>
              </w:rPr>
            </w:pPr>
            <w:r>
              <w:rPr>
                <w:rFonts w:ascii="Times New Roman" w:cs="Times New Roman" w:eastAsia="Times New Roman" w:hAnsi="Times New Roman"/>
                <w:sz w:val="18"/>
                <w:szCs w:val="18"/>
                <w:b w:val="1"/>
                <w:bCs w:val="1"/>
                <w:color w:val="auto"/>
                <w:w w:val="98"/>
              </w:rPr>
              <w:t>Philadelphia, Pennsylvania</w:t>
            </w:r>
          </w:p>
        </w:tc>
        <w:tc>
          <w:tcPr>
            <w:tcW w:w="1400" w:type="dxa"/>
            <w:vAlign w:val="bottom"/>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19103</w:t>
            </w:r>
          </w:p>
        </w:tc>
      </w:tr>
      <w:tr>
        <w:trPr>
          <w:trHeight w:val="188"/>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r>
        <w:trPr>
          <w:trHeight w:val="374"/>
        </w:trPr>
        <w:tc>
          <w:tcPr>
            <w:tcW w:w="5780" w:type="dxa"/>
            <w:vAlign w:val="bottom"/>
          </w:tcPr>
          <w:p>
            <w:pPr>
              <w:jc w:val="right"/>
              <w:ind w:right="1352"/>
              <w:spacing w:after="0"/>
              <w:rPr>
                <w:sz w:val="20"/>
                <w:szCs w:val="20"/>
                <w:color w:val="auto"/>
              </w:rPr>
            </w:pPr>
            <w:r>
              <w:rPr>
                <w:rFonts w:ascii="Times New Roman" w:cs="Times New Roman" w:eastAsia="Times New Roman" w:hAnsi="Times New Roman"/>
                <w:sz w:val="18"/>
                <w:szCs w:val="18"/>
                <w:b w:val="1"/>
                <w:bCs w:val="1"/>
                <w:color w:val="auto"/>
              </w:rPr>
              <w:t>(215) 238-3000</w:t>
            </w:r>
          </w:p>
        </w:tc>
        <w:tc>
          <w:tcPr>
            <w:tcW w:w="1400" w:type="dxa"/>
            <w:vAlign w:val="bottom"/>
          </w:tcPr>
          <w:p>
            <w:pPr>
              <w:spacing w:after="0"/>
              <w:rPr>
                <w:sz w:val="24"/>
                <w:szCs w:val="24"/>
                <w:color w:val="auto"/>
              </w:rPr>
            </w:pPr>
          </w:p>
        </w:tc>
      </w:tr>
      <w:tr>
        <w:trPr>
          <w:trHeight w:val="211"/>
        </w:trPr>
        <w:tc>
          <w:tcPr>
            <w:tcW w:w="5780" w:type="dxa"/>
            <w:vAlign w:val="bottom"/>
          </w:tcPr>
          <w:p>
            <w:pPr>
              <w:jc w:val="center"/>
              <w:ind w:left="1692"/>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400" w:type="dxa"/>
            <w:vAlign w:val="bottom"/>
          </w:tcPr>
          <w:p>
            <w:pPr>
              <w:spacing w:after="0"/>
              <w:rPr>
                <w:sz w:val="18"/>
                <w:szCs w:val="18"/>
                <w:color w:val="auto"/>
              </w:rPr>
            </w:pPr>
          </w:p>
        </w:tc>
      </w:tr>
      <w:tr>
        <w:trPr>
          <w:trHeight w:val="234"/>
        </w:trPr>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400" w:type="dxa"/>
            <w:vAlign w:val="bottom"/>
          </w:tcPr>
          <w:p>
            <w:pPr>
              <w:spacing w:after="0"/>
              <w:rPr>
                <w:sz w:val="20"/>
                <w:szCs w:val="20"/>
                <w:color w:val="auto"/>
              </w:rPr>
            </w:pPr>
          </w:p>
        </w:tc>
      </w:tr>
    </w:tbl>
    <w:p>
      <w:pPr>
        <w:spacing w:after="0" w:line="22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60" w:type="dxa"/>
            <w:vAlign w:val="bottom"/>
          </w:tcPr>
          <w:p>
            <w:pPr>
              <w:spacing w:after="0"/>
              <w:rPr>
                <w:sz w:val="18"/>
                <w:szCs w:val="18"/>
                <w:color w:val="auto"/>
              </w:rPr>
            </w:pPr>
          </w:p>
        </w:tc>
        <w:tc>
          <w:tcPr>
            <w:tcW w:w="37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ARMK</w:t>
            </w:r>
          </w:p>
        </w:tc>
        <w:tc>
          <w:tcPr>
            <w:tcW w:w="260" w:type="dxa"/>
            <w:vAlign w:val="bottom"/>
          </w:tcPr>
          <w:p>
            <w:pPr>
              <w:spacing w:after="0"/>
              <w:rPr>
                <w:sz w:val="17"/>
                <w:szCs w:val="17"/>
                <w:color w:val="auto"/>
              </w:rPr>
            </w:pPr>
          </w:p>
        </w:tc>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54" w:lineRule="exact"/>
        <w:rPr>
          <w:sz w:val="24"/>
          <w:szCs w:val="24"/>
          <w:color w:val="auto"/>
        </w:rPr>
      </w:pPr>
    </w:p>
    <w:p>
      <w:pPr>
        <w:ind w:firstLine="405"/>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8" w:lineRule="exact"/>
        <w:tabs>
          <w:tab w:leader="none" w:pos="600" w:val="left"/>
        </w:tabs>
        <w:rPr>
          <w:sz w:val="20"/>
          <w:szCs w:val="20"/>
          <w:color w:val="auto"/>
        </w:rPr>
      </w:pPr>
      <w:r>
        <w:rPr>
          <w:rFonts w:ascii="Times New Roman" w:cs="Times New Roman" w:eastAsia="Times New Roman" w:hAnsi="Times New Roman"/>
          <w:sz w:val="18"/>
          <w:szCs w:val="18"/>
          <w:color w:val="auto"/>
        </w:rPr>
        <w:t xml:space="preserve">Yes </w:t>
      </w:r>
      <w:r>
        <w:rPr>
          <w:rFonts w:ascii="Arial" w:cs="Arial" w:eastAsia="Arial" w:hAnsi="Arial"/>
          <w:sz w:val="18"/>
          <w:szCs w:val="18"/>
          <w:color w:val="auto"/>
        </w:rPr>
        <w:t>x</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34" w:lineRule="exact"/>
        <w:rPr>
          <w:sz w:val="24"/>
          <w:szCs w:val="24"/>
          <w:color w:val="auto"/>
        </w:rPr>
      </w:pPr>
    </w:p>
    <w:p>
      <w:pPr>
        <w:ind w:right="80" w:firstLine="405"/>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8" w:lineRule="exact"/>
        <w:tabs>
          <w:tab w:leader="none" w:pos="600" w:val="left"/>
        </w:tabs>
        <w:rPr>
          <w:sz w:val="20"/>
          <w:szCs w:val="20"/>
          <w:color w:val="auto"/>
        </w:rPr>
      </w:pPr>
      <w:r>
        <w:rPr>
          <w:rFonts w:ascii="Times New Roman" w:cs="Times New Roman" w:eastAsia="Times New Roman" w:hAnsi="Times New Roman"/>
          <w:sz w:val="18"/>
          <w:szCs w:val="18"/>
          <w:color w:val="auto"/>
        </w:rPr>
        <w:t xml:space="preserve">Yes </w:t>
      </w:r>
      <w:r>
        <w:rPr>
          <w:rFonts w:ascii="Arial" w:cs="Arial" w:eastAsia="Arial" w:hAnsi="Arial"/>
          <w:sz w:val="18"/>
          <w:szCs w:val="18"/>
          <w:color w:val="auto"/>
        </w:rPr>
        <w:t>x</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34" w:lineRule="exact"/>
        <w:rPr>
          <w:sz w:val="24"/>
          <w:szCs w:val="24"/>
          <w:color w:val="auto"/>
        </w:rPr>
      </w:pPr>
    </w:p>
    <w:p>
      <w:pPr>
        <w:ind w:right="100" w:firstLine="40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208" w:lineRule="exact"/>
        <w:tabs>
          <w:tab w:leader="none" w:pos="1940" w:val="left"/>
          <w:tab w:leader="none" w:pos="2280" w:val="left"/>
          <w:tab w:leader="none" w:pos="3700" w:val="left"/>
          <w:tab w:leader="none" w:pos="5780" w:val="left"/>
          <w:tab w:leader="none" w:pos="8400" w:val="left"/>
          <w:tab w:leader="none" w:pos="109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Arial" w:cs="Arial" w:eastAsia="Arial" w:hAnsi="Arial"/>
          <w:sz w:val="18"/>
          <w:szCs w:val="18"/>
          <w:color w:val="auto"/>
        </w:rPr>
        <w:t xml:space="preserve">o  </w:t>
      </w:r>
      <w:r>
        <w:rPr>
          <w:rFonts w:ascii="Times New Roman" w:cs="Times New Roman" w:eastAsia="Times New Roman" w:hAnsi="Times New Roman"/>
          <w:sz w:val="18"/>
          <w:szCs w:val="18"/>
          <w:color w:val="auto"/>
        </w:rPr>
        <w:t>Non-accelerated filer</w:t>
      </w:r>
      <w:r>
        <w:rPr>
          <w:rFonts w:ascii="Arial" w:cs="Arial" w:eastAsia="Arial" w:hAnsi="Arial"/>
          <w:sz w:val="18"/>
          <w:szCs w:val="18"/>
          <w:color w:val="auto"/>
        </w:rPr>
        <w:tab/>
        <w:t xml:space="preserve">o </w:t>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6" w:lineRule="exact"/>
        <w:rPr>
          <w:sz w:val="24"/>
          <w:szCs w:val="24"/>
          <w:color w:val="auto"/>
        </w:rPr>
      </w:pPr>
    </w:p>
    <w:p>
      <w:pPr>
        <w:ind w:right="40" w:firstLine="40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ind w:left="420" w:right="146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As of July 29, 2022, the number of shares of the registrant's common stock outstanding is 257,716,692.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6" w:right="399" w:bottom="1440" w:gutter="0" w:footer="0" w:header="0"/>
        </w:sectPr>
      </w:pPr>
    </w:p>
    <w:bookmarkStart w:id="1" w:name="page2"/>
    <w:bookmarkEnd w:id="1"/>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4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gridSpan w:val="6"/>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160" w:type="dxa"/>
            <w:vAlign w:val="bottom"/>
          </w:tcPr>
          <w:p>
            <w:pPr>
              <w:spacing w:after="0"/>
              <w:rPr>
                <w:sz w:val="24"/>
                <w:szCs w:val="24"/>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4300" w:type="dxa"/>
            <w:vAlign w:val="bottom"/>
            <w:gridSpan w:val="8"/>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(Loss</w:t>
            </w:r>
            <w:r>
              <w:rPr>
                <w:rFonts w:ascii="Times New Roman" w:cs="Times New Roman" w:eastAsia="Times New Roman" w:hAnsi="Times New Roman"/>
                <w:sz w:val="18"/>
                <w:szCs w:val="18"/>
                <w:u w:val="single" w:color="auto"/>
                <w:color w:val="661DE8"/>
              </w:rPr>
              <w:t>)</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w:t>
            </w:r>
            <w:r>
              <w:rPr>
                <w:rFonts w:ascii="Times New Roman" w:cs="Times New Roman" w:eastAsia="Times New Roman" w:hAnsi="Times New Roman"/>
                <w:sz w:val="18"/>
                <w:szCs w:val="18"/>
                <w:u w:val="single" w:color="auto"/>
                <w:color w:val="661DE8"/>
              </w:rPr>
              <w:t>)</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1300" w:type="dxa"/>
            <w:vAlign w:val="bottom"/>
            <w:gridSpan w:val="5"/>
          </w:tcPr>
          <w:p>
            <w:pPr>
              <w:spacing w:after="0"/>
              <w:rPr>
                <w:sz w:val="18"/>
                <w:szCs w:val="18"/>
                <w:color w:val="auto"/>
              </w:rPr>
            </w:pPr>
          </w:p>
        </w:tc>
        <w:tc>
          <w:tcPr>
            <w:tcW w:w="2220" w:type="dxa"/>
            <w:vAlign w:val="bottom"/>
            <w:gridSpan w:val="2"/>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40" w:type="dxa"/>
            <w:vAlign w:val="bottom"/>
            <w:gridSpan w:val="2"/>
          </w:tcPr>
          <w:p>
            <w:pPr>
              <w:spacing w:after="0"/>
              <w:rPr>
                <w:sz w:val="18"/>
                <w:szCs w:val="18"/>
                <w:color w:val="auto"/>
              </w:rPr>
            </w:pPr>
          </w:p>
        </w:tc>
        <w:tc>
          <w:tcPr>
            <w:tcW w:w="2900" w:type="dxa"/>
            <w:vAlign w:val="bottom"/>
            <w:gridSpan w:val="3"/>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2.</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4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6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20" w:type="dxa"/>
            <w:vAlign w:val="bottom"/>
            <w:tcBorders>
              <w:top w:val="single" w:sz="8" w:color="0000FF"/>
            </w:tcBorders>
          </w:tcPr>
          <w:p>
            <w:pPr>
              <w:spacing w:after="0"/>
              <w:rPr>
                <w:sz w:val="18"/>
                <w:szCs w:val="18"/>
                <w:color w:val="auto"/>
              </w:rPr>
            </w:pPr>
          </w:p>
        </w:tc>
        <w:tc>
          <w:tcPr>
            <w:tcW w:w="360" w:type="dxa"/>
            <w:vAlign w:val="bottom"/>
            <w:gridSpan w:val="2"/>
          </w:tcPr>
          <w:p>
            <w:pPr>
              <w:spacing w:after="0"/>
              <w:rPr>
                <w:sz w:val="18"/>
                <w:szCs w:val="18"/>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900" w:type="dxa"/>
            <w:vAlign w:val="bottom"/>
            <w:gridSpan w:val="12"/>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680" w:type="dxa"/>
            <w:vAlign w:val="bottom"/>
            <w:gridSpan w:val="3"/>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80" w:type="dxa"/>
            <w:vAlign w:val="bottom"/>
            <w:gridSpan w:val="3"/>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92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60" w:type="dxa"/>
            <w:vAlign w:val="bottom"/>
            <w:gridSpan w:val="11"/>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920" w:type="dxa"/>
            <w:vAlign w:val="bottom"/>
            <w:gridSpan w:val="1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1"/>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About Forward-Looking Statements</w:t>
      </w:r>
    </w:p>
    <w:p>
      <w:pPr>
        <w:spacing w:after="0" w:line="1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impact of the ongoing COVID-19 pandemic, the performance of our business, our financial results, our operations, our liquidity and capital resources, the conditions in our industry and our growth strategy. In some cases forward-looking statements can be identified by words such as "outlook," "aim," "anticipate," "are or remain or continue to be confident,"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actual results or outcomes may differ materially from those that we expected.</w:t>
      </w:r>
    </w:p>
    <w:p>
      <w:pPr>
        <w:spacing w:after="0" w:line="5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Some of the factors that we believe could affect or continue to affect our results include without limitation: the severity and duration of the ongoing COVID-19 pandemic; the pandemic's impact on the United States and global economies, including particularly the client sectors we serve and governmental responses to the pandemic; unfavorable economic conditions; natural disasters, global calamities, climate change, new pandemics, sports strikes and other adverse incidents; geopolitical events including, but not limited to, the ongoing conflict between Russia and Ukraine and its effects on global supply chains, volatility and disruption of global financial markets;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our expansion strategy and our ability to successfully integrate the businesses we acquire and costs and timing related thereto; continued or further unionization of our workforce; liability resulting from our participation in multiemployer defined benefit pension plans; the inability to hire and retain key or sufficient qualified personnel or increases in labor costs;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the failure to maintain food safety throughout our supply chain, food-borne illness concerns and claims of illness or injury; a cybersecurity incident or other disruptions in the availability of our computer systems or privacy breaches; our leverage; the inability to generate sufficient cash to service all of our indebtedness; debt agreements that limit our flexibility in operating our business; risks associated with the impact, timing or terms of the proposed spin-off of Aramark Uniform Services (our Uniform segment) as an independent publicly traded company to our stockholders (the "proposed spin-off'"); risks associated with the expected benefits and costs of the proposed spin-off, including the risk that the expected benefits of the proposed spin-off will not be realized within the expected time frame, in full or at all, and the risk that conditions to the proposed spin-off will not be satisfied and/or that the proposed spin-off will not be completed within the expected time frame, on the expected terms or at all; the expected qualification of the proposed spin-off as a tax-free transaction for United States federal income tax purposes, including whether or not an Internal Revenue Service ruling will be sought or obtained; the risk that any consents or approvals required in connection with the proposed spin-off will not be received or obtained within the expected time frame, on the expected terms or at all; risks associated with expected financing transactions undertaken in connection with the proposed spin-off and risks associated with indebtedness incurred in connection with the proposed spin-off; the risk of increased costs from lost synergies, costs of restructuring transactions and other costs incurred in connection with the proposed spin-off; retention of existing management team members as a result of the proposed spin-off; reaction of customers, our employees and other parties to the proposed spin-off; and the impact of the proposed spin-off on our business and the risk that the proposed spin-off may be more difficult, time-consuming or costly than expected, including the impact on our resources, systems, procedures and controls, diversion of management’s attention and the impact on relationships with customers, suppliers, employees and other business counterparties; and other factors set forth under the headings “Part I, Item 2— Management’s Discussion and Analysis of Financial Condition and Results of Operations" and "Part II, Item 1A—Risk Factors—Risks associated with the proposed spin-off" herein and headings "Part I, Item 1A Risk Factors," "Part I, Item 3 Legal Proceedings" and "Part II, Item 7 Management's Discussion and Analysis of Financial Condition and Results of Operations" and other sections of our Annual Report on Form 10-K, filed with the Securities and Exchange Commission ("SEC") on November 23, 2021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75" w:right="5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20" w:type="dxa"/>
            <w:vAlign w:val="bottom"/>
          </w:tcPr>
          <w:p>
            <w:pPr>
              <w:spacing w:after="0"/>
              <w:rPr>
                <w:sz w:val="16"/>
                <w:szCs w:val="16"/>
                <w:color w:val="auto"/>
              </w:rPr>
            </w:pPr>
          </w:p>
        </w:tc>
        <w:tc>
          <w:tcPr>
            <w:tcW w:w="14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5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532,591</w:t>
            </w:r>
          </w:p>
        </w:tc>
        <w:tc>
          <w:tcPr>
            <w:tcW w:w="0" w:type="dxa"/>
            <w:vAlign w:val="bottom"/>
          </w:tcPr>
          <w:p>
            <w:pPr>
              <w:spacing w:after="0"/>
              <w:rPr>
                <w:sz w:val="1"/>
                <w:szCs w:val="1"/>
                <w:color w:val="auto"/>
              </w:rPr>
            </w:pPr>
          </w:p>
        </w:tc>
      </w:tr>
      <w:tr>
        <w:trPr>
          <w:trHeight w:val="230"/>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Receivables (less allowances: $69,122 and $79,644)</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2,052,245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1,748,601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412,676</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192,037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204,987</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3,198,037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2,898,855</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2,017,094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2,038,394</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5,551,004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5,487,297</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2,150,906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2,028,622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587,854</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1,471,741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1,335,142</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14,988,770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14,376,164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Current maturities of long-term borrowings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67,280</w:t>
            </w:r>
          </w:p>
        </w:tc>
        <w:tc>
          <w:tcPr>
            <w:tcW w:w="0" w:type="dxa"/>
            <w:vAlign w:val="bottom"/>
          </w:tcPr>
          <w:p>
            <w:pPr>
              <w:spacing w:after="0"/>
              <w:rPr>
                <w:sz w:val="1"/>
                <w:szCs w:val="1"/>
                <w:color w:val="auto"/>
              </w:rPr>
            </w:pPr>
          </w:p>
        </w:tc>
      </w:tr>
      <w:tr>
        <w:trPr>
          <w:trHeight w:val="230"/>
        </w:trPr>
        <w:tc>
          <w:tcPr>
            <w:tcW w:w="7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908,135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919,090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1,812,213</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2,559,905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2,857,433</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8,084,841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7,393,417</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314,378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Noncurrent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1,079,014</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8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Common stock, par value $0.01 (authorized: 600,000,000 shares; issued: 296,267,332 shares and</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294,329,180 shares; and outstanding: 257,704,289 shares and 255,998,119 shares)</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0" w:type="dxa"/>
            <w:vAlign w:val="bottom"/>
          </w:tcPr>
          <w:p>
            <w:pPr>
              <w:spacing w:after="0"/>
              <w:rPr>
                <w:sz w:val="1"/>
                <w:szCs w:val="1"/>
                <w:color w:val="auto"/>
              </w:rPr>
            </w:pPr>
          </w:p>
        </w:tc>
      </w:tr>
      <w:tr>
        <w:trPr>
          <w:trHeight w:val="230"/>
        </w:trPr>
        <w:tc>
          <w:tcPr>
            <w:tcW w:w="7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 surplus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3,642,792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3,533,054</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327,557</w:t>
            </w:r>
          </w:p>
        </w:tc>
        <w:tc>
          <w:tcPr>
            <w:tcW w:w="0" w:type="dxa"/>
            <w:vAlign w:val="bottom"/>
          </w:tcPr>
          <w:p>
            <w:pPr>
              <w:spacing w:after="0"/>
              <w:rPr>
                <w:sz w:val="1"/>
                <w:szCs w:val="1"/>
                <w:color w:val="auto"/>
              </w:rPr>
            </w:pPr>
          </w:p>
        </w:tc>
      </w:tr>
      <w:tr>
        <w:trPr>
          <w:trHeight w:val="230"/>
        </w:trPr>
        <w:tc>
          <w:tcPr>
            <w:tcW w:w="7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(208,011)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Treasury stock (shares held in treasury: 38,563,043 shares and 38,331,061 shares)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(932,671)</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2,915,261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2,722,872</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14,988,770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14,376,164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80" w:type="dxa"/>
            <w:vAlign w:val="bottom"/>
            <w:gridSpan w:val="4"/>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300" w:type="dxa"/>
            <w:vAlign w:val="bottom"/>
          </w:tcPr>
          <w:p>
            <w:pPr>
              <w:spacing w:after="0"/>
              <w:rPr>
                <w:sz w:val="16"/>
                <w:szCs w:val="16"/>
                <w:color w:val="auto"/>
              </w:rPr>
            </w:pPr>
          </w:p>
        </w:tc>
        <w:tc>
          <w:tcPr>
            <w:tcW w:w="14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July 2, 2021</w:t>
            </w:r>
          </w:p>
        </w:tc>
      </w:tr>
      <w:tr>
        <w:trPr>
          <w:trHeight w:val="216"/>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4,127,378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2,981,220</w:t>
            </w: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Cost of services provided (exclusive of depreciation and amortization)</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3,747,828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2,686,138</w:t>
            </w: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136,197</w:t>
            </w:r>
          </w:p>
        </w:tc>
      </w:tr>
      <w:tr>
        <w:trPr>
          <w:trHeight w:val="216"/>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Selling and general corporate expenses</w:t>
            </w: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98,689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84,639</w:t>
            </w:r>
          </w:p>
        </w:tc>
      </w:tr>
      <w:tr>
        <w:trPr>
          <w:trHeight w:val="210"/>
        </w:trPr>
        <w:tc>
          <w:tcPr>
            <w:tcW w:w="76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3,979,492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2,906,974</w:t>
            </w:r>
          </w:p>
        </w:tc>
      </w:tr>
      <w:tr>
        <w:trPr>
          <w:trHeight w:val="212"/>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income</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74,246</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Equity Investment</w:t>
            </w:r>
          </w:p>
        </w:tc>
        <w:tc>
          <w:tcPr>
            <w:tcW w:w="3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(137,934)</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Defined Benefit Pension Plan Termination</w:t>
            </w:r>
          </w:p>
        </w:tc>
        <w:tc>
          <w:tcPr>
            <w:tcW w:w="3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60,864</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and Other Financing Costs, net</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111,715</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39,601</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7,039</w:t>
            </w:r>
          </w:p>
        </w:tc>
      </w:tr>
      <w:tr>
        <w:trPr>
          <w:trHeight w:val="212"/>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32,562</w:t>
            </w:r>
          </w:p>
        </w:tc>
      </w:tr>
      <w:tr>
        <w:trPr>
          <w:trHeight w:val="213"/>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4"/>
        </w:trPr>
        <w:tc>
          <w:tcPr>
            <w:tcW w:w="76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income attributable to Aramark stockholders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7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attributable to Aramark stockholders:</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19"/>
        </w:trPr>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7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255,207</w:t>
            </w:r>
          </w:p>
        </w:tc>
      </w:tr>
      <w:tr>
        <w:trPr>
          <w:trHeight w:val="210"/>
        </w:trPr>
        <w:tc>
          <w:tcPr>
            <w:tcW w:w="76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257,374</w:t>
            </w:r>
          </w:p>
        </w:tc>
      </w:tr>
      <w:tr>
        <w:trPr>
          <w:trHeight w:val="279"/>
        </w:trPr>
        <w:tc>
          <w:tcPr>
            <w:tcW w:w="7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gridSpan w:val="4"/>
          </w:tcPr>
          <w:p>
            <w:pPr>
              <w:jc w:val="right"/>
              <w:ind w:right="109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300" w:type="dxa"/>
            <w:vAlign w:val="bottom"/>
          </w:tcPr>
          <w:p>
            <w:pPr>
              <w:spacing w:after="0"/>
              <w:rPr>
                <w:sz w:val="16"/>
                <w:szCs w:val="16"/>
                <w:color w:val="auto"/>
              </w:rPr>
            </w:pPr>
          </w:p>
        </w:tc>
        <w:tc>
          <w:tcPr>
            <w:tcW w:w="14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July 2, 2021</w:t>
            </w:r>
          </w:p>
        </w:tc>
      </w:tr>
      <w:tr>
        <w:trPr>
          <w:trHeight w:val="216"/>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11,936,167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8,544,701</w:t>
            </w: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Cost of services provided (exclusive of depreciation and amortization)</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10,810,111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7,814,008</w:t>
            </w: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412,090</w:t>
            </w:r>
          </w:p>
        </w:tc>
      </w:tr>
      <w:tr>
        <w:trPr>
          <w:trHeight w:val="216"/>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Selling and general corporate expenses</w:t>
            </w: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295,154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259,478</w:t>
            </w:r>
          </w:p>
        </w:tc>
      </w:tr>
      <w:tr>
        <w:trPr>
          <w:trHeight w:val="210"/>
        </w:trPr>
        <w:tc>
          <w:tcPr>
            <w:tcW w:w="76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11,506,043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8,485,576</w:t>
            </w:r>
          </w:p>
        </w:tc>
      </w:tr>
      <w:tr>
        <w:trPr>
          <w:trHeight w:val="212"/>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income</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59,125</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Equity Investment</w:t>
            </w:r>
          </w:p>
        </w:tc>
        <w:tc>
          <w:tcPr>
            <w:tcW w:w="3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(137,934)</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Defined Benefit Pension Plan Termination</w:t>
            </w:r>
          </w:p>
        </w:tc>
        <w:tc>
          <w:tcPr>
            <w:tcW w:w="3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60,864</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and Other Financing Costs, net</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274,168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308,402</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(172,207)</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(45,726)</w:t>
            </w:r>
          </w:p>
        </w:tc>
      </w:tr>
      <w:tr>
        <w:trPr>
          <w:trHeight w:val="212"/>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(126,481)</w:t>
            </w:r>
          </w:p>
        </w:tc>
      </w:tr>
      <w:tr>
        <w:trPr>
          <w:trHeight w:val="213"/>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34"/>
        </w:trPr>
        <w:tc>
          <w:tcPr>
            <w:tcW w:w="76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income (loss) attributable to Aramark stockholders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118,688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(126,262)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44"/>
        </w:trPr>
        <w:tc>
          <w:tcPr>
            <w:tcW w:w="7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per share attributable to Aramark stockholders:</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r>
      <w:tr>
        <w:trPr>
          <w:trHeight w:val="219"/>
        </w:trPr>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7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254,461</w:t>
            </w:r>
          </w:p>
        </w:tc>
      </w:tr>
      <w:tr>
        <w:trPr>
          <w:trHeight w:val="210"/>
        </w:trPr>
        <w:tc>
          <w:tcPr>
            <w:tcW w:w="76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254,461</w:t>
            </w:r>
          </w:p>
        </w:tc>
      </w:tr>
    </w:tbl>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80" w:type="dxa"/>
            <w:vAlign w:val="bottom"/>
            <w:gridSpan w:val="4"/>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300" w:type="dxa"/>
            <w:vAlign w:val="bottom"/>
          </w:tcPr>
          <w:p>
            <w:pPr>
              <w:spacing w:after="0"/>
              <w:rPr>
                <w:sz w:val="16"/>
                <w:szCs w:val="16"/>
                <w:color w:val="auto"/>
              </w:rPr>
            </w:pPr>
          </w:p>
        </w:tc>
        <w:tc>
          <w:tcPr>
            <w:tcW w:w="14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July 2, 2021</w:t>
            </w:r>
          </w:p>
        </w:tc>
      </w:tr>
      <w:tr>
        <w:trPr>
          <w:trHeight w:val="229"/>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32,562</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Pension plan adjustments</w:t>
            </w:r>
          </w:p>
        </w:tc>
        <w:tc>
          <w:tcPr>
            <w:tcW w:w="3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33,374</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30"/>
        </w:trPr>
        <w:tc>
          <w:tcPr>
            <w:tcW w:w="76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Share of equity investee's comprehensive income</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34,866</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67,428</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Aramark stockholders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67,423</w:t>
            </w:r>
          </w:p>
        </w:tc>
      </w:tr>
      <w:tr>
        <w:trPr>
          <w:trHeight w:val="20"/>
        </w:trPr>
        <w:tc>
          <w:tcPr>
            <w:tcW w:w="7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r>
      <w:tr>
        <w:trPr>
          <w:trHeight w:val="240"/>
        </w:trPr>
        <w:tc>
          <w:tcPr>
            <w:tcW w:w="7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gridSpan w:val="4"/>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300" w:type="dxa"/>
            <w:vAlign w:val="bottom"/>
          </w:tcPr>
          <w:p>
            <w:pPr>
              <w:spacing w:after="0"/>
              <w:rPr>
                <w:sz w:val="16"/>
                <w:szCs w:val="16"/>
                <w:color w:val="auto"/>
              </w:rPr>
            </w:pPr>
          </w:p>
        </w:tc>
        <w:tc>
          <w:tcPr>
            <w:tcW w:w="14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July 2, 2021</w:t>
            </w:r>
          </w:p>
        </w:tc>
      </w:tr>
      <w:tr>
        <w:trPr>
          <w:trHeight w:val="229"/>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(126,481)</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Pension plan adjustments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32,399</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24,125</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29,958</w:t>
            </w:r>
          </w:p>
        </w:tc>
      </w:tr>
      <w:tr>
        <w:trPr>
          <w:trHeight w:val="230"/>
        </w:trPr>
        <w:tc>
          <w:tcPr>
            <w:tcW w:w="76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Share of equity investee's comprehensive income</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87,043</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(39,438)</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Aramark stockholders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(39,219)</w:t>
            </w:r>
          </w:p>
        </w:tc>
      </w:tr>
      <w:tr>
        <w:trPr>
          <w:trHeight w:val="21"/>
        </w:trPr>
        <w:tc>
          <w:tcPr>
            <w:tcW w:w="7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gridSpan w:val="4"/>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80" w:type="dxa"/>
            <w:vAlign w:val="bottom"/>
          </w:tcPr>
          <w:p>
            <w:pPr>
              <w:spacing w:after="0"/>
              <w:rPr>
                <w:sz w:val="16"/>
                <w:szCs w:val="16"/>
                <w:color w:val="auto"/>
              </w:rPr>
            </w:pPr>
          </w:p>
        </w:tc>
        <w:tc>
          <w:tcPr>
            <w:tcW w:w="13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July 2, 2021</w:t>
            </w:r>
          </w:p>
        </w:tc>
      </w:tr>
      <w:tr>
        <w:trPr>
          <w:trHeight w:val="189"/>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r>
      <w:tr>
        <w:trPr>
          <w:trHeight w:val="195"/>
        </w:trPr>
        <w:tc>
          <w:tcPr>
            <w:tcW w:w="7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118,733</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(126,481)</w:t>
            </w:r>
          </w:p>
        </w:tc>
      </w:tr>
      <w:tr>
        <w:trPr>
          <w:trHeight w:val="210"/>
        </w:trPr>
        <w:tc>
          <w:tcPr>
            <w:tcW w:w="7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provided by operating activities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400,778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412,090</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Gain on equity investment</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(137,934)</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Loss on defined benefit pension plan termination</w:t>
            </w:r>
          </w:p>
        </w:tc>
        <w:tc>
          <w:tcPr>
            <w:tcW w:w="26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60,864</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(27,099)</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71,799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52,638</w:t>
            </w:r>
          </w:p>
        </w:tc>
      </w:tr>
      <w:tr>
        <w:trPr>
          <w:trHeight w:val="210"/>
        </w:trPr>
        <w:tc>
          <w:tcPr>
            <w:tcW w:w="7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(42,099)</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39,288</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106,289</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(77,010)</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Payments made to clients on contracts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(49,159)</w:t>
            </w:r>
          </w:p>
        </w:tc>
      </w:tr>
      <w:tr>
        <w:trPr>
          <w:trHeight w:val="196"/>
        </w:trPr>
        <w:tc>
          <w:tcPr>
            <w:tcW w:w="78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Other operating activities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23,227</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(141,993)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233,793</w:t>
            </w: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Purchases of property and equipment and other</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(254,340)</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Disposals of property and equipment</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10,260</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Acquisition of certain businesses, net of cash acquired</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(264,393)</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Acquisition of certain equity method investments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10,836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5,282</w:t>
            </w:r>
          </w:p>
        </w:tc>
      </w:tr>
      <w:tr>
        <w:trPr>
          <w:trHeight w:val="19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(641,444)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(503,191)</w:t>
            </w:r>
          </w:p>
        </w:tc>
      </w:tr>
      <w:tr>
        <w:trPr>
          <w:trHeight w:val="18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328,326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898,443</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Payments of long-term borrowings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(2,249,100)</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change in funding under the Receivables Facility</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(315,600)</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Payments of dividends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(83,928)</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35,275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33,925</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(50,698)</w:t>
            </w:r>
          </w:p>
        </w:tc>
      </w:tr>
      <w:tr>
        <w:trPr>
          <w:trHeight w:val="19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703,524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(1,766,958)</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rates on cash and cash equivalents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10,597</w:t>
            </w:r>
          </w:p>
        </w:tc>
      </w:tr>
      <w:tr>
        <w:trPr>
          <w:trHeight w:val="189"/>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 cash and cash equivalents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(2,025,759)</w:t>
            </w: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532,591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2,509,188</w:t>
            </w:r>
          </w:p>
        </w:tc>
      </w:tr>
      <w:tr>
        <w:trPr>
          <w:trHeight w:val="19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438,868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483,429</w:t>
            </w:r>
          </w:p>
        </w:tc>
      </w:tr>
      <w:tr>
        <w:trPr>
          <w:trHeight w:val="27"/>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80" w:type="dxa"/>
            <w:vAlign w:val="bottom"/>
          </w:tcPr>
          <w:p>
            <w:pPr>
              <w:spacing w:after="0"/>
              <w:rPr>
                <w:sz w:val="16"/>
                <w:szCs w:val="16"/>
                <w:color w:val="auto"/>
              </w:rPr>
            </w:pPr>
          </w:p>
        </w:tc>
        <w:tc>
          <w:tcPr>
            <w:tcW w:w="13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202"/>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259.0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0" w:type="dxa"/>
            <w:vAlign w:val="bottom"/>
          </w:tcPr>
          <w:p>
            <w:pPr>
              <w:spacing w:after="0"/>
              <w:rPr>
                <w:sz w:val="1"/>
                <w:szCs w:val="1"/>
                <w:color w:val="auto"/>
              </w:rPr>
            </w:pPr>
          </w:p>
        </w:tc>
      </w:tr>
      <w:tr>
        <w:trPr>
          <w:trHeight w:val="188"/>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 (refunded)</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1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October 1, 2021</w:t>
            </w: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2,722,872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3,533,054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(932,671)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60"/>
              <w:spacing w:after="0" w:line="163" w:lineRule="exact"/>
              <w:rPr>
                <w:sz w:val="20"/>
                <w:szCs w:val="20"/>
                <w:color w:val="auto"/>
              </w:rPr>
            </w:pPr>
            <w:r>
              <w:rPr>
                <w:rFonts w:ascii="Times New Roman" w:cs="Times New Roman" w:eastAsia="Times New Roman" w:hAnsi="Times New Roman"/>
                <w:sz w:val="18"/>
                <w:szCs w:val="18"/>
                <w:color w:val="auto"/>
              </w:rPr>
              <w:t>Net income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of dividends ($0.11 per share)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2,784,461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3,571,779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339,822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(939,828)</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shd w:val="clear" w:color="auto" w:fill="CCEEFF"/>
          </w:tcPr>
          <w:p>
            <w:pPr>
              <w:ind w:left="260"/>
              <w:spacing w:after="0" w:line="142" w:lineRule="exact"/>
              <w:rPr>
                <w:sz w:val="20"/>
                <w:szCs w:val="20"/>
                <w:color w:val="auto"/>
              </w:rPr>
            </w:pPr>
            <w:r>
              <w:rPr>
                <w:rFonts w:ascii="Times New Roman" w:cs="Times New Roman" w:eastAsia="Times New Roman" w:hAnsi="Times New Roman"/>
                <w:sz w:val="16"/>
                <w:szCs w:val="16"/>
                <w:color w:val="auto"/>
              </w:rPr>
              <w:t>Net income attributable to Aramark</w:t>
            </w: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Payments of dividends ($0.11 per share)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April 1, 2022</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3,607,267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(940,586)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60"/>
              <w:spacing w:after="0" w:line="163" w:lineRule="exact"/>
              <w:rPr>
                <w:sz w:val="20"/>
                <w:szCs w:val="20"/>
                <w:color w:val="auto"/>
              </w:rPr>
            </w:pPr>
            <w:r>
              <w:rPr>
                <w:rFonts w:ascii="Times New Roman" w:cs="Times New Roman" w:eastAsia="Times New Roman" w:hAnsi="Times New Roman"/>
                <w:sz w:val="18"/>
                <w:szCs w:val="18"/>
                <w:color w:val="auto"/>
              </w:rPr>
              <w:t>Net income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of dividends ($0.11 per share)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July 1, 2022</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2,915,261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3,642,792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359,339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(941,225)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1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October 2, 2020</w:t>
            </w: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2,735,988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(908,172)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60"/>
              <w:spacing w:after="0" w:line="163" w:lineRule="exact"/>
              <w:rPr>
                <w:sz w:val="20"/>
                <w:szCs w:val="20"/>
                <w:color w:val="auto"/>
              </w:rPr>
            </w:pPr>
            <w:r>
              <w:rPr>
                <w:rFonts w:ascii="Times New Roman" w:cs="Times New Roman" w:eastAsia="Times New Roman" w:hAnsi="Times New Roman"/>
                <w:sz w:val="18"/>
                <w:szCs w:val="18"/>
                <w:color w:val="auto"/>
              </w:rPr>
              <w:t>Net loss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of dividends ($0.11 per share)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January 1, 2021</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2,677,139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3,444,919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421,246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(918,793)</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shd w:val="clear" w:color="auto" w:fill="CCEEFF"/>
          </w:tcPr>
          <w:p>
            <w:pPr>
              <w:ind w:left="260"/>
              <w:spacing w:after="0" w:line="142" w:lineRule="exact"/>
              <w:rPr>
                <w:sz w:val="20"/>
                <w:szCs w:val="20"/>
                <w:color w:val="auto"/>
              </w:rPr>
            </w:pPr>
            <w:r>
              <w:rPr>
                <w:rFonts w:ascii="Times New Roman" w:cs="Times New Roman" w:eastAsia="Times New Roman" w:hAnsi="Times New Roman"/>
                <w:sz w:val="16"/>
                <w:szCs w:val="16"/>
                <w:color w:val="auto"/>
              </w:rPr>
              <w:t>Net loss attributable to Aramark</w:t>
            </w: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Payments of dividends ($0.11 per share)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April 2, 2021</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3,481,729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(921,745)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60"/>
              <w:spacing w:after="0" w:line="163" w:lineRule="exact"/>
              <w:rPr>
                <w:sz w:val="20"/>
                <w:szCs w:val="20"/>
                <w:color w:val="auto"/>
              </w:rPr>
            </w:pPr>
            <w:r>
              <w:rPr>
                <w:rFonts w:ascii="Times New Roman" w:cs="Times New Roman" w:eastAsia="Times New Roman" w:hAnsi="Times New Roman"/>
                <w:sz w:val="18"/>
                <w:szCs w:val="18"/>
                <w:color w:val="auto"/>
              </w:rPr>
              <w:t>Net income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of dividends ($0.11 per share)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July 2, 2021</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2,686,225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3,506,153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320,210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(922,856)</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Aramark (the "Company") is a leading global provider of food, facilities and uniform services to education, healthcare, business &amp; industry and sports, leisure &amp; corrections clients. The Company's core market is the United States, which is supplemented by an additional 18-country footprint. The Company operates its business in three reportable segments that share many of the same operating characteristics: Food and Support Services United States ("FSS United States"), Food and Support Services International ("FSS International") and Uniform and Career Apparel ("Uniform").</w:t>
      </w:r>
    </w:p>
    <w:p>
      <w:pPr>
        <w:spacing w:after="0" w:line="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pursuant to the rules and regulations of the Securities and Exchange Commission ("SEC") and should be read in conjunction with the audited consolidated financial statements, and the notes to those statements, included in the Company's Form 10-K filed with the SEC on November 23, 2021. The Condensed Consolidated Balance Sheet as of October 1, 2021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the impact of the COVID-19 pandemic ("COVID-19") and the possibility of changes in general economic conditions.</w:t>
      </w:r>
    </w:p>
    <w:p>
      <w:pPr>
        <w:spacing w:after="0" w:line="5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all of its subsidiaries in which a controlling financial interest is maintained. All intercompany transactions and accounts have been eliminated.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Updates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Standards (from most to least recent date of issuance)</w:t>
      </w:r>
    </w:p>
    <w:p>
      <w:pPr>
        <w:spacing w:after="0" w:line="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In March 2022, the Financial Accounting Standards Board ("FASB") issued an accounting standards update ("ASU") which eliminates the accounting guidance for troubled debt restructuring for creditors in Accounting Standards Codification 310-40, </w:t>
      </w:r>
      <w:r>
        <w:rPr>
          <w:rFonts w:ascii="Times New Roman" w:cs="Times New Roman" w:eastAsia="Times New Roman" w:hAnsi="Times New Roman"/>
          <w:sz w:val="18"/>
          <w:szCs w:val="18"/>
          <w:i w:val="1"/>
          <w:iCs w:val="1"/>
          <w:color w:val="auto"/>
        </w:rPr>
        <w:t>Receivables - Troubled Debt Restructurings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Creditors</w:t>
      </w:r>
      <w:r>
        <w:rPr>
          <w:rFonts w:ascii="Times New Roman" w:cs="Times New Roman" w:eastAsia="Times New Roman" w:hAnsi="Times New Roman"/>
          <w:sz w:val="18"/>
          <w:szCs w:val="18"/>
          <w:color w:val="auto"/>
        </w:rPr>
        <w:t>, while enhancing disclosure requirements for certain loan refinancings and restructurings by creditors when a borrower is experiencing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difficulty. In addition, the ASU requires an entity to disclose current-period gross write offs by year of origination for financing receivables and net investments in leases. The Company early adopted the ASU during the third quarter of fiscal 2022, which did not have a material impact on the condensed consolidated financial statements.</w:t>
      </w:r>
    </w:p>
    <w:p>
      <w:pPr>
        <w:spacing w:after="0" w:line="6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March 2022, the FASB issued an ASU which expands the scope of existing guidance to allow entities to apply the portfolio layer method to portfolios of all financial assets, including both pre-payable and non-pre-payable financial assets. The Company early adopted the ASU during the third quarter of fiscal 2022, which did not have a material impact on the condensed consolidated financial statements.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January 2020, the FASB issued an ASU which provided clarification and improvements to existing guidance related to accounting for certain equity securities upon the application or discontinuation of equity method accounting and the measurement of forward contracts and purchased options on certain securities. The guidance was effective for the Company in the first quarter of fiscal 2022. The adoption of this guidance did not have a material impact on the condensed consolidated financial statements.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Not Yet Adopted (from most to least recent date of issuance)</w:t>
      </w:r>
    </w:p>
    <w:p>
      <w:pPr>
        <w:spacing w:after="0" w:line="1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November 2021, the FASB issued an ASU which requires that an entity provide certain annual disclosures when they have received government assistance. The guidance is effective for the Company in the first quarter of fiscal 2023 and early adoption is permitted. The adoption of this guidance is not expected to have a material impact on the condensed consolidated financial statements.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October 2021, the FASB issued an ASU which requires that an entity (acquirer) recognize and measure contract assets and contract liabilities acquired in a business combination in accordance with Accounting Standards Codification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 if it had originated the contracts. The guidance is effective for the Company in the first quarter of fiscal 2024 and early adoption is permitted. The Company is currently evaluating the impact of this standard.</w:t>
      </w:r>
    </w:p>
    <w:p>
      <w:pPr>
        <w:spacing w:after="0" w:line="4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January 2021, the FASB issued an ASU which clarifies certain optional expedients and exceptions for contract modifications and hedge accounting that may apply to derivatives that are affected by the discontinuance of LIBOR and the reference rate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reform standard. The Company may adopt this guidance through December 31, 2022, which generally can be applied to applicable contract modifications through December 31, 2022. The Company is currently evaluating the impact of this standard.</w:t>
      </w:r>
    </w:p>
    <w:p>
      <w:pPr>
        <w:spacing w:after="0" w:line="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March 2020, the FASB issued an ASU which provides optional expedients that may be adopted and applied through December 31, 2022 to assist with the discontinuance of LIBOR. The expedients allow companies to ease the potential accounting burden when modifying contracts and hedging relationships that use LIBOR as a reference rate, if certain criteria are met. During fiscal 2020, the Company adopted the optional expedient to assert probability of forecasted hedged transactions occurring on its interest rate swap derivative contracts regardless of any expected contract modifications related to reference rate reform. The Company may adopt the remaining amendments of this standard through December 31, 2022, which generally can be applied to applicable contract modifications through December 31, 2022. The Company is currently evaluating the impact of this standard.</w:t>
      </w:r>
    </w:p>
    <w:p>
      <w:pPr>
        <w:spacing w:after="0" w:line="6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Other new accounting pronouncements recently issued or newly effective were not applicable to the Company, did not have a material impact on the condensed consolidated financial statements or are not expected to have a material impact on the condensed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Comprehensive income (loss) includes all changes to stockholders' equity during a period, except those resulting from investments by and distributions to stockholders. Components of comprehensive income (loss) include net income (loss), changes in foreign currency translation adjustments (net of tax), pension plan adjustments (net of tax), changes in the fair value of cash flow hedges (net of tax) and changes to the share of any equity investees' comprehensive income (net of tax).</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the components of comprehensive income (loss) is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3"/>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380" w:type="dxa"/>
            <w:vAlign w:val="bottom"/>
          </w:tcPr>
          <w:p>
            <w:pPr>
              <w:spacing w:after="0"/>
              <w:rPr>
                <w:sz w:val="11"/>
                <w:szCs w:val="11"/>
                <w:color w:val="auto"/>
              </w:rPr>
            </w:pPr>
          </w:p>
        </w:tc>
        <w:tc>
          <w:tcPr>
            <w:tcW w:w="980" w:type="dxa"/>
            <w:vAlign w:val="bottom"/>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Pre-Tax</w:t>
            </w:r>
          </w:p>
        </w:tc>
        <w:tc>
          <w:tcPr>
            <w:tcW w:w="84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80" w:type="dxa"/>
            <w:vAlign w:val="bottom"/>
          </w:tcPr>
          <w:p>
            <w:pPr>
              <w:spacing w:after="0"/>
              <w:rPr>
                <w:sz w:val="11"/>
                <w:szCs w:val="11"/>
                <w:color w:val="auto"/>
              </w:rPr>
            </w:pPr>
          </w:p>
        </w:tc>
        <w:tc>
          <w:tcPr>
            <w:tcW w:w="880" w:type="dxa"/>
            <w:vAlign w:val="bottom"/>
          </w:tcPr>
          <w:p>
            <w:pPr>
              <w:jc w:val="center"/>
              <w:ind w:right="75"/>
              <w:spacing w:after="0" w:line="137"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120" w:type="dxa"/>
            <w:vAlign w:val="bottom"/>
          </w:tcPr>
          <w:p>
            <w:pPr>
              <w:spacing w:after="0"/>
              <w:rPr>
                <w:sz w:val="11"/>
                <w:szCs w:val="11"/>
                <w:color w:val="auto"/>
              </w:rPr>
            </w:pPr>
          </w:p>
        </w:tc>
        <w:tc>
          <w:tcPr>
            <w:tcW w:w="960" w:type="dxa"/>
            <w:vAlign w:val="bottom"/>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Pre-Tax</w:t>
            </w:r>
          </w:p>
        </w:tc>
        <w:tc>
          <w:tcPr>
            <w:tcW w:w="84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60" w:type="dxa"/>
            <w:vAlign w:val="bottom"/>
          </w:tcPr>
          <w:p>
            <w:pPr>
              <w:spacing w:after="0"/>
              <w:rPr>
                <w:sz w:val="11"/>
                <w:szCs w:val="11"/>
                <w:color w:val="auto"/>
              </w:rPr>
            </w:pPr>
          </w:p>
        </w:tc>
        <w:tc>
          <w:tcPr>
            <w:tcW w:w="900" w:type="dxa"/>
            <w:vAlign w:val="bottom"/>
          </w:tcPr>
          <w:p>
            <w:pPr>
              <w:jc w:val="center"/>
              <w:ind w:right="93"/>
              <w:spacing w:after="0" w:line="137"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0" w:type="dxa"/>
            <w:vAlign w:val="bottom"/>
          </w:tcPr>
          <w:p>
            <w:pPr>
              <w:spacing w:after="0"/>
              <w:rPr>
                <w:sz w:val="1"/>
                <w:szCs w:val="1"/>
                <w:color w:val="auto"/>
              </w:rPr>
            </w:pPr>
          </w:p>
        </w:tc>
      </w:tr>
      <w:tr>
        <w:trPr>
          <w:trHeight w:val="195"/>
        </w:trPr>
        <w:tc>
          <w:tcPr>
            <w:tcW w:w="53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32,562</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plan adjustments</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51,253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33,374</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(50,376)</w:t>
            </w:r>
          </w:p>
        </w:tc>
        <w:tc>
          <w:tcPr>
            <w:tcW w:w="10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(1,145)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18,765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10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3,758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equity investee's comprehensive income</w:t>
            </w: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632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(34,786)</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1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53,899</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(19,033)</w:t>
            </w: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34,866</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67,428</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9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Aramark stockholders</w:t>
            </w: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3"/>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380" w:type="dxa"/>
            <w:vAlign w:val="bottom"/>
          </w:tcPr>
          <w:p>
            <w:pPr>
              <w:spacing w:after="0"/>
              <w:rPr>
                <w:sz w:val="11"/>
                <w:szCs w:val="11"/>
                <w:color w:val="auto"/>
              </w:rPr>
            </w:pPr>
          </w:p>
        </w:tc>
        <w:tc>
          <w:tcPr>
            <w:tcW w:w="980" w:type="dxa"/>
            <w:vAlign w:val="bottom"/>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Pre-Tax</w:t>
            </w:r>
          </w:p>
        </w:tc>
        <w:tc>
          <w:tcPr>
            <w:tcW w:w="84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80" w:type="dxa"/>
            <w:vAlign w:val="bottom"/>
          </w:tcPr>
          <w:p>
            <w:pPr>
              <w:spacing w:after="0"/>
              <w:rPr>
                <w:sz w:val="11"/>
                <w:szCs w:val="11"/>
                <w:color w:val="auto"/>
              </w:rPr>
            </w:pPr>
          </w:p>
        </w:tc>
        <w:tc>
          <w:tcPr>
            <w:tcW w:w="880" w:type="dxa"/>
            <w:vAlign w:val="bottom"/>
          </w:tcPr>
          <w:p>
            <w:pPr>
              <w:jc w:val="center"/>
              <w:ind w:right="75"/>
              <w:spacing w:after="0" w:line="137"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120" w:type="dxa"/>
            <w:vAlign w:val="bottom"/>
          </w:tcPr>
          <w:p>
            <w:pPr>
              <w:spacing w:after="0"/>
              <w:rPr>
                <w:sz w:val="11"/>
                <w:szCs w:val="11"/>
                <w:color w:val="auto"/>
              </w:rPr>
            </w:pPr>
          </w:p>
        </w:tc>
        <w:tc>
          <w:tcPr>
            <w:tcW w:w="960" w:type="dxa"/>
            <w:vAlign w:val="bottom"/>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Pre-Tax</w:t>
            </w:r>
          </w:p>
        </w:tc>
        <w:tc>
          <w:tcPr>
            <w:tcW w:w="84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60" w:type="dxa"/>
            <w:vAlign w:val="bottom"/>
          </w:tcPr>
          <w:p>
            <w:pPr>
              <w:spacing w:after="0"/>
              <w:rPr>
                <w:sz w:val="11"/>
                <w:szCs w:val="11"/>
                <w:color w:val="auto"/>
              </w:rPr>
            </w:pPr>
          </w:p>
        </w:tc>
        <w:tc>
          <w:tcPr>
            <w:tcW w:w="900" w:type="dxa"/>
            <w:vAlign w:val="bottom"/>
          </w:tcPr>
          <w:p>
            <w:pPr>
              <w:jc w:val="center"/>
              <w:ind w:right="93"/>
              <w:spacing w:after="0" w:line="137"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0" w:type="dxa"/>
            <w:vAlign w:val="bottom"/>
          </w:tcPr>
          <w:p>
            <w:pPr>
              <w:spacing w:after="0"/>
              <w:rPr>
                <w:sz w:val="1"/>
                <w:szCs w:val="1"/>
                <w:color w:val="auto"/>
              </w:rPr>
            </w:pPr>
          </w:p>
        </w:tc>
      </w:tr>
      <w:tr>
        <w:trPr>
          <w:trHeight w:val="195"/>
        </w:trPr>
        <w:tc>
          <w:tcPr>
            <w:tcW w:w="53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(126,481)</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plan adjustments</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2,480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50,278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32,399</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(51,074)</w:t>
            </w:r>
          </w:p>
        </w:tc>
        <w:tc>
          <w:tcPr>
            <w:tcW w:w="10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23,053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24,125</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145,096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(37,725)</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107,371</w:t>
            </w:r>
          </w:p>
        </w:tc>
        <w:tc>
          <w:tcPr>
            <w:tcW w:w="10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40,484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29,958</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equity investee's comprehensive income</w:t>
            </w: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1,327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561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90,789</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(31,386)</w:t>
            </w: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59,403</w:t>
            </w:r>
          </w:p>
        </w:tc>
        <w:tc>
          <w:tcPr>
            <w:tcW w:w="1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114,376</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(27,333)</w:t>
            </w: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87,043</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178,136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(39,438)</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9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Aramark stockholders</w:t>
            </w: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178,091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53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38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20" w:type="dxa"/>
            <w:vAlign w:val="bottom"/>
          </w:tcPr>
          <w:p>
            <w:pPr>
              <w:spacing w:after="0"/>
              <w:rPr>
                <w:sz w:val="16"/>
                <w:szCs w:val="16"/>
                <w:color w:val="auto"/>
              </w:rPr>
            </w:pP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3"/>
        </w:trPr>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adjustments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(24,323)</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(127,012)</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(49,249)</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 of equity investee's accumulated other comprehensive loss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(7,427)</w:t>
            </w:r>
          </w:p>
        </w:tc>
      </w:tr>
      <w:tr>
        <w:trPr>
          <w:trHeight w:val="248"/>
        </w:trPr>
        <w:tc>
          <w:tcPr>
            <w:tcW w:w="7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(208,011)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Translation</w:t>
      </w:r>
    </w:p>
    <w:p>
      <w:pPr>
        <w:spacing w:after="0" w:line="108"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Beginning in fiscal 2018, Argentina was determined to have a highly inflationary economy. As a result, the Company remeasures the financial statements of Argentina's operations in accordance with the accounting guidance for highly inflationary economies. The impact of foreign currency transaction gains and losses during the three and nine month periods of both fiscal 2022 and 2021 were immaterial to the condensed consolidated financial statements.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9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insures portions of its risk in general liability, automobile liability, workers’ compensation liability and property liability through a wholly owned captive insurance subsidiary (the "Captive"), to enhance its risk financing strategies.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July 1, 2022. These regulations may have the effect of limiting the Company's ability to access certain cash and cash equivalents held by the Captive for uses other than for the payment of its general liability, automobile liability, workers' compensation liability, property liability and related Captive costs. As of July 1, 2022 and October 1, 2021, cash and cash equivalents at the Captive were $149.4 million and $194.3 million,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assets consist primarily of costs to obtain or fulfill contracts, including employee sales commissions and rental merchandise in-service, long-term receivables, investments in 50% or less owned entities and computer software costs.</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investments in 50% or less owned entities accounted for under the equity method of accounting, the carrying amount as of July 1, 2022 and October 1, 2021 was $253.8 million and $224.6 million, respectively.</w:t>
      </w:r>
    </w:p>
    <w:p>
      <w:pPr>
        <w:spacing w:after="0" w:line="4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both July 1, 2022 and October 1, 2021 was $180.5 million. During the three and nine months ended July 2, 2021, the Company identified an observable price change related to an equity investment without a readily determinable fair value and recognized a non-cash gain of $137.9 million on the Condensed Consolidated Statements of Income (Loss).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Current and Noncurrent Liabilities</w:t>
      </w:r>
    </w:p>
    <w:p>
      <w:pPr>
        <w:spacing w:after="0" w:line="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is self-insured for obligations related to certain risks that are retained under the Company's casualty program, which includes general liability, automobile liability and workers' compensation liability, as well as for property liability and employee healthcare benefit programs. Reserves for retained costs associated with the casualty program are estimated through actuarial methods, with the assistance of third-party actuaries, using loss development assumptions based on the Company's claims history.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2021, the Company terminated certain Canadian single-employer defined benefit pension plans and recognized a non-cash loss of $60.9 million on the Condensed Consolidated Statements of Income (Loss) for the three and nine months ended July 2, 2021.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Aramark's Intention to Spin-off Uniform Segment</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May 10, 2022, the Company announced its intention to spin-off its Uniform segment into an independent publicly traded company to Aramark’s stockholders. The proposed spin-off is intended to be a tax-free transaction to Aramark and its stockholders for United States federal income tax purposes. The proposed spin-off is expected to be completed by the end of fiscal 2023, subject to certain customary conditions, including final approval of the Aramark Board of Directors, receipt of a favorable opinion and Internal Revenue Service ruling with respect to the tax-free nature of the transaction, the effectiveness of a registration statement on Form 10 to be filed with the SEC and the receipt of other regulatory approvals.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Impact of COVID-19</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COVID-19 has adversely affected global economies, disrupted global supply chains and labor force participation and created significant volatility and disruption of financial markets. COVID-19 related disruptions negatively impacted the Company's financial and operating results beginning in the second quarter of fiscal 2020 through the first half of fiscal 2021. The Company's financial results started to improve during the second half of fiscal 2021 and continue to improve during the nine month period of fiscal 2022 as COVID-19 restrictions were lifted and operations re-opened.</w:t>
      </w:r>
    </w:p>
    <w:p>
      <w:pPr>
        <w:spacing w:after="0" w:line="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Coronavirus Aid, Relief and Economic Security Act ("CARES Act") provided for deferred payment of the employer portion of social security taxes through the end of calendar 2020, with 50% of the deferred amount due December 31, 2021 and the remaining 50% of the amount due December 31, 2022. Approximately $64.2 million of the deferred social security taxes were paid during the nine months ended July 1, 2022. Approximately $64.2 million of social security taxes remain deferred, which are recorded as liabilities within "Accrued expenses and other current liabilities" on the Company’s Condensed Consolidated Balance Sheet as of July 1, 2022.</w:t>
      </w:r>
    </w:p>
    <w:p>
      <w:pPr>
        <w:spacing w:after="0" w:line="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Within the FSS International and Uniform segments, many foreign jurisdictions in which the Company operates provided companies various forms of relief from COVID-19, including labor related tax credits. These labor related tax credits generally allowed companies to receive credits if they retained employees on their payroll, rather than furloughing or terminating employees as a result of the business disruption caused by COVID-19. The Company qualified for these tax credits. The Company recorded approximately $2.3 million and $35.5 million of labor related tax credits in the FSS International segment within "Cost of services provided (exclusive of depreciation and amortization)" on the Condensed Consolidated Statements of Income (Loss) during the three and nine months ended July 1, 2022, respectively. The Company recorded approximately $29.0 million and $105.2 million of labor related tax credits within "Cost of services provided (exclusive of depreciation and amortization)" on the Condensed Consolidated Statements of Income (Loss) during the three and nine months ended July 2, 2021, respectively, of which approximately $5.0 million and $14.0 million, respectively, were recorded in the Uniform segment and the remainder was recorded in the FSS International segment. The Company does not expect to receive significant additional tax credits during the remainder of fiscal 2022.</w:t>
      </w:r>
    </w:p>
    <w:p>
      <w:pPr>
        <w:spacing w:after="0" w:line="7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accounted for these labor related tax credits as a reduction to the expense that they were intended to compensate in the period in which the corresponding expense was incurred and there was reasonable assurance the Company would both receive the tax credits and comply with all conditions attached to the tax credits.</w:t>
      </w:r>
    </w:p>
    <w:p>
      <w:pPr>
        <w:spacing w:after="0" w:line="4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CARES Act provided an employee retention credit, which is a refundable tax credit against certain employment taxes. The Company recorded $5.0 million and $11.0 million during the three and nine months ended July 2, 2021, respectively, related to the employee retention credit in "Cost of services provided (exclusive of depreciation and amortization)" on the Company's Condensed Consolidated Statements of Income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Union Supply Group, Inc.</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2, 2022, the Company completed the acquisition of Union Supply Group Inc. ("Union Supply"), a commissary goods and services supplier, pursuant to the Stock Purchase Agreement ("Union Supply Purchase Agreement") dated as of April 8, 2022, by and among Aramark Correctional Services, LLC, a wholly owned subsidiary of the Company, and Tom Thomas, in his capacity as the sellers' representative. Upon completion of the acquisition, Union Supply became a wholly owned subsidiary of the Company and its results are included in the Company's FSS United States segment. The cash consideration paid for Union Supply was $202.6 million, subject to a working capital adjustment. The Union Supply Purchase Agreement provides for contingent consideration, which the Company may be required to pay if Union Supply achieves certain adjusted EBITDA levels during calendar year 2023. A contingent consideration liability of $40.2 million was recorded as part of the acquisition with a separate amount that will be accounted for as compensation expense to be recognized in earnings over the earnout period. The acquisition was financed utilizing funds from the Receivables Facility.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accounted for the Union Supply acquisition as a business combination under the acquisition method of accounting. The Company has preliminarily allocated the purchase price for the transaction based upon the estimated fair value of net assets acquired and liabilities assumed at the date of acquisition. Accordingly, the preliminary purchase price allocation is subject to change. The Company expects to finalize the allocation of the purchase price upon finalization of the valuation for the intangible assets and final resolution of post-closing adjustments related to working capital based on the best estimates of management. Any adjustments to the preliminary fair values will be made as soon as practicable but no later than one year from the acquisition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and Measurement of Assets Acquired and Liabilities Assumed at Fair Value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assets and liabilities assigned as of the acquisition date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1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7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identifies the Company’s allocation of purchase price to the intangible assets acquired by category:</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Estimated Fair Value (in</w:t>
            </w:r>
          </w:p>
        </w:tc>
        <w:tc>
          <w:tcPr>
            <w:tcW w:w="20" w:type="dxa"/>
            <w:vAlign w:val="bottom"/>
          </w:tcPr>
          <w:p>
            <w:pPr>
              <w:spacing w:after="0"/>
              <w:rPr>
                <w:sz w:val="24"/>
                <w:szCs w:val="24"/>
                <w:color w:val="auto"/>
              </w:rPr>
            </w:pP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Weighted-Average Estimated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millions)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Useful Life (in years)</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fair value of the customer relationship assets was determined using the “multi-period excess earnings method” which considers the present value of net cash flows expected to be generated by the customer relationships, excluding any cash flows related to contributory assets. The fair value of the trade name acquired was determined using the “relief-from-royalty method” which considers the discounted estimated royalty payments that are expected to be avoided as a result of the trademarks being owned.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0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recorded $65.0 million of goodwill in connection with its purchase price allocation relating to the Union Supply acquisition, all of which was recognized in the FSS United States segment. Goodwill is calculated as the excess of consideration transferred over the net assets recognized and represents future economic benefits arising from other assets acquired that could not be individually identified and separately recognized, such as assembled workforce. Factors that contributed to the Company's preliminary recognition of goodwill include the Company's intent to complement its existing corrections business and expand its customer base. Goodwill related to the Union Supply acquisition may be revised upon final determination of the purchase price allocation. None of the goodwill recognized is expected to be deductible for income tax purposes.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Earnings for Union Supply</w:t>
      </w:r>
    </w:p>
    <w:p>
      <w:pPr>
        <w:spacing w:after="0" w:line="108"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Included in the Company’s Condensed Consolidated Statements of Income for the three and nine months ended July 1, 2022 was revenues from Union Supply of approximately $21.1 million. Net income in the Company's Consolidated Statements of Income from Union Supply was not material for the three and nine months ended July 1, 2022. The effect of the acquisition on proforma revenue and net income was not material.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Level Hospitality ("Next Level") Acquisition</w:t>
      </w:r>
    </w:p>
    <w:p>
      <w:pPr>
        <w:spacing w:after="0" w:line="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June 4, 2021, the Company completed the acquisition of Next Level Hospitality ("Next Level"), a premier provider of culinary and environmental services in the senior living industry, specializing in skilled nursing and rehabilitation facilities,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Unit Purchase Agreement ("Next Level Purchase Agreement") dated as of April 28, 2021, by and among Aramark Healthcare Support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LLC, a wholly owned subsidiary of the Company, Aramark Services, Inc. ("ASI"), a wholly owned subsidiary of the Company, Next Level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Hospitality Services, LLC, Next Level Stockholders and Seth Gribetz, in his capacity as Stockholder Representative. Next Level is a wholly 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the Company and its results are included in the Company's FSS United States segment. The cash consideration paid for Next Level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$226.1 million. In addition, contingent consideration of $78.4 million was recorded as part of the acquisition. The acquisition was financed utilizing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cash equivalents on hand.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w:t>
      </w:r>
    </w:p>
    <w:p>
      <w:pPr>
        <w:spacing w:after="0" w:line="1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accounted for the Next Level acquisition as a business combination under the acquisition method of accounting. The Company finalized its allocation of the purchase price for the transaction based upon the fair value of net assets acquired and liabilities assumed at the date of acquisition.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and Measurement of Assets Acquired and Liabilities Assumed at Fair Value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assets and liabilities assigned as of the acquisition date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1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67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identifies the Company’s allocation of purchase price to the intangible assets acquired by category:</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Estimated Fair Value (in</w:t>
            </w:r>
          </w:p>
        </w:tc>
        <w:tc>
          <w:tcPr>
            <w:tcW w:w="20" w:type="dxa"/>
            <w:vAlign w:val="bottom"/>
          </w:tcPr>
          <w:p>
            <w:pPr>
              <w:spacing w:after="0"/>
              <w:rPr>
                <w:sz w:val="24"/>
                <w:szCs w:val="24"/>
                <w:color w:val="auto"/>
              </w:rPr>
            </w:pP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Weighted-Average Estimated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millions)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Useful Life (in years)</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fair value of the customer relationship assets was determined using the “multi-period excess earnings method” which considers the present value of net cash flows expected to be generated by the customer relationships, excluding any cash flows related to contributory assets. The fair value of the trade name acquired was determined using the “relief-from-royalty method” which considers the discounted estimated royalty payments that are expected to be avoided as a result of the trademarks being owned.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recorded $123.6 million of goodwill in connection with its purchase price allocation relating to the Next Level acquisition, all of which was recognized in the FSS United States segment. Goodwill is calculated as the excess of consideration transferred over the net assets recognized and represents future economic benefits arising from other assets acquired that could not be individually identified and separately recognized, such as assembled workforce. Factors that contributed to the Company's recognition of goodwill include the Company's intent to complement its existing healthcare business and expand its customer base. Goodwill related to the Next Level acquisition is deductible for income tax purposes.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SEVERANCE:</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fiscal 2020, the Company made changes to its organization as a result of COVID-19. These actions included headcount reductions, resulting in severance charges during fiscal 2020. As of July 1, 2022 and October 1, 2021, the Company had an accrual of approximately $9.9 million and $24.6 million, respectively, related to unpaid severance obligations. The majority of the charges are expected to be paid out through the remainder of fiscal 2022. During the nine months ended July 2, 2021, the Company reversed approximately $5.4 million of unpaid obligations related to severance, which were recorded in both "Cost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services provided (exclusive of depreciation and amortization)" and "Selling and general corporate expenses" in the Condensed Consolidated Statements of Income (Loss).</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fiscal 2021, the Uniform segment approved action plans to streamline and improve the efficiency and effectiveness of the segment's general and administrative functions. Part of this action plan also included a series of facility consolidations and closures. As of July 1, 2022 and October 1, 2021, the Company had an accrual of approximately $4.4 million and $9.0 million, respectively, related to unpaid severance obligations within the Uniform segment. The majority of the charges are expected to be paid out through the remainder of fiscal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10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total goodwill during the nine months ended July 1, 2022 are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16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6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80" w:type="dxa"/>
            <w:vAlign w:val="bottom"/>
          </w:tcPr>
          <w:p>
            <w:pPr>
              <w:spacing w:after="0"/>
              <w:rPr>
                <w:sz w:val="13"/>
                <w:szCs w:val="13"/>
                <w:color w:val="auto"/>
              </w:rPr>
            </w:pPr>
          </w:p>
        </w:tc>
        <w:tc>
          <w:tcPr>
            <w:tcW w:w="13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July 1, 2022</w:t>
            </w:r>
          </w:p>
        </w:tc>
      </w:tr>
      <w:tr>
        <w:trPr>
          <w:trHeight w:val="34"/>
        </w:trPr>
        <w:tc>
          <w:tcPr>
            <w:tcW w:w="20" w:type="dxa"/>
            <w:vAlign w:val="bottom"/>
            <w:tcBorders>
              <w:bottom w:val="single" w:sz="8" w:color="CCEEFF"/>
            </w:tcBorders>
          </w:tcPr>
          <w:p>
            <w:pPr>
              <w:spacing w:after="0"/>
              <w:rPr>
                <w:sz w:val="2"/>
                <w:szCs w:val="2"/>
                <w:color w:val="auto"/>
              </w:rPr>
            </w:pPr>
          </w:p>
        </w:tc>
        <w:tc>
          <w:tcPr>
            <w:tcW w:w="54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FSS United States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4,087,936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4,157,977</w:t>
            </w:r>
          </w:p>
        </w:tc>
      </w:tr>
      <w:tr>
        <w:trPr>
          <w:trHeight w:val="229"/>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FSS International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428,324</w:t>
            </w: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Uniforms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964,703</w:t>
            </w: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5,487,297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95,553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(31,846)</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5,551,004</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1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1,479,667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2,106,423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(1,173,092)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933,331</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1,141,049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1,136,165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1,100,579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1,095,291</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2,150,906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2,028,622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for the nine months ended July 1, 2022 and July 2, 2021 was approximately $81.1 million and $85.9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BORROWINGS: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borrowings, net, are summarized in the following table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20" w:type="dxa"/>
            <w:vAlign w:val="bottom"/>
          </w:tcPr>
          <w:p>
            <w:pPr>
              <w:spacing w:after="0"/>
              <w:rPr>
                <w:sz w:val="16"/>
                <w:szCs w:val="16"/>
                <w:color w:val="auto"/>
              </w:rPr>
            </w:pPr>
          </w:p>
        </w:tc>
        <w:tc>
          <w:tcPr>
            <w:tcW w:w="14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3"/>
        </w:trPr>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 due April 2026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71,896</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March 2025</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1,661,300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1,660,382</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April 2026</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406,543</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January 2027</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833,643</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April 2028</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721,986</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senior notes, due April 2025</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594,719</w:t>
            </w:r>
          </w:p>
        </w:tc>
      </w:tr>
      <w:tr>
        <w:trPr>
          <w:trHeight w:val="229"/>
        </w:trPr>
        <w:tc>
          <w:tcPr>
            <w:tcW w:w="7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3.125% senior notes, due April 2025</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374,668</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6.375% senior notes, due May 2025</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1,483,328</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senior notes, due February 2028</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1,140,144</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Facility, due June 2024</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146,368</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18,590</w:t>
            </w:r>
          </w:p>
        </w:tc>
      </w:tr>
      <w:tr>
        <w:trPr>
          <w:trHeight w:val="223"/>
        </w:trPr>
        <w:tc>
          <w:tcPr>
            <w:tcW w:w="7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8,162,347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7,452,267</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(77,506)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(58,850)</w:t>
            </w:r>
          </w:p>
        </w:tc>
      </w:tr>
      <w:tr>
        <w:trPr>
          <w:trHeight w:val="248"/>
        </w:trPr>
        <w:tc>
          <w:tcPr>
            <w:tcW w:w="7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8,084,841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7,393,417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20" w:hanging="394"/>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is a Euro denominated borrowing.</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July 1, 2022, there were approximately $873.7 million of outstanding foreign currency borrowings and approximately $848.2 million of availability under the senior secured revolving credit facility.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Facility</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June 17, 2022, the Company increased the purchase limit available under the Receivables Facility from $400.0 million to $500.0 million, and removed the seasonal tranche which increased the capacity of the Receivables Facility by $100.0 million from October through March. All other terms and conditions of the agreement remained largely unchanged.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 INSTRUMENTS:</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enters into contractual derivative arrangements to manage changes in market conditions related to interest on debt obligations and exposure to fluctuating gasoline and diesel fuel prices. Derivative instruments utilized during the period include interest rate swap agreements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approximately $3.6 billion notional amount of outstanding interest rate swap agreements as of July 1, 2022, which fix the rate on a like amount of variable rate borrowings through December of fiscal 2028. During the nine months ended July 1, 2022, the Company entered into $700.0 million notional amount of forward starting interest rate swap agreements to hedge the cash flow risk of variability in interest payments on variable rate borrowings. During the nine months ended July 1, 2022, interest rate swaps with notional amounts of $250.0 million matured.</w:t>
      </w:r>
    </w:p>
    <w:p>
      <w:pPr>
        <w:spacing w:after="0" w:line="5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Changes in the fair value of a derivative that is designated as and meets all the required criteria for a cash flow hedge are recorded in accumulated other comprehensive income (loss) and reclassified into earnings as the underlying hedged item affects earnings. Amounts reported in accumulated other comprehensive income (loss) related to derivatives will be reclassified to interest expense as interest payments are made on the Company’s variable-rate debt. As of July 1, 2022 and October 1, 2021,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approximately $58.1 million and ($49.2) million, respectively, of unrealized net of tax gains (losses) related to the interest rate swaps were included in "Accumulated other comprehensive loss."</w:t>
      </w:r>
    </w:p>
    <w:p>
      <w:pPr>
        <w:spacing w:after="0" w:line="27"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effect of the Company's derivatives designated as cash flow hedging instruments on Other comprehensive income (loss) (in thousands):</w:t>
      </w: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4"/>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80" w:type="dxa"/>
            <w:vAlign w:val="bottom"/>
          </w:tcPr>
          <w:p>
            <w:pPr>
              <w:spacing w:after="0"/>
              <w:rPr>
                <w:sz w:val="16"/>
                <w:szCs w:val="16"/>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July 2, 2021</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w:t>
            </w:r>
          </w:p>
        </w:tc>
      </w:tr>
      <w:tr>
        <w:trPr>
          <w:trHeight w:val="273"/>
        </w:trPr>
        <w:tc>
          <w:tcPr>
            <w:tcW w:w="7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120" w:type="dxa"/>
            <w:vAlign w:val="bottom"/>
            <w:gridSpan w:val="4"/>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80" w:type="dxa"/>
            <w:vAlign w:val="bottom"/>
          </w:tcPr>
          <w:p>
            <w:pPr>
              <w:spacing w:after="0"/>
              <w:rPr>
                <w:sz w:val="16"/>
                <w:szCs w:val="16"/>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July 2, 2021</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in Hedging Relationships</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entered into a series of pay fixed/receive floating gasoline and diesel fuel agreements based on the Department of Energy weekly retail on-highway index in order to limit its exposure to price fluctuations for gasoline and diesel fuel. As of July 1, 2022, the Company has contracts for approximately 7.7 million gallons outstanding through June of fiscal 2023. The Company does not record its gasoline and diesel fuel agreements as hedges for accounting purposes. The impact on earnings related to the change in fair value of these unsettled contracts were gains of approximately $1.8 million and $1.4 million for the three and nine months ended July 1, 2022, respectively. The impact on earnings related to the change in fair value of these unsettled contracts was a loss of approximately $0.7 million and a gain of approximately $5.1 million for the three and nine months ended July 2, 2021, respectively. The change in fair value for unsettled contracts is included in "Selling and general corporate expenses" on the Condensed Consolidated Statements of Income (Loss). When the contracts settle, the gain or loss is recorded to "Cost of services provided (exclusive of depreciation and amortization)" on the Condensed Consolidated Statements of Income (Loss).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location and fair value, using Level 2 inputs (see Note 14 for a description of the fair value levels), of the Company's derivatives designated and not designated as hedging instruments in the Condensed Consolidated Balance Sheets (in thousands):</w:t>
      </w: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58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8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20" w:type="dxa"/>
            <w:vAlign w:val="bottom"/>
          </w:tcPr>
          <w:p>
            <w:pPr>
              <w:spacing w:after="0"/>
              <w:rPr>
                <w:sz w:val="16"/>
                <w:szCs w:val="16"/>
                <w:color w:val="auto"/>
              </w:rPr>
            </w:pPr>
          </w:p>
        </w:tc>
        <w:tc>
          <w:tcPr>
            <w:tcW w:w="14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3"/>
        </w:trPr>
        <w:tc>
          <w:tcPr>
            <w:tcW w:w="4280" w:type="dxa"/>
            <w:vAlign w:val="bottom"/>
            <w:tcBorders>
              <w:bottom w:val="single" w:sz="8" w:color="CCEEFF"/>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Designated as hedging instruments:</w:t>
            </w: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(1)</w:t>
            </w: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(1)</w:t>
            </w:r>
          </w:p>
        </w:tc>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42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Not designated as hedging instruments:</w:t>
            </w: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Gasoline and diesel fuel agreements</w:t>
            </w:r>
          </w:p>
        </w:tc>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48"/>
        </w:trPr>
        <w:tc>
          <w:tcPr>
            <w:tcW w:w="428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2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Designated as hedging instruments:</w:t>
            </w: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(1)</w:t>
            </w: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30"/>
        </w:trPr>
        <w:tc>
          <w:tcPr>
            <w:tcW w:w="4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swap agreements</w:t>
            </w:r>
            <w:r>
              <w:rPr>
                <w:rFonts w:ascii="Times New Roman" w:cs="Times New Roman" w:eastAsia="Times New Roman" w:hAnsi="Times New Roman"/>
                <w:sz w:val="23"/>
                <w:szCs w:val="23"/>
                <w:color w:val="auto"/>
                <w:vertAlign w:val="superscript"/>
              </w:rPr>
              <w:t>(1)</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65,011</w:t>
            </w:r>
          </w:p>
        </w:tc>
      </w:tr>
      <w:tr>
        <w:trPr>
          <w:trHeight w:val="248"/>
        </w:trPr>
        <w:tc>
          <w:tcPr>
            <w:tcW w:w="4280" w:type="dxa"/>
            <w:vAlign w:val="bottom"/>
            <w:tcBorders>
              <w:top w:val="single" w:sz="8" w:color="CCEEFF"/>
              <w:bottom w:val="single" w:sz="8" w:color="CCEEFF"/>
            </w:tcBorders>
            <w:shd w:val="clear" w:color="auto" w:fill="CCEEFF"/>
          </w:tcPr>
          <w:p>
            <w:pPr>
              <w:spacing w:after="0"/>
              <w:rPr>
                <w:sz w:val="21"/>
                <w:szCs w:val="21"/>
                <w:color w:val="auto"/>
              </w:rPr>
            </w:pPr>
          </w:p>
        </w:tc>
        <w:tc>
          <w:tcPr>
            <w:tcW w:w="34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66,552</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00" w:hanging="374"/>
        <w:spacing w:after="0"/>
        <w:tabs>
          <w:tab w:leader="none" w:pos="4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rate swap positions moved from liability positions as of October 1, 2021 to asset positions as of July 1, 2022 due to changes in forward interest rates.</w:t>
      </w:r>
    </w:p>
    <w:p>
      <w:pPr>
        <w:spacing w:after="0" w:line="26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location of the loss (gain) reclassified from "Accumulated other comprehensive loss" into earnings for derivatives designated as hedging instruments and the location of the loss (gain) for the Company's derivatives not designated as hedging instruments in the Condensed Consolidated Statements of Income (Loss)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36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36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80" w:type="dxa"/>
            <w:vAlign w:val="bottom"/>
          </w:tcPr>
          <w:p>
            <w:pPr>
              <w:spacing w:after="0"/>
              <w:rPr>
                <w:sz w:val="16"/>
                <w:szCs w:val="16"/>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216"/>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Designated as hedging instruments:</w:t>
            </w:r>
          </w:p>
        </w:tc>
        <w:tc>
          <w:tcPr>
            <w:tcW w:w="3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12,362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Not designated as hedging instruments:</w:t>
            </w:r>
          </w:p>
        </w:tc>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Gasoline and diesel fuel agreements</w:t>
            </w:r>
          </w:p>
        </w:tc>
        <w:tc>
          <w:tcPr>
            <w:tcW w:w="3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services provided (exclusive of</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3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and amortization) / Selling and</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tcPr>
          <w:p>
            <w:pPr>
              <w:spacing w:after="0"/>
              <w:rPr>
                <w:sz w:val="21"/>
                <w:szCs w:val="21"/>
                <w:color w:val="auto"/>
              </w:rPr>
            </w:pPr>
          </w:p>
        </w:tc>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8"/>
              </w:rPr>
              <w:t>(4,633)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11,154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36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36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80" w:type="dxa"/>
            <w:vAlign w:val="bottom"/>
          </w:tcPr>
          <w:p>
            <w:pPr>
              <w:spacing w:after="0"/>
              <w:rPr>
                <w:sz w:val="16"/>
                <w:szCs w:val="16"/>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216"/>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Designated as hedging instruments:</w:t>
            </w:r>
          </w:p>
        </w:tc>
        <w:tc>
          <w:tcPr>
            <w:tcW w:w="3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38,161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Not designated as hedging instruments:</w:t>
            </w:r>
          </w:p>
        </w:tc>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Gasoline and diesel fuel agreements</w:t>
            </w:r>
          </w:p>
        </w:tc>
        <w:tc>
          <w:tcPr>
            <w:tcW w:w="3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services provided (exclusive of</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3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and amortization) / Selling and</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tcPr>
          <w:p>
            <w:pPr>
              <w:spacing w:after="0"/>
              <w:rPr>
                <w:sz w:val="21"/>
                <w:szCs w:val="21"/>
                <w:color w:val="auto"/>
              </w:rPr>
            </w:pPr>
          </w:p>
        </w:tc>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8"/>
              </w:rPr>
              <w:t>(8,578)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(7,235)</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30,926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July 1, 2022, the net of tax gain expected to be reclassified from "Accumulated other comprehensive loss" into earnings over the next twelve months based on current market rates is approximately $18.6 million.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REVENUE RECOGNITION:</w:t>
      </w:r>
    </w:p>
    <w:p>
      <w:pPr>
        <w:spacing w:after="0" w:line="9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generates revenue through sales of food, facility and uniform services to customers based on written contracts at the locations it serves. Within the FSS United States and FSS International segments, the Company provides food and beverage services, including catering and retail services, and facilities services, including plant operations and maintenance, custodial,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housekeeping, landscaping and other services. Within the Uniform segment, the Company provides a full service uniform solution, including delivery, cleaning and maintenance. In accordance with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0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revenue source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16"/>
                <w:szCs w:val="16"/>
                <w:color w:val="auto"/>
              </w:rPr>
            </w:pPr>
          </w:p>
        </w:tc>
        <w:tc>
          <w:tcPr>
            <w:tcW w:w="3080" w:type="dxa"/>
            <w:vAlign w:val="bottom"/>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Nine Months Ended</w:t>
            </w:r>
            <w:r>
              <w:rPr>
                <w:rFonts w:ascii="Times New Roman" w:cs="Times New Roman" w:eastAsia="Times New Roman" w:hAnsi="Times New Roman"/>
                <w:sz w:val="9"/>
                <w:szCs w:val="9"/>
                <w:b w:val="1"/>
                <w:bCs w:val="1"/>
                <w:color w:val="auto"/>
              </w:rPr>
              <w:t>(1)</w:t>
            </w:r>
          </w:p>
        </w:tc>
      </w:tr>
      <w:tr>
        <w:trPr>
          <w:trHeight w:val="23"/>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0"/>
        </w:trPr>
        <w:tc>
          <w:tcPr>
            <w:tcW w:w="42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July 2, 2021</w:t>
            </w:r>
          </w:p>
        </w:tc>
      </w:tr>
      <w:tr>
        <w:trPr>
          <w:trHeight w:val="216"/>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&amp; Industry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w:t>
            </w:r>
          </w:p>
        </w:tc>
      </w:tr>
      <w:tr>
        <w:trPr>
          <w:trHeight w:val="230"/>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Education</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w:t>
            </w:r>
          </w:p>
        </w:tc>
      </w:tr>
      <w:tr>
        <w:trPr>
          <w:trHeight w:val="22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Healthcare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w:t>
            </w:r>
          </w:p>
        </w:tc>
      </w:tr>
      <w:tr>
        <w:trPr>
          <w:trHeight w:val="230"/>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w:t>
            </w:r>
          </w:p>
        </w:tc>
      </w:tr>
      <w:tr>
        <w:trPr>
          <w:trHeight w:val="229"/>
        </w:trPr>
        <w:tc>
          <w:tcPr>
            <w:tcW w:w="4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Facilities &amp; Other</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1,154.2</w:t>
            </w:r>
          </w:p>
        </w:tc>
      </w:tr>
      <w:tr>
        <w:trPr>
          <w:trHeight w:val="223"/>
        </w:trPr>
        <w:tc>
          <w:tcPr>
            <w:tcW w:w="4240" w:type="dxa"/>
            <w:vAlign w:val="bottom"/>
            <w:shd w:val="clear" w:color="auto" w:fill="CCEEFF"/>
          </w:tcPr>
          <w:p>
            <w:pPr>
              <w:jc w:val="right"/>
              <w:ind w:right="2010"/>
              <w:spacing w:after="0"/>
              <w:rPr>
                <w:sz w:val="20"/>
                <w:szCs w:val="20"/>
                <w:color w:val="auto"/>
              </w:rPr>
            </w:pPr>
            <w:r>
              <w:rPr>
                <w:rFonts w:ascii="Times New Roman" w:cs="Times New Roman" w:eastAsia="Times New Roman" w:hAnsi="Times New Roman"/>
                <w:sz w:val="18"/>
                <w:szCs w:val="18"/>
                <w:color w:val="auto"/>
              </w:rPr>
              <w:t>Total FSS United States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4,646.4</w:t>
            </w:r>
          </w:p>
        </w:tc>
      </w:tr>
      <w:tr>
        <w:trPr>
          <w:trHeight w:val="270"/>
        </w:trPr>
        <w:tc>
          <w:tcPr>
            <w:tcW w:w="4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w:t>
            </w:r>
          </w:p>
        </w:tc>
      </w:tr>
      <w:tr>
        <w:trPr>
          <w:trHeight w:val="230"/>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 of World</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w:t>
            </w:r>
          </w:p>
        </w:tc>
      </w:tr>
      <w:tr>
        <w:trPr>
          <w:trHeight w:val="223"/>
        </w:trPr>
        <w:tc>
          <w:tcPr>
            <w:tcW w:w="424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Total FSS International</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2,100.7</w:t>
            </w:r>
          </w:p>
        </w:tc>
      </w:tr>
      <w:tr>
        <w:trPr>
          <w:trHeight w:val="270"/>
        </w:trPr>
        <w:tc>
          <w:tcPr>
            <w:tcW w:w="4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1,797.6</w:t>
            </w:r>
          </w:p>
        </w:tc>
      </w:tr>
      <w:tr>
        <w:trPr>
          <w:trHeight w:val="270"/>
        </w:trPr>
        <w:tc>
          <w:tcPr>
            <w:tcW w:w="42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2,981.2</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11,936.2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8,544.7</w:t>
            </w: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20" w:hanging="394"/>
        <w:spacing w:after="0"/>
        <w:tabs>
          <w:tab w:leader="none" w:pos="4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was favorable during the three and nine months ended July 1, 2022 compared to the three and nine months ended July 2, 2021 as COVID-19 restrictions were lifted and operations re-opened.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Deferred income is recognized in "Accrued expenses and other current liabilities" on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 the arrangement is short term in nature.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8"/>
          <w:szCs w:val="18"/>
          <w:color w:val="auto"/>
        </w:rPr>
        <w:t>During the nine months ended July 1, 2022, deferred income increased related to customer prepayments and decreased related to income recognized during the period as a result of satisfying the performance obligation. For the nine months ended July 1, 2022, the Company recognized $267.7 million of revenue that was included in deferred income at the beginning of the period. Deferred income balances are summarized in the following table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October 1, 2021</w:t>
            </w:r>
          </w:p>
        </w:tc>
      </w:tr>
      <w:tr>
        <w:trPr>
          <w:trHeight w:val="23"/>
        </w:trPr>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0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As of each reporting date, the Company considers existing evidence, both positive and negative, that could impact the need for valuation allowances against deferred tax assets ("DTAs"). During the nine months ended July 1, 2022, the Company recorded a benefit to the "Provision (Benefit) for Income Taxes" within the Condensed Consolidated Statements of Income (Loss) of approximately $8.5 million for the reversal of a valuation allowance at a subsidiary in the FSS International segment driven by the Company's ability to utilize the DTAs based on future taxable income expected due to the acquisition of a business. During the nine months ended July 2, 2021, the Company recorded a valuation allowance against DTAs based on cumulative losses in certain subsidiaries in the FSS International segment of approximately $14.6 million to the "Provision (Benefit) for Income Taxes" within the Condensed Consolidated Statements of Income (Loss).</w:t>
      </w:r>
    </w:p>
    <w:p>
      <w:pPr>
        <w:spacing w:after="0" w:line="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March 27, 2020, the CARES Act was enacted in response to COVID-19. The CARES Act, among other things, permitted net operating losses ("NOLs") incurred in fiscal 2019, 2020 and 2021 to be carried back to each of the five preceding taxable years to generate a refund of previously paid income taxes. NOLs arising in fiscal 2019, 2020 or 2021 are created in years that have a 21.0% federal income tax rate. If these NOLs are carried back to years prior to fiscal 2018, the resulting refund would be in years with a 35.0% federal income tax rate.</w:t>
      </w:r>
    </w:p>
    <w:p>
      <w:pPr>
        <w:spacing w:after="0" w:line="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 result of the CARES Act, the Company recorded a net benefit to the "Provision (Benefit) for Income Taxes" of approximately $3.8 million and $38.1 million during the three and nine months ended July 2, 2021, respectively, which reflect the NOLs carried back or expected to be carried back to Pre-Tax Cuts and Jobs Act tax years at 35.0%. In addition, the Company recorded a valuation allowance to the "Provision (Benefit) for Income Taxes" of $3.8 million and $30.0 million during the three and nine months ended July 2, 2021, respectively, against certain foreign tax credits that were re-established by the NOL carryback, as it is more likely than not a tax benefit will not be realized. During the second quarter of fiscal 2021, the Company received approximately $93.6 million of proceeds related to the fiscal 2020 income tax return from the NOLs generated in fiscal 2020 as a result of the CARES Act.</w:t>
      </w:r>
    </w:p>
    <w:p>
      <w:pPr>
        <w:spacing w:after="0" w:line="66" w:lineRule="exact"/>
        <w:rPr>
          <w:sz w:val="20"/>
          <w:szCs w:val="20"/>
          <w:color w:val="auto"/>
        </w:rPr>
      </w:pPr>
    </w:p>
    <w:p>
      <w:pPr>
        <w:jc w:val="both"/>
        <w:ind w:right="360"/>
        <w:spacing w:after="0" w:line="312" w:lineRule="auto"/>
        <w:rPr>
          <w:sz w:val="20"/>
          <w:szCs w:val="20"/>
          <w:color w:val="auto"/>
        </w:rPr>
      </w:pPr>
      <w:r>
        <w:rPr>
          <w:rFonts w:ascii="Times New Roman" w:cs="Times New Roman" w:eastAsia="Times New Roman" w:hAnsi="Times New Roman"/>
          <w:sz w:val="17"/>
          <w:szCs w:val="17"/>
          <w:color w:val="auto"/>
        </w:rPr>
        <w:t>The Company recorded a net benefit to the "Provision (Benefit) for Income Taxes" in both the three and nine month periods ended July 2, 2021 of $4.0 million related to the release of certain stranded tax effects when the Company terminated certain Canadian defined benefit pension plans (see Note 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nine months ended July 1, 2022 and July 2, 2021, the Company paid cash dividends of approximately $84.8 million and $83.9 million to its stockholders, respectively. On August 2, 2022, the Company's Board declared an $0.11 dividend per share of common stock, payable on August 30, 2022, to shareholders of record on the close of business on August 17, 2022.</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has 100.0 million shares of preferred stock authorized, with a par value of $0.01 per share. At July 1, 2022 and October 1, 2021, zero shares of preferred stock were issued or outstanding.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SHARE-BASED COMPENSATION:</w:t>
      </w:r>
    </w:p>
    <w:p>
      <w:pPr>
        <w:spacing w:after="0" w:line="9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following table summarizes the share-based compensation expense and related information for Time-Based Options ("TBOs"), Retention Time-Based Options ("TBO-Rs"), Time-Based Restricted Stock Units ("RSUs"), Performance Stock Units ("PSUs"), Deferred Stock Units and Employee Stock Purchase Plan ("ESPP") recorded within "Selling and general corporate expenses" on the Condensed Consolidated Statements of Income (Loss)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96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6"/>
                <w:szCs w:val="16"/>
                <w:color w:val="auto"/>
              </w:rPr>
            </w:pPr>
          </w:p>
        </w:tc>
      </w:tr>
      <w:tr>
        <w:trPr>
          <w:trHeight w:val="23"/>
        </w:trPr>
        <w:tc>
          <w:tcPr>
            <w:tcW w:w="44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44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420" w:type="dxa"/>
            <w:vAlign w:val="bottom"/>
            <w:tcBorders>
              <w:bottom w:val="single" w:sz="8" w:color="auto"/>
            </w:tcBorders>
          </w:tcPr>
          <w:p>
            <w:pPr>
              <w:spacing w:after="0"/>
              <w:rPr>
                <w:sz w:val="16"/>
                <w:szCs w:val="16"/>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TBOs</w:t>
            </w:r>
          </w:p>
        </w:tc>
        <w:tc>
          <w:tcPr>
            <w:tcW w:w="122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TBO-Rs</w:t>
            </w: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Stock Units</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4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related to share-based compensation</w:t>
            </w:r>
          </w:p>
        </w:tc>
        <w:tc>
          <w:tcPr>
            <w:tcW w:w="122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from Option Exercises/ESPP Purchases</w:t>
            </w: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on Share Deliveries</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7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below table summarizes the number of shares granted and the weighted-average grant-date fair value per unit during the nine months ended July 1, 2022:</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34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Shares Granted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right"/>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(dollars per share)</w:t>
            </w:r>
          </w:p>
        </w:tc>
        <w:tc>
          <w:tcPr>
            <w:tcW w:w="0" w:type="dxa"/>
            <w:vAlign w:val="bottom"/>
          </w:tcPr>
          <w:p>
            <w:pPr>
              <w:spacing w:after="0"/>
              <w:rPr>
                <w:sz w:val="1"/>
                <w:szCs w:val="1"/>
                <w:color w:val="auto"/>
              </w:rPr>
            </w:pPr>
          </w:p>
        </w:tc>
      </w:tr>
      <w:tr>
        <w:trPr>
          <w:trHeight w:val="22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TBOs</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29"/>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r>
        <w:trPr>
          <w:trHeight w:val="230"/>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0.5</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(LOSS) PER SHARE:</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Basic earnings (loss) per share is computed using the weighted average number of common shares outstanding during the periods presented. Diluted earnings (loss) per share is computed using the weighted average number of common shares outstanding adjusted to include the potentially dilutive effect of stock awards.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 attributable to the Company's stockholders (in thousands, except per share data):</w:t>
      </w: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74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216"/>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w:t>
            </w: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6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Aramark</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40,329</w:t>
            </w:r>
          </w:p>
        </w:tc>
        <w:tc>
          <w:tcPr>
            <w:tcW w:w="12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32,557</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118,688</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(126,262)</w:t>
            </w:r>
          </w:p>
        </w:tc>
        <w:tc>
          <w:tcPr>
            <w:tcW w:w="0" w:type="dxa"/>
            <w:vAlign w:val="bottom"/>
          </w:tcPr>
          <w:p>
            <w:pPr>
              <w:spacing w:after="0"/>
              <w:rPr>
                <w:sz w:val="1"/>
                <w:szCs w:val="1"/>
                <w:color w:val="auto"/>
              </w:rPr>
            </w:pPr>
          </w:p>
        </w:tc>
      </w:tr>
      <w:tr>
        <w:trPr>
          <w:trHeight w:val="221"/>
        </w:trPr>
        <w:tc>
          <w:tcPr>
            <w:tcW w:w="4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254,461</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440"/>
              <w:spacing w:after="0" w:line="230" w:lineRule="exact"/>
              <w:rPr>
                <w:sz w:val="20"/>
                <w:szCs w:val="20"/>
                <w:color w:val="auto"/>
              </w:rPr>
            </w:pPr>
            <w:r>
              <w:rPr>
                <w:rFonts w:ascii="Times New Roman" w:cs="Times New Roman" w:eastAsia="Times New Roman" w:hAnsi="Times New Roman"/>
                <w:sz w:val="18"/>
                <w:szCs w:val="18"/>
                <w:color w:val="auto"/>
              </w:rPr>
              <w:t>Effect of dilutive securities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259,219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257,374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258,682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254,461</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60" w:type="dxa"/>
            <w:vAlign w:val="bottom"/>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Aramark</w:t>
            </w: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60" w:type="dxa"/>
            <w:vAlign w:val="bottom"/>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Aramark</w:t>
            </w: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00" w:right="160" w:hanging="374"/>
        <w:spacing w:after="0"/>
        <w:tabs>
          <w:tab w:leader="none" w:pos="4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Incremental shares of 2.1 million have been excluded from the computation of diluted weighted-average shares outstanding for the nine months ended July 2, 2021, because the effect would have been antidilutive due to the net loss attributable to Aramark stockholders during the period.</w:t>
      </w:r>
    </w:p>
    <w:p>
      <w:pPr>
        <w:spacing w:after="0" w:line="18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Share-based awards to purchase 10.0 million and 8.5 million shares were outstanding for the three months ended July 1, 2022 and July 2, 2021, respectively, but were not included in the computation of diluted earnings per common share, as their effect would have been antidilutive. In addition, PSUs related to 1.0 million and 1.1 million shares were outstanding for the three months ended July 1, 2022 and July 2, 2021, respectively, but were not included in the computation of diluted earnings per common share, as the performance targets were not yet met.</w:t>
      </w:r>
    </w:p>
    <w:p>
      <w:pPr>
        <w:spacing w:after="0" w:line="4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Share-based awards to purchase 9.3 million and 9.4 million shares were outstanding for the nine months ended July 1, 2022 and July 2, 2021, respectively, but were not included in the computation of diluted earnings (loss) per common share, as their effect would have been antidilutive. In addition, PSUs related to 1.0 million and 1.1 million shares were outstanding for the nine months ended July 1, 2022 and July 2, 2021, respectively, but were not included in the computation of diluted earnings (loss) per common share, as the performance targets were not yet met.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Certain of the Company's lease arrangements, primarily vehicle leases, with terms of one to 12 years, contain provisions related to residual value guarantees. The maximum potential liability to the Company under such arrangements was approximately $26.7 million at July 1, 2022 if the terminal fair value of vehicles coming off lease was zero. Consistent with past experience, management does not expect any significant payments will be required pursuant to these arrangements. No amounts have been accrued for guarantee arrangements at July 1, 2022.</w:t>
      </w:r>
    </w:p>
    <w:p>
      <w:pPr>
        <w:spacing w:after="0" w:line="4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was involved in a dispute with a client regarding Aramark’s provision of services pursuant to a contract. During the second quarter of fiscal 2022, the Company resolved the matter by entering into a settlement agreement with the client whereby the Company's obligations totaled approximately $13.6 million, resulting in a reversal of previously reserved amounts of approximately $5.7 million, which is included in "Cost of services provided (exclusive of depreciation and amortization)" on the Condensed Consolidated Statements of Income (Loss).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BUSINESS SEGMENTS: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reports its operating results in three reportable segments: FSS United States, FSS International and Uniform. Corporate includes general expenses not specifically allocated to an individual segment and share-based compensation expense (see Note 10). In the Company's food and support services segments, approximately 71% of the global revenue is related to food services and 29% is related to facilities services. During the nine months ended July 1, 2022 and July 2, 2021, the Company received proceeds of approximately $9.0 million and $10.0 million, respectively, relating to the recovery of the Company's investment (possessory interest) at one of the National Park Service sites within the FSS United States segment. The Company recorded a gain related to the recovery of its investment, which is included in "Cost of services provided (exclusive of depreciation and amortization)" on the Condensed Consolidated Statements of Income (Loss). Revenue, operating income and net income (loss) were favorable during the three and nine months ended July 1, 2022 compared to the three and nine months ended July 2, 2021 as COVID-19 restrictions were lifted and operations re-opened.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segment follows (in millions):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40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20" w:type="dxa"/>
            <w:vAlign w:val="bottom"/>
            <w:vMerge w:val="continue"/>
          </w:tcPr>
          <w:p>
            <w:pPr>
              <w:spacing w:after="0"/>
              <w:rPr>
                <w:sz w:val="15"/>
                <w:szCs w:val="15"/>
                <w:color w:val="auto"/>
              </w:rPr>
            </w:pPr>
          </w:p>
        </w:tc>
        <w:tc>
          <w:tcPr>
            <w:tcW w:w="17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17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350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3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5"/>
        </w:trPr>
        <w:tc>
          <w:tcPr>
            <w:tcW w:w="46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vMerge w:val="continue"/>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80" w:type="dxa"/>
            <w:vAlign w:val="bottom"/>
          </w:tcPr>
          <w:p>
            <w:pPr>
              <w:spacing w:after="0"/>
              <w:rPr>
                <w:sz w:val="16"/>
                <w:szCs w:val="16"/>
                <w:color w:val="auto"/>
              </w:rPr>
            </w:pP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350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3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Income</w:t>
            </w:r>
          </w:p>
        </w:tc>
        <w:tc>
          <w:tcPr>
            <w:tcW w:w="3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8"/>
        </w:trPr>
        <w:tc>
          <w:tcPr>
            <w:tcW w:w="46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Income Before Income Taxes</w:t>
            </w:r>
          </w:p>
        </w:tc>
        <w:tc>
          <w:tcPr>
            <w:tcW w:w="3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vMerge w:val="continue"/>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80" w:type="dxa"/>
            <w:vAlign w:val="bottom"/>
          </w:tcPr>
          <w:p>
            <w:pPr>
              <w:spacing w:after="0"/>
              <w:rPr>
                <w:sz w:val="16"/>
                <w:szCs w:val="16"/>
                <w:color w:val="auto"/>
              </w:rPr>
            </w:pP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350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Equity Investment</w:t>
            </w: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Defined Benefit Pension Plan Termination</w:t>
            </w:r>
          </w:p>
        </w:tc>
        <w:tc>
          <w:tcPr>
            <w:tcW w:w="3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3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6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vMerge w:val="continue"/>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80" w:type="dxa"/>
            <w:vAlign w:val="bottom"/>
          </w:tcPr>
          <w:p>
            <w:pPr>
              <w:spacing w:after="0"/>
              <w:rPr>
                <w:sz w:val="16"/>
                <w:szCs w:val="16"/>
                <w:color w:val="auto"/>
              </w:rPr>
            </w:pP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350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4,646.4</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2,100.7</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3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11,936.2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8,544.7</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3220" w:type="dxa"/>
            <w:vAlign w:val="bottom"/>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6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62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80" w:type="dxa"/>
            <w:vAlign w:val="bottom"/>
          </w:tcPr>
          <w:p>
            <w:pPr>
              <w:spacing w:after="0"/>
              <w:rPr>
                <w:sz w:val="16"/>
                <w:szCs w:val="16"/>
                <w:color w:val="auto"/>
              </w:rPr>
            </w:pP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23"/>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(110.1)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23"/>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8"/>
        </w:trPr>
        <w:tc>
          <w:tcPr>
            <w:tcW w:w="7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Income (Loss) Before Income Taxes</w:t>
            </w: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80" w:type="dxa"/>
            <w:vAlign w:val="bottom"/>
          </w:tcPr>
          <w:p>
            <w:pPr>
              <w:spacing w:after="0"/>
              <w:rPr>
                <w:sz w:val="16"/>
                <w:szCs w:val="16"/>
                <w:color w:val="auto"/>
              </w:rPr>
            </w:pP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Equity Investment</w:t>
            </w: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Defined Benefit Pension Plan Termination</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OF FINANCIAL ASSETS AND FINANCIAL LIABILITIES: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41" w:lineRule="exact"/>
        <w:rPr>
          <w:sz w:val="20"/>
          <w:szCs w:val="20"/>
          <w:color w:val="auto"/>
        </w:rPr>
      </w:pPr>
    </w:p>
    <w:p>
      <w:pPr>
        <w:ind w:left="900" w:hanging="244"/>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methodology are quoted prices (unadjusted) for identical assets or liabilities in active markets</w:t>
      </w:r>
    </w:p>
    <w:p>
      <w:pPr>
        <w:spacing w:after="0" w:line="103"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8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40"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methodology are unobservable and significant to the fair value measurement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July 1, 2022 and October 1, 2021 was $7,884.7 million and $7,580.7 million, respectively. The carrying value of the Company's debt at July 1, 2022 and October 1, 2021 was $8,162.3 million and $7,452.3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spacing w:after="0" w:line="7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part of the Union Supply acquisition (see Note 2), the Company recorded a contingent consideration obligation based on the fair value of the expected payments. The Company performed a fair value assessment of the contingent consideration obligation based on the terms and conditions of the purchase agreement. The inputs utilized in estimating the fair value of the contingent consideration have been classified as Level 3 in the fair value hierarchy levels and are subject to risk and uncertainty. The calculation of fair value is dependent on several subjective factors including future earnings and profitability. If assumptions or estimates vary from what was expected, the fair value of the contingent consideration liability may materially change. The fair value of the contingent consideration liability at July 1, 2022 was $40.2 million.</w:t>
      </w:r>
    </w:p>
    <w:p>
      <w:pPr>
        <w:spacing w:after="0" w:line="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part of the Next Level Hospitality acquisition completed in fiscal 2021, the Company recorded a contingent consideration obligation based on the fair value of the expected payments. During the second quarter of fiscal 2022, the unit purchase agreement with the former owners of Next Level was amended to modify the terms and conditions associated with the contingent consideration. The amended agreement includes calendar year 2023, in addition to calendar years 2022 and 2021, as a performance period to earn consideration should Next Level achieve certain adjusted EBITDA levels. The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accounted for the agreement prospectively and did not modify its allocation of the purchase price for the transaction, which was finalized in fiscal 2021. The Company performed a fair value assessment of the contingent consideration obligation based on the terms and conditions of the amended agreement, using internal models. The inputs utilized in estimating the fair value of the contingent consideration have been classified as Level 3 in the fair value hierarchy levels and are subject to risk and uncertainty. The calculation of fair value is dependent on several subjective factors including future earnings and profitability. If assumptions or estimates vary from what was expected, the fair value of the contingent consideration liability may materially change. The fair value of the contingent consideration liability at July 1, 2022 and October 1, 2021 was $69.1 million and $78.4 million, respectively. During the third quarter of fiscal 2022, the Company paid $9.3 million related to the contingent consideration liability, which was for the calendar 2021 performance period.</w:t>
      </w: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75"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Aramark's (the "Company," "we," "our" and "us") financial condition and results of operations for the three and nine months ended July 1, 2022 and July 2, 2021 should be read in conjunction with our audited consolidated financial statements and the notes to those statements for the fiscal year ended October 1, 2021 included in our Annual Report on Form 10-K, filed with the Securities and Exchange Commission ("SEC") on November 23, 2021.</w:t>
      </w:r>
    </w:p>
    <w:p>
      <w:pPr>
        <w:spacing w:after="0" w:line="58"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clients. Through these partnerships, we serve millions of consumers including students, patients, employees, sports fans and guests worldwide. We operate our business in three reportable segments: Food and Support Services United States ("FSS United States"), Food and Support Services International ("FSS International") and Uniform and Career Apparel ("Uniform").</w:t>
      </w:r>
    </w:p>
    <w:p>
      <w:pPr>
        <w:spacing w:after="0" w:line="6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FSS United States reportable segment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Administrative expenses not allocated to our three reportable segments are presented separately as corporate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Update</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COVID-19 pandemic ("COVID-19") has adversely affected global economies, disrupted global supply chains and labor force participation and created significant volatility and disruption of financial markets. COVID-19 related disruptions negatively impacted our financial and operating results beginning in the second quarter of fiscal 2020 through the first half of fiscal 2021. Our financial results started to improve during the second half of fiscal 2021 and continue to improve during the nine month period of fiscal 2022 as COVID-19 restrictions were lifted and operations re-opened. In addition, the ongoing conflict between Russia and Ukraine has further disrupted global supply chains and heightened volatility and disruption of global financial markets. While we do not have direct operations within Russia, Belarus or Ukraine, the conflict involving these nations has heightened the disruption to our supply chain, triggered inflation in our food and labor costs and may increase our risk of cyberattacks. The impact of these global events on our longer-term operational and financial performance will depend on future developments, including the lingering effects of the COVID-19 pandemic, our ability to effectively hire and retain personnel, governmental response to inflation and the duration and severity of the conflict in Ukraine. These future developments are largely outside of our control and are highly uncertain.</w:t>
      </w:r>
    </w:p>
    <w:p>
      <w:pPr>
        <w:spacing w:after="0" w:line="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continue to remain principally focused on the safety and well-being of our employees, clients and everyone we serve, while simultaneously taking timely, proactive measures to adapt to the current environment. We continue to modify our business model in response to the current environment, including proactively managing inflation and global supply chain disruption, through supply chain initiatives. We have also implemented pricing pass-throughs, as appropriate, to cover incremental costs. In certain sectors, like Education, there can be a lag in pricing pass-throughs due to the timing of when prices are determined in the academic year.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FSS United States segment, the current environment of our sectors are as follows:</w:t>
      </w:r>
    </w:p>
    <w:p>
      <w:pPr>
        <w:spacing w:after="0" w:line="90" w:lineRule="exact"/>
        <w:rPr>
          <w:sz w:val="20"/>
          <w:szCs w:val="20"/>
          <w:color w:val="auto"/>
        </w:rPr>
      </w:pPr>
    </w:p>
    <w:p>
      <w:pPr>
        <w:ind w:left="660" w:right="2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 Education saw solid performance through the end of the academic year. In Higher Education and K-12, teams are preparing for the upcoming new school season as well as implementing enhanced pricing strategies for meal plans and on-campus retail outlets.</w:t>
      </w:r>
    </w:p>
    <w:p>
      <w:pPr>
        <w:spacing w:after="0" w:line="40"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 Leisure &amp; Corrections – Sports saw increased spending trends and a strong attendance in professional sports, led by Major League Baseball, and a more consistent concert schedule. Leisure experienced increased guest activity,</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640"/>
        <w:spacing w:after="0" w:line="282" w:lineRule="auto"/>
        <w:rPr>
          <w:sz w:val="20"/>
          <w:szCs w:val="20"/>
          <w:color w:val="auto"/>
        </w:rPr>
      </w:pPr>
      <w:r>
        <w:rPr>
          <w:rFonts w:ascii="Times New Roman" w:cs="Times New Roman" w:eastAsia="Times New Roman" w:hAnsi="Times New Roman"/>
          <w:sz w:val="18"/>
          <w:szCs w:val="18"/>
          <w:color w:val="auto"/>
        </w:rPr>
        <w:t>particularly in National Parks. Corrections again performed above pre-COVID-19 revenue levels and have implemented enhanced pricing strategies.</w:t>
      </w:r>
    </w:p>
    <w:p>
      <w:pPr>
        <w:spacing w:after="0" w:line="27" w:lineRule="exact"/>
        <w:rPr>
          <w:sz w:val="20"/>
          <w:szCs w:val="20"/>
          <w:color w:val="auto"/>
        </w:rPr>
      </w:pPr>
    </w:p>
    <w:p>
      <w:pPr>
        <w:ind w:left="660" w:right="4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&amp; Industry – Companies continued to experience a steady increase of in-person activity, albeit still below pre-pandemic levels. Our clients implemented customized offerings and meal subsidies, helping increase participation rates.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&amp; Other – Revenues performed above pre-COVID-19 levels driven by higher levels of activity at existing clients and strong levels of new wins. We continue to offer our core business offerings, with an added focus on new engineering solutions and client project services.</w:t>
      </w:r>
    </w:p>
    <w:p>
      <w:pPr>
        <w:spacing w:after="0" w:line="40" w:lineRule="exact"/>
        <w:rPr>
          <w:rFonts w:ascii="Times New Roman" w:cs="Times New Roman" w:eastAsia="Times New Roman" w:hAnsi="Times New Roman"/>
          <w:sz w:val="18"/>
          <w:szCs w:val="18"/>
          <w:color w:val="auto"/>
        </w:rPr>
      </w:pPr>
    </w:p>
    <w:p>
      <w:pPr>
        <w:ind w:left="660" w:right="340" w:hanging="328"/>
        <w:spacing w:after="0" w:line="27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 Revenue growth led by increased client activity related to elective surgeries and clinical care. We have also added new offerings, including Ambulatory Surgical Centers.</w:t>
      </w:r>
    </w:p>
    <w:p>
      <w:pPr>
        <w:spacing w:after="0" w:line="2"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Within the FSS International segment, we continue to recover, returning to pre-pandemic revenue levels. South America continues to experience strong performance in extractive services. Europe and Canada continue to recover given improved activity levels, especially in sports and entertainment venues. China has continued to show revenue growth despite recent lockdown restrictions in certain cities that occurred due to the increase in COVID-19 cases. Across the FSS International segment, clients continue to focus on re-openings as government support programs eased, while also managing labor shortages.</w:t>
      </w:r>
    </w:p>
    <w:p>
      <w:pPr>
        <w:spacing w:after="0" w:line="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the Uniform segment, our business serves a range of clients, focusing on solution-oriented service driving safety and hygiene. Client operations have mostly resumed, which, combined with increasing levels of net new client wins and improved pricing, enabled the segment to continue to surpass pre-pandemic revenue levels.</w:t>
      </w:r>
    </w:p>
    <w:p>
      <w:pPr>
        <w:spacing w:after="0" w:line="5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During fiscal 2022, we saw continued improved profitability from clients re-opening as COVID-19 restrictions continued to ease as well as from effective management of operating costs, including supply chain initiatives, and pricing pass-throughs to mitigate the effects of elevated inflation. We continue to evaluate and react to the effects of a prolonged global disruption and the continued impact on our results of operations. These items may include, but are not limited to: the financial condition of our clients; supply chain disruptions that caused delivery delays, product inflation, lower fill rates and higher substitution rates for a range of products; and greater labor challenges. We expect these items to continue, and we regularly evaluate and react in order to take appropriate actions to mitigate the risk in these areas. We have seen a slight easing in off-program procurement purchases in the third quarter of fiscal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Aramark’s Intention to Spin-off Uniform Segment</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May 10, 2022, we announced our intention to spin-off our Uniform segment into an independent publicly traded company to our stockholders. The proposed spin-off is intended to be a tax-free transaction to us and our stockholders for United States federal income tax purposes. The proposed spin-off is expected to be completed by the end of fiscal 2023, subject to certain customary conditions, including final approval of our Board of Directors, receipt of a favorable opinion and Internal Revenue Service ruling with respect to the tax-free nature of the transaction, the effectiveness of a registration statement on Form 10 to be filed with the SEC and the receipt of other regulatory approvals.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revenue and operating results have varied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 sector. Our business and results of operations have started to resemble our historically typical patterns of seasonality; however, the lingering effects of the COVID-19 pandemic may still cause atypical patterns in our seasonality.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Fluctuations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fiscal year is the fifty-two or fifty-three week period which ends on the Friday nearest September 30th. The fiscal years ending September 30, 2022 and October 1, 2021 are both fifty-two week periods.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tables present an overview of our results on a consolidated and segment basis with the amount of and percentage change between periods for the three and nine months ended July 1, 2022 and July 2, 2021 (dollars in millions).</w:t>
      </w: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4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0" w:type="dxa"/>
            <w:vAlign w:val="bottom"/>
          </w:tcPr>
          <w:p>
            <w:pPr>
              <w:spacing w:after="0"/>
              <w:rPr>
                <w:sz w:val="1"/>
                <w:szCs w:val="1"/>
                <w:color w:val="auto"/>
              </w:rPr>
            </w:pPr>
          </w:p>
        </w:tc>
      </w:tr>
      <w:tr>
        <w:trPr>
          <w:trHeight w:val="20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80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Cost of services provided (exclusive of depreciation and</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r>
        <w:trPr>
          <w:trHeight w:val="22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99.2 %</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Equity Investment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Defined Benefit Plan Termination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126.4 %</w:t>
            </w:r>
          </w:p>
        </w:tc>
        <w:tc>
          <w:tcPr>
            <w:tcW w:w="0" w:type="dxa"/>
            <w:vAlign w:val="bottom"/>
          </w:tcPr>
          <w:p>
            <w:pPr>
              <w:spacing w:after="0"/>
              <w:rPr>
                <w:sz w:val="1"/>
                <w:szCs w:val="1"/>
                <w:color w:val="auto"/>
              </w:rPr>
            </w:pPr>
          </w:p>
        </w:tc>
      </w:tr>
      <w:tr>
        <w:trPr>
          <w:trHeight w:val="22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4"/>
                <w:szCs w:val="24"/>
                <w:color w:val="auto"/>
              </w:rPr>
            </w:pPr>
          </w:p>
        </w:tc>
        <w:tc>
          <w:tcPr>
            <w:tcW w:w="14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Segment</w:t>
            </w:r>
            <w:r>
              <w:rPr>
                <w:rFonts w:ascii="Times New Roman" w:cs="Times New Roman" w:eastAsia="Times New Roman" w:hAnsi="Times New Roman"/>
                <w:sz w:val="18"/>
                <w:szCs w:val="18"/>
                <w:b w:val="1"/>
                <w:bCs w:val="1"/>
                <w:color w:val="auto"/>
                <w:vertAlign w:val="superscript"/>
              </w:rPr>
              <w:t>(1)(2)</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0" w:type="dxa"/>
            <w:vAlign w:val="bottom"/>
          </w:tcPr>
          <w:p>
            <w:pPr>
              <w:spacing w:after="0"/>
              <w:rPr>
                <w:sz w:val="1"/>
                <w:szCs w:val="1"/>
                <w:color w:val="auto"/>
              </w:rPr>
            </w:pPr>
          </w:p>
        </w:tc>
      </w:tr>
      <w:tr>
        <w:trPr>
          <w:trHeight w:val="22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36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2"/>
                <w:szCs w:val="22"/>
                <w:color w:val="auto"/>
              </w:rPr>
            </w:pPr>
          </w:p>
        </w:tc>
        <w:tc>
          <w:tcPr>
            <w:tcW w:w="14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by Segment</w:t>
            </w:r>
            <w:r>
              <w:rPr>
                <w:rFonts w:ascii="Times New Roman" w:cs="Times New Roman" w:eastAsia="Times New Roman" w:hAnsi="Times New Roman"/>
                <w:sz w:val="18"/>
                <w:szCs w:val="18"/>
                <w:b w:val="1"/>
                <w:bCs w:val="1"/>
                <w:color w:val="auto"/>
                <w:vertAlign w:val="superscript"/>
              </w:rPr>
              <w:t>(2)</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102.5 %</w:t>
            </w:r>
          </w:p>
        </w:tc>
        <w:tc>
          <w:tcPr>
            <w:tcW w:w="0" w:type="dxa"/>
            <w:vAlign w:val="bottom"/>
          </w:tcPr>
          <w:p>
            <w:pPr>
              <w:spacing w:after="0"/>
              <w:rPr>
                <w:sz w:val="1"/>
                <w:szCs w:val="1"/>
                <w:color w:val="auto"/>
              </w:rPr>
            </w:pPr>
          </w:p>
        </w:tc>
      </w:tr>
      <w:tr>
        <w:trPr>
          <w:trHeight w:val="230"/>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72.8 %</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160" w:firstLine="8"/>
        <w:spacing w:after="0" w:line="301" w:lineRule="auto"/>
        <w:tabs>
          <w:tab w:leader="none" w:pos="20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percentage of total revenue, FSS United States represented 60.1% and 55.3%, FSS International represented 23.7% and 24.5% and Uniform represented 16.2% and 20.2% for the three months ended July 1, 2022 and July 2, 2021, respectively.</w:t>
      </w:r>
    </w:p>
    <w:p>
      <w:pPr>
        <w:spacing w:after="0" w:line="1" w:lineRule="exact"/>
        <w:rPr>
          <w:rFonts w:ascii="Times New Roman" w:cs="Times New Roman" w:eastAsia="Times New Roman" w:hAnsi="Times New Roman"/>
          <w:sz w:val="14"/>
          <w:szCs w:val="14"/>
          <w:color w:val="auto"/>
        </w:rPr>
      </w:pPr>
    </w:p>
    <w:p>
      <w:pPr>
        <w:ind w:right="520" w:firstLine="8"/>
        <w:spacing w:after="0" w:line="282" w:lineRule="auto"/>
        <w:tabs>
          <w:tab w:leader="none" w:pos="20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and operating income were favorable during the three months ended July 1, 2022 compared to the three months ended July 2, 2021 as COVID-19 restrictions were lifted and operations re-opened.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Pr>
          <w:p>
            <w:pPr>
              <w:spacing w:after="0"/>
              <w:rPr>
                <w:sz w:val="16"/>
                <w:szCs w:val="16"/>
                <w:color w:val="auto"/>
              </w:rPr>
            </w:pPr>
          </w:p>
        </w:tc>
        <w:tc>
          <w:tcPr>
            <w:tcW w:w="14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0" w:type="dxa"/>
            <w:vAlign w:val="bottom"/>
          </w:tcPr>
          <w:p>
            <w:pPr>
              <w:spacing w:after="0"/>
              <w:rPr>
                <w:sz w:val="1"/>
                <w:szCs w:val="1"/>
                <w:color w:val="auto"/>
              </w:rPr>
            </w:pPr>
          </w:p>
        </w:tc>
      </w:tr>
      <w:tr>
        <w:trPr>
          <w:trHeight w:val="210"/>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80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Cost of services provided (exclusive of depreciation and</w:t>
            </w: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0" w:type="dxa"/>
            <w:vAlign w:val="bottom"/>
          </w:tcPr>
          <w:p>
            <w:pPr>
              <w:spacing w:after="0"/>
              <w:rPr>
                <w:sz w:val="1"/>
                <w:szCs w:val="1"/>
                <w:color w:val="auto"/>
              </w:rPr>
            </w:pPr>
          </w:p>
        </w:tc>
      </w:tr>
      <w:tr>
        <w:trPr>
          <w:trHeight w:val="22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Equity Investment</w:t>
            </w:r>
          </w:p>
        </w:tc>
        <w:tc>
          <w:tcPr>
            <w:tcW w:w="3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Defined Benefit Plan Termination</w:t>
            </w:r>
          </w:p>
        </w:tc>
        <w:tc>
          <w:tcPr>
            <w:tcW w:w="3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2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Pr>
          <w:p>
            <w:pPr>
              <w:spacing w:after="0"/>
              <w:rPr>
                <w:sz w:val="24"/>
                <w:szCs w:val="24"/>
                <w:color w:val="auto"/>
              </w:rPr>
            </w:pPr>
          </w:p>
        </w:tc>
        <w:tc>
          <w:tcPr>
            <w:tcW w:w="14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Segment</w:t>
            </w:r>
            <w:r>
              <w:rPr>
                <w:rFonts w:ascii="Times New Roman" w:cs="Times New Roman" w:eastAsia="Times New Roman" w:hAnsi="Times New Roman"/>
                <w:sz w:val="9"/>
                <w:szCs w:val="9"/>
                <w:b w:val="1"/>
                <w:bCs w:val="1"/>
                <w:color w:val="auto"/>
              </w:rPr>
              <w:t>(3)(4)</w:t>
            </w:r>
          </w:p>
        </w:tc>
        <w:tc>
          <w:tcPr>
            <w:tcW w:w="3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0" w:type="dxa"/>
            <w:vAlign w:val="bottom"/>
            <w:gridSpan w:val="2"/>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0" w:type="dxa"/>
            <w:vAlign w:val="bottom"/>
          </w:tcPr>
          <w:p>
            <w:pPr>
              <w:spacing w:after="0"/>
              <w:rPr>
                <w:sz w:val="1"/>
                <w:szCs w:val="1"/>
                <w:color w:val="auto"/>
              </w:rPr>
            </w:pPr>
          </w:p>
        </w:tc>
      </w:tr>
      <w:tr>
        <w:trPr>
          <w:trHeight w:val="22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11,936.2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3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Pr>
          <w:p>
            <w:pPr>
              <w:spacing w:after="0"/>
              <w:rPr>
                <w:sz w:val="22"/>
                <w:szCs w:val="22"/>
                <w:color w:val="auto"/>
              </w:rPr>
            </w:pPr>
          </w:p>
        </w:tc>
        <w:tc>
          <w:tcPr>
            <w:tcW w:w="14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by Segment</w:t>
            </w:r>
            <w:r>
              <w:rPr>
                <w:rFonts w:ascii="Times New Roman" w:cs="Times New Roman" w:eastAsia="Times New Roman" w:hAnsi="Times New Roman"/>
                <w:sz w:val="9"/>
                <w:szCs w:val="9"/>
                <w:b w:val="1"/>
                <w:bCs w:val="1"/>
                <w:color w:val="auto"/>
              </w:rPr>
              <w:t>(4)</w:t>
            </w:r>
          </w:p>
        </w:tc>
        <w:tc>
          <w:tcPr>
            <w:tcW w:w="3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0" w:type="dxa"/>
            <w:vAlign w:val="bottom"/>
            <w:gridSpan w:val="2"/>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211.8 %</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97.5 %</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Not meaningful</w:t>
      </w:r>
    </w:p>
    <w:p>
      <w:pPr>
        <w:spacing w:after="0" w:line="96" w:lineRule="exact"/>
        <w:rPr>
          <w:sz w:val="20"/>
          <w:szCs w:val="20"/>
          <w:color w:val="auto"/>
        </w:rPr>
      </w:pPr>
    </w:p>
    <w:p>
      <w:pPr>
        <w:ind w:firstLine="8"/>
        <w:spacing w:after="0" w:line="301" w:lineRule="auto"/>
        <w:tabs>
          <w:tab w:leader="none" w:pos="21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percentage of total revenue, FSS United States represented 60.7% and 54.4%, FSS International represented 22.8% and 24.6% and Uniform represented 16.5% and 21.0% for the nine months ended July 1, 2022 and July 2, 2021, respectively.</w:t>
      </w:r>
    </w:p>
    <w:p>
      <w:pPr>
        <w:spacing w:after="0" w:line="1" w:lineRule="exact"/>
        <w:rPr>
          <w:rFonts w:ascii="Times New Roman" w:cs="Times New Roman" w:eastAsia="Times New Roman" w:hAnsi="Times New Roman"/>
          <w:sz w:val="14"/>
          <w:szCs w:val="14"/>
          <w:color w:val="auto"/>
        </w:rPr>
      </w:pPr>
    </w:p>
    <w:p>
      <w:pPr>
        <w:ind w:right="620" w:firstLine="8"/>
        <w:spacing w:after="0" w:line="282" w:lineRule="auto"/>
        <w:tabs>
          <w:tab w:leader="none" w:pos="20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and operating income were favorable during the nine months ended July 1, 2022 compared to the nine months ended July 2, 2021 as COVID-19 restrictions were lifted and operations re-opened.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Overview</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Revenue increased by approximately 38.4% and 39.7% during the three and nine month periods of fiscal 2022 compared to the prior year periods, respectively. The increase during the three and nine month periods of fiscal 2022 was primarily attributable to improved business as COVID-19 restrictions were lifted and operations re-opened across all of our business segments, net increases in new business and pricing pass-throughs. In addition, the Next Level Hospitality acquisition, that occurred in third quarter of fiscal 2021, contributed $72.9 million and $259.6 million more during the three and nine month periods of fiscal 2022 compared to the three and nine month periods of fiscal 2021, respectively. Foreign currency translation unfavorably impacted revenue for the three and nine month periods of fiscal 2022 (approximately 3.8% and 2.0%).</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cost of services provided (exclusive of depreciation and amortization) by segment and as a percent of revenue for the three and nine months ended July 1, 2022 and July 2, 2021.</w:t>
      </w: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212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4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2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122"/>
        </w:trPr>
        <w:tc>
          <w:tcPr>
            <w:tcW w:w="2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Cost of services provided</w:t>
            </w: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2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(exclusive of depreciation and</w:t>
            </w:r>
          </w:p>
        </w:tc>
        <w:tc>
          <w:tcPr>
            <w:tcW w:w="220" w:type="dxa"/>
            <w:vAlign w:val="bottom"/>
          </w:tcPr>
          <w:p>
            <w:pPr>
              <w:spacing w:after="0"/>
              <w:rPr>
                <w:sz w:val="11"/>
                <w:szCs w:val="11"/>
                <w:color w:val="auto"/>
              </w:rPr>
            </w:pPr>
          </w:p>
        </w:tc>
        <w:tc>
          <w:tcPr>
            <w:tcW w:w="74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1"/>
                <w:szCs w:val="11"/>
                <w:color w:val="auto"/>
              </w:rPr>
            </w:pPr>
          </w:p>
        </w:tc>
        <w:tc>
          <w:tcPr>
            <w:tcW w:w="72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1"/>
                <w:szCs w:val="11"/>
                <w:color w:val="auto"/>
              </w:rPr>
            </w:pPr>
          </w:p>
        </w:tc>
        <w:tc>
          <w:tcPr>
            <w:tcW w:w="78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20" w:type="dxa"/>
            <w:vAlign w:val="bottom"/>
          </w:tcPr>
          <w:p>
            <w:pPr>
              <w:spacing w:after="0"/>
              <w:rPr>
                <w:sz w:val="11"/>
                <w:szCs w:val="11"/>
                <w:color w:val="auto"/>
              </w:rPr>
            </w:pPr>
          </w:p>
        </w:tc>
        <w:tc>
          <w:tcPr>
            <w:tcW w:w="74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0" w:type="dxa"/>
            <w:vAlign w:val="bottom"/>
          </w:tcPr>
          <w:p>
            <w:pPr>
              <w:spacing w:after="0"/>
              <w:rPr>
                <w:sz w:val="1"/>
                <w:szCs w:val="1"/>
                <w:color w:val="auto"/>
              </w:rPr>
            </w:pPr>
          </w:p>
        </w:tc>
      </w:tr>
      <w:tr>
        <w:trPr>
          <w:trHeight w:val="190"/>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92.3 %</w:t>
            </w:r>
          </w:p>
        </w:tc>
        <w:tc>
          <w:tcPr>
            <w:tcW w:w="0" w:type="dxa"/>
            <w:vAlign w:val="bottom"/>
          </w:tcPr>
          <w:p>
            <w:pPr>
              <w:spacing w:after="0"/>
              <w:rPr>
                <w:sz w:val="1"/>
                <w:szCs w:val="1"/>
                <w:color w:val="auto"/>
              </w:rPr>
            </w:pPr>
          </w:p>
        </w:tc>
      </w:tr>
      <w:tr>
        <w:trPr>
          <w:trHeight w:val="229"/>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95.4 %</w:t>
            </w:r>
          </w:p>
        </w:tc>
        <w:tc>
          <w:tcPr>
            <w:tcW w:w="0" w:type="dxa"/>
            <w:vAlign w:val="bottom"/>
          </w:tcPr>
          <w:p>
            <w:pPr>
              <w:spacing w:after="0"/>
              <w:rPr>
                <w:sz w:val="1"/>
                <w:szCs w:val="1"/>
                <w:color w:val="auto"/>
              </w:rPr>
            </w:pPr>
          </w:p>
        </w:tc>
      </w:tr>
      <w:tr>
        <w:trPr>
          <w:trHeight w:val="22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84.6 %</w:t>
            </w:r>
          </w:p>
        </w:tc>
        <w:tc>
          <w:tcPr>
            <w:tcW w:w="0" w:type="dxa"/>
            <w:vAlign w:val="bottom"/>
          </w:tcPr>
          <w:p>
            <w:pPr>
              <w:spacing w:after="0"/>
              <w:rPr>
                <w:sz w:val="1"/>
                <w:szCs w:val="1"/>
                <w:color w:val="auto"/>
              </w:rPr>
            </w:pPr>
          </w:p>
        </w:tc>
      </w:tr>
      <w:tr>
        <w:trPr>
          <w:trHeight w:val="223"/>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10,810.1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7,814.0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91.4 %</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percentages attributable to the components in cost of services provided (exclusive of depreciation and amortization) for the three and nine months ended July 1, 2022 and July 2, 2021.</w:t>
      </w: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360" w:type="dxa"/>
            <w:vAlign w:val="bottom"/>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 depreciation and</w:t>
            </w: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320" w:type="dxa"/>
            <w:vAlign w:val="bottom"/>
            <w:gridSpan w:val="2"/>
            <w:vMerge w:val="continue"/>
          </w:tcPr>
          <w:p>
            <w:pPr>
              <w:spacing w:after="0"/>
              <w:rPr>
                <w:sz w:val="10"/>
                <w:szCs w:val="10"/>
                <w:color w:val="auto"/>
              </w:rPr>
            </w:pPr>
          </w:p>
        </w:tc>
        <w:tc>
          <w:tcPr>
            <w:tcW w:w="1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1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162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195"/>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 components</w:t>
            </w:r>
          </w:p>
        </w:tc>
        <w:tc>
          <w:tcPr>
            <w:tcW w:w="172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Food and support service costs</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direct costs</w:t>
            </w:r>
            <w:r>
              <w:rPr>
                <w:rFonts w:ascii="Times New Roman" w:cs="Times New Roman" w:eastAsia="Times New Roman" w:hAnsi="Times New Roman"/>
                <w:sz w:val="23"/>
                <w:szCs w:val="23"/>
                <w:color w:val="auto"/>
                <w:vertAlign w:val="superscript"/>
              </w:rPr>
              <w:t>(3)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180" w:firstLine="8"/>
        <w:spacing w:after="0" w:line="282" w:lineRule="auto"/>
        <w:tabs>
          <w:tab w:leader="none" w:pos="20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Food and support service costs represented a higher proportion of total cost of services provided (exclusive of depreciation and amortization) during the three and nine months ended July 1, 2022 mainly from COVID-19 restrictions being lifted and operations continuing to re-open and inflationary food costs.</w:t>
      </w:r>
    </w:p>
    <w:p>
      <w:pPr>
        <w:spacing w:after="0" w:line="53" w:lineRule="exact"/>
        <w:rPr>
          <w:rFonts w:ascii="Times New Roman" w:cs="Times New Roman" w:eastAsia="Times New Roman" w:hAnsi="Times New Roman"/>
          <w:sz w:val="14"/>
          <w:szCs w:val="14"/>
          <w:color w:val="auto"/>
        </w:rPr>
      </w:pPr>
    </w:p>
    <w:p>
      <w:pPr>
        <w:ind w:right="120" w:firstLine="8"/>
        <w:spacing w:after="0" w:line="302" w:lineRule="auto"/>
        <w:tabs>
          <w:tab w:leader="none" w:pos="20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 costs decreased as a percentage of total cost of services provided (exclusive of depreciation and amortization) during the three and nine months ended July 1, 2022 due to food and support service costs and other direct costs increasing at a higher proportion as compared to personnel costs.</w:t>
      </w:r>
    </w:p>
    <w:p>
      <w:pPr>
        <w:spacing w:after="0" w:line="26" w:lineRule="exact"/>
        <w:rPr>
          <w:rFonts w:ascii="Times New Roman" w:cs="Times New Roman" w:eastAsia="Times New Roman" w:hAnsi="Times New Roman"/>
          <w:sz w:val="14"/>
          <w:szCs w:val="14"/>
          <w:color w:val="auto"/>
        </w:rPr>
      </w:pPr>
    </w:p>
    <w:p>
      <w:pPr>
        <w:ind w:right="280" w:firstLine="8"/>
        <w:spacing w:after="0" w:line="302" w:lineRule="auto"/>
        <w:tabs>
          <w:tab w:leader="none" w:pos="20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direct costs represented a slightly higher proportion of total cost of services provided (exclusive of depreciation and amortization) during the nine months ended July 1, 2022 mainly from increases in client payments related to our revenue contracts from COVID-19 restrictions being lifted and operations continuing to re-open.</w:t>
      </w:r>
    </w:p>
    <w:p>
      <w:pPr>
        <w:spacing w:after="0" w:line="3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Operating income increased by approximately $73.7 million and $371.0 million during the three and nine month periods of fiscal 2022 compared to the prior year periods, respectively, driven by improved profitability from clients re-opening after COVID-19 restrictions lifted and effective cost management. The increase in operating income during the three and nine month periods of fiscal 2022 also benefited from lower insurance expenses, mainly related to our medical and risk programs (approximately $10.3 million and $33.8 million), and prior year non-cash charges related to excess inventory (approximately $8.0 million and $19.6 million).</w:t>
      </w:r>
    </w:p>
    <w:p>
      <w:pPr>
        <w:spacing w:after="0" w:line="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These increases in operating income during the three and nine month periods of fiscal 2022 more than offset lower United States and non-United States governmental labor related tax credits received in relation to COVID-19 (see Note 1 to the condensed consolidated financial statements), increased inflationary costs, including supply chain challenges from off-program purchases, higher expenses incurred related to new business when compared to the prior year periods and the negative impact of foreign currency translation (approximately $5.0 million and $6.2 million). The increase in operating income during the nine month period of fiscal 2022 was partially offset by lower income related to favorable loss experience in older insurance years under our general liability, automotive liability and workers' compensation liability programs when compared to the nine month period of fiscal 2021 (approximately $16.2 million).</w:t>
      </w:r>
    </w:p>
    <w:p>
      <w:pPr>
        <w:spacing w:after="0" w:line="6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During the three and nine month periods ended July 2, 2021, a non-cash gain related to an equity investment of approximately $137.9 million was recorded, which was partially offset by a non-cash loss from the termination of certain defined benefit pension plans of approximately $60.9 million.</w:t>
      </w:r>
    </w:p>
    <w:p>
      <w:pPr>
        <w:spacing w:after="0" w:line="27"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7"/>
          <w:szCs w:val="17"/>
          <w:color w:val="auto"/>
        </w:rPr>
        <w:t>Interest and Other Financing Costs, net, decreased 18.1% and 11.1% during the three and nine month periods of fiscal 2022 compared to the prior year period, respectively. The decrease during the three and nine month periods of fiscal 2022 was primarily due to lower interest from the repayment of the</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4.750% Senior Notes due 2026 ("2026 Notes") during the third quarter of fiscal 2021. The decrease was also due to approximately $18.7 million of charges related to the repayment of the 2026 Notes during the third quarter of fiscal 2021, including approximately $11.9 million of a call premium payment and $6.8 million related to the write-off of unamortized debt issuance costs.</w:t>
      </w:r>
    </w:p>
    <w:p>
      <w:pPr>
        <w:spacing w:after="0" w:line="6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provision for income taxes for the three and nine month periods of fiscal 2022 was recorded at an effective tax rate of 28.3% and 23.9%, respectively. The provision for income taxes for the three month period of fiscal 2021 was recorded at 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effective tax rate of 17.8% and the benefit for income taxes for the nine month period of fiscal 2021 was recorded at an effective rate of 26.6%. During the nine months ended July 1, 2022, we recorded an income tax benefit of approximately $8.5 million for the reversal of a valuation allowance against deferred tax assets ("DTAs") within a subsidiary in the FSS International segment due to an acquisition of a business (see Note 8 to the condensed consolidated financial statements). During the nine month period of fiscal 2021, we recorded a valuation allowance against DTAs in certain subsidiaries in the FSS International segment from cumulative losses of approximately $14.6 million. As a result of the Coronavirus Aid, Relief and Economic Security Act ("CARES Act"), we recorded an income tax benefit, net, of approximately $3.8 million and $38.1 million for the three and nine months ended July 2, 2021, respectively. This benefit reflects the net operating losses ("NOLs") carried back or expected to be carried back to Pre-Tax Cut and Jobs Act years, which are benefited at an income tax rate of 35.0%. In addition, we recorded a valuation allowance of $3.8 million and $30.0 million during the three and nine month periods of fiscal 2021, respectively, against certain foreign tax credits that were re-established by the NOL carryback. We recorded a net benefit to the provision (benefit) for income taxes in both the three and nine months ended July 2, 2021 of $4.0 million related to the release of certain stranded tax effects when we terminated certain Canadian defined benefit pension plans (see Note 1 to the condensed consolidated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United States Segment</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each of these sectors are summarized as follows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256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11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190"/>
        </w:trPr>
        <w:tc>
          <w:tcPr>
            <w:tcW w:w="29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&amp; Industry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58.2 %</w:t>
            </w: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62.6 %</w:t>
            </w: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98.2 %</w:t>
            </w: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&amp; Other</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223"/>
        </w:trPr>
        <w:tc>
          <w:tcPr>
            <w:tcW w:w="29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55.9 %</w:t>
            </w:r>
          </w:p>
        </w:tc>
      </w:tr>
      <w:tr>
        <w:trPr>
          <w:trHeight w:val="20"/>
        </w:trPr>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Historically, the Healthcare, Education and Facilities &amp; Other sectors generally have high-single digit operating income margins and the Business &amp; Industry and Sports, Leisure &amp; Corrections sectors generally have mid-single digit operating income margins. During the COVID-19 pandemic, operating income margins in the FSS United States sectors differ from our otherwise historical patterns.</w:t>
      </w:r>
    </w:p>
    <w:p>
      <w:pPr>
        <w:spacing w:after="0" w:line="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FSS United States segment revenue increased by approximately 50.4% and 55.9% during the three and nine month periods of fiscal 2022 compared to the prior year periods, respectively. The increase during the three and nine month periods of fiscal 2022 was primarily attributable to operations re-opening across all sectors, particularly in our Sports, Leisure &amp; Corrections sector as professional sports stadiums and arenas began to allow fans in attendance, net new business growth and pricing pass-throughs. In addition, the Next Level Hospitality acquisition, that occurred in third quarter of fiscal 2021, contributed $72.9 million and $259.6 million more of revenue during the three and nine month periods of fiscal 2022 compared to the three and nine month periods of fiscal 2021, respectively, to our Healthcare sector.</w:t>
      </w:r>
    </w:p>
    <w:p>
      <w:pPr>
        <w:spacing w:after="0" w:line="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Operating income increased by approximately $45.1 million and $240.1 million during the three and nine month periods of fiscal 2022 compared to the prior year periods, respectively. The increase was primarily attributable to improved profitability from clients re-opening after COVID-19 restrictions lifted and effective cost management. The increase also benefited from lower insurance expenses, mainly related to our medical and risk programs (approximately $10.3 million and $31.6 million), and lower employee incentive expenses. The increase in operating income during the three and nine month period of fiscal 2022 was partially offset by higher expenses incurred related to new business when compared to the prior year periods as well as increased inflationary costs, including supply chain challenges from off-program purchases. The increase in operating income during the nine month period of fiscal 2022 was partially offset by lower income related to favorable loss experience in older insurance years under our general liability, automotive liability and workers' compensation liability programs when compared to the nine month period of fiscal 2021 (approximately $16.2 million).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International Segment</w:t>
      </w:r>
    </w:p>
    <w:p>
      <w:pPr>
        <w:spacing w:after="0" w:line="9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FSS International segment revenue increased by approximately 34.2% and 29.6% during the three and nine month periods of fiscal 2022 compared to the prior year periods, respectively. The increase during the three and nine month periods of fiscal 2022 was primarily attributable to operations re-opening, net new business growth and pricing pass-throughs, partially offset by the negative impact of foreign currency translation (approximately 14.9% and 8.1%).</w:t>
      </w:r>
    </w:p>
    <w:p>
      <w:pPr>
        <w:spacing w:after="0" w:line="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Operating income increased by approximately $13.8 million and $64.3 million during the three and nine month periods of fiscal 2022 compared to the prior year periods, respectively. The increase was attributable to improved profitability from clients re-opening after COVID-19 restrictions continued to lift, which more than offset lower labor related tax credits provided from governmental assistance programs (see Note 1 to the condensed consolidated financial statements), increased inflationary costs and the negative impact of foreign currency translation (approximately $4.5 million and $6.1 million). The increase during the nine month period of fiscal 2022 compared to the prior year period is also due to the reversal of previously reserved amounts related to the resolution of a client contract dispute (approximately $5.7 million).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Uniform Segment</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Uniform segment revenue increased by approximately 10.8% and 9.5% during the three and nine month periods of fiscal 2022 compared to the prior year periods, respectively. The increase during the three and nine month periods of fiscal 2022 was primarily attributable to growth within our uniform rental business as more clients re-opened, net increases in new business and improved pricing.</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income increased by approximately $25.5 million and $86.6 million during the three and nine month periods of fiscal 2022 compared to the prior year periods, respectively. The increase in operating income during the three and nine month periods of fiscal 2022 was primarily attributable to increased profitability within the uniform rental business driven by client re-openings and net new business, improved pricing, lower rental merchandise in-service expense and lower costs as a result of the fiscal 2021 reduction in headcount. The increase was also attributable to:</w:t>
      </w:r>
    </w:p>
    <w:p>
      <w:pPr>
        <w:spacing w:after="0" w:line="5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prior year non-cash charge related to excess inventory (approximately $7.1 million and $17.1 million);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charges related to integration of the Ameripride acquisition (approximately $3.8 million and $9.9 million).</w:t>
      </w:r>
    </w:p>
    <w:p>
      <w:pPr>
        <w:spacing w:after="0" w:line="10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These increases more than offset the lower labor related tax credits provided by government assistance programs in response to COVID-19 (see Note 1 to the condensed consolidated financial statements) and increased inflationary costs.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9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Corporate expenses, those administrative expenses not allocated to the business segments, increased by approximately $10.7 million and $20.0 million during the three and nine month periods of fiscal 2022 compared to the prior year periods, respectively. The increase was mainly attributable to higher share-based compensation expense (approximately $6.2 million and $19.2 million) (see Note 10 to the condensed consolidated financial statements) and accounting and legal fees related to our intention to spin-off the Uniform segment (approximately $1.5 million). The nine month period of fiscal 2022 included an unfavorable change in fair value of certain gasoline and diesel agreements (approximately $5.2 million) offset by lower employee incentive expenses.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9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cash generated from operating activities, funds from borrowings and existing cash on hand. As of July 1, 2022, we had $438.9 million of cash and cash equivalents and approximately $848.2 million of availability under our senior secured revolving credit facility. A significant portion of our cash and cash equivalents are held in mature, liquid geographies where we have operations. As of July 1, 2022, there were approximately $873.7 million of outstanding foreign currency borrowings.</w:t>
      </w:r>
    </w:p>
    <w:p>
      <w:pPr>
        <w:spacing w:after="0" w:line="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our cash and cash equivalents and availability under our revolving credit facility will be adequate to meet anticipated cash requirements for the foreseeable future to fund working capital, capital spending, debt service obligations, refinancings, dividends and other cash needs. We have no significant debt maturities due until 2025. We also have flexibility to optimize working capital and defer certain capital expenditures as appropriate without a material impact to the business. We believe that our assumptions used to estimate our liquidity and working capital requirements are reasonable; however, due to the unprecedented current environment, we cannot assure that our assumptions will be correct and, as a consequence, our ability to be predictive is uncertain. For additional information regarding the risks associated with our liquidity and capital resources, see Part I, Item 1A, "Risk Factors" in our Annual Report on Form 10-K filed with the SEC on November 23, 2021 and Part II, Item 1A, "Risk Factors—Risks associated with the proposed spin-off" herein.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activity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8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80" w:type="dxa"/>
            <w:vAlign w:val="bottom"/>
          </w:tcPr>
          <w:p>
            <w:pPr>
              <w:spacing w:after="0"/>
              <w:rPr>
                <w:sz w:val="16"/>
                <w:szCs w:val="16"/>
                <w:color w:val="auto"/>
              </w:rPr>
            </w:pPr>
          </w:p>
        </w:tc>
        <w:tc>
          <w:tcPr>
            <w:tcW w:w="13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July 2, 2021</w:t>
            </w:r>
          </w:p>
        </w:tc>
      </w:tr>
      <w:tr>
        <w:trPr>
          <w:trHeight w:val="22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(142.0)</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(641.4)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703.5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(1,767.0)</w:t>
            </w:r>
          </w:p>
        </w:tc>
      </w:tr>
    </w:tbl>
    <w:p>
      <w:pPr>
        <w:spacing w:after="0" w:line="157" w:lineRule="exact"/>
        <w:rPr>
          <w:sz w:val="20"/>
          <w:szCs w:val="20"/>
          <w:color w:val="auto"/>
        </w:rPr>
      </w:pPr>
    </w:p>
    <w:p>
      <w:pPr>
        <w:ind w:right="2040"/>
        <w:spacing w:after="0" w:line="352" w:lineRule="auto"/>
        <w:rPr>
          <w:sz w:val="20"/>
          <w:szCs w:val="20"/>
          <w:color w:val="auto"/>
        </w:rPr>
      </w:pPr>
      <w:r>
        <w:rPr>
          <w:rFonts w:ascii="Times New Roman" w:cs="Times New Roman" w:eastAsia="Times New Roman" w:hAnsi="Times New Roman"/>
          <w:sz w:val="18"/>
          <w:szCs w:val="18"/>
          <w:color w:val="auto"/>
        </w:rPr>
        <w:t xml:space="preserve">Reference to the Condensed Consolidated Statements of Cash Flows will facilitate understanding of the discussion that follows. </w:t>
      </w:r>
      <w:r>
        <w:rPr>
          <w:rFonts w:ascii="Times New Roman" w:cs="Times New Roman" w:eastAsia="Times New Roman" w:hAnsi="Times New Roman"/>
          <w:sz w:val="18"/>
          <w:szCs w:val="18"/>
          <w:b w:val="1"/>
          <w:bCs w:val="1"/>
          <w:i w:val="1"/>
          <w:iCs w:val="1"/>
          <w:color w:val="auto"/>
        </w:rPr>
        <w:t>Cash Flows (Used in) Provided by Operating Activities</w:t>
      </w:r>
    </w:p>
    <w:p>
      <w:pPr>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was $142.0 million during the nine month period of fiscal 2022, compared to $233.8 million of cash provided by operating activities for the nine month period of fiscal 2021. The change was driven by the recovery of our businesses resulting in a use of cash from operating assets and liabilities. The use of cash from the change in operating assets and liabilities more than offset the impact of having net income in the nine month period of fiscal 2022 of $118.7 million compared to the net loss in the nine month period of fiscal 2021 of $126.5 million as discussed in "Results of Operations" above. The $721.2 million change in operating assets and liabilities compared to the prior year period was primarily due to:</w:t>
      </w:r>
    </w:p>
    <w:p>
      <w:pPr>
        <w:spacing w:after="0" w:line="75" w:lineRule="exact"/>
        <w:rPr>
          <w:sz w:val="20"/>
          <w:szCs w:val="20"/>
          <w:color w:val="auto"/>
        </w:rPr>
      </w:pPr>
    </w:p>
    <w:p>
      <w:pPr>
        <w:ind w:left="660" w:right="140" w:hanging="328"/>
        <w:spacing w:after="0" w:line="271" w:lineRule="auto"/>
        <w:tabs>
          <w:tab w:leader="none" w:pos="648" w:val="left"/>
        </w:tabs>
        <w:numPr>
          <w:ilvl w:val="0"/>
          <w:numId w:val="14"/>
        </w:numPr>
        <w:rPr>
          <w:rFonts w:ascii="Times New Roman" w:cs="Times New Roman" w:eastAsia="Times New Roman" w:hAnsi="Times New Roman"/>
          <w:sz w:val="20"/>
          <w:szCs w:val="20"/>
          <w:i w:val="1"/>
          <w:iCs w:val="1"/>
          <w:color w:val="212529"/>
        </w:rPr>
      </w:pPr>
      <w:r>
        <w:rPr>
          <w:rFonts w:ascii="Times New Roman" w:cs="Times New Roman" w:eastAsia="Times New Roman" w:hAnsi="Times New Roman"/>
          <w:sz w:val="18"/>
          <w:szCs w:val="18"/>
          <w:color w:val="auto"/>
        </w:rPr>
        <w:t>Receivables by $291.7 million generating a greater use of cash during the nine month period of fiscal 2022 compared to the nine month period of fiscal 2021 as operations increasingly returned following the lifting of COVID-19 restrictions, new business and timing of collections;</w:t>
      </w:r>
    </w:p>
    <w:p>
      <w:pPr>
        <w:spacing w:after="0" w:line="33" w:lineRule="exact"/>
        <w:rPr>
          <w:rFonts w:ascii="Times New Roman" w:cs="Times New Roman" w:eastAsia="Times New Roman" w:hAnsi="Times New Roman"/>
          <w:sz w:val="20"/>
          <w:szCs w:val="20"/>
          <w:i w:val="1"/>
          <w:iCs w:val="1"/>
          <w:color w:val="212529"/>
        </w:rPr>
      </w:pPr>
    </w:p>
    <w:p>
      <w:pPr>
        <w:ind w:left="660" w:right="4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by $262.5 million, generating a greater use of cash during the nine month period of fiscal 2022 compared to the nine month period of fiscal 2021 primarily due to the following: payment of social security taxes in the current year whereas payment was previously deferred in the prior year period as permitted under the CARES Act (see Note 1 to the condensed consolidated financial statements); higher payments related to the annual bonus; and higher recognition of deferred income in our Higher Education business and higher client payments related to our revenue contracts in our Sports business from operations returning following the lifting of COVID-19 restrictions;</w:t>
      </w:r>
    </w:p>
    <w:p>
      <w:pPr>
        <w:spacing w:after="0" w:line="75" w:lineRule="exact"/>
        <w:rPr>
          <w:rFonts w:ascii="Times New Roman" w:cs="Times New Roman" w:eastAsia="Times New Roman" w:hAnsi="Times New Roman"/>
          <w:sz w:val="18"/>
          <w:szCs w:val="18"/>
          <w:color w:val="auto"/>
        </w:rPr>
      </w:pPr>
    </w:p>
    <w:p>
      <w:pPr>
        <w:ind w:left="660" w:right="100" w:hanging="328"/>
        <w:spacing w:after="0" w:line="252" w:lineRule="auto"/>
        <w:tabs>
          <w:tab w:leader="none" w:pos="648" w:val="left"/>
        </w:tabs>
        <w:numPr>
          <w:ilvl w:val="0"/>
          <w:numId w:val="14"/>
        </w:numPr>
        <w:rPr>
          <w:rFonts w:ascii="Times New Roman" w:cs="Times New Roman" w:eastAsia="Times New Roman" w:hAnsi="Times New Roman"/>
          <w:sz w:val="20"/>
          <w:szCs w:val="20"/>
          <w:i w:val="1"/>
          <w:iCs w:val="1"/>
          <w:color w:val="212529"/>
        </w:rPr>
      </w:pPr>
      <w:r>
        <w:rPr>
          <w:rFonts w:ascii="Times New Roman" w:cs="Times New Roman" w:eastAsia="Times New Roman" w:hAnsi="Times New Roman"/>
          <w:sz w:val="18"/>
          <w:szCs w:val="18"/>
          <w:color w:val="auto"/>
        </w:rPr>
        <w:t>Prepayments and Other Current Assets by $106.6 million, generating a use of cash during the nine month period of fiscal 2022 compared to a source of cash during the nine month period of fiscal 2021 mainly from proceeds received in the second quarter of fiscal 2021 related to the fiscal 2020 federal income tax return (see Note 8 to the condensed consolidated financial statements); and</w:t>
      </w:r>
    </w:p>
    <w:p>
      <w:pPr>
        <w:spacing w:after="0" w:line="66" w:lineRule="exact"/>
        <w:rPr>
          <w:rFonts w:ascii="Times New Roman" w:cs="Times New Roman" w:eastAsia="Times New Roman" w:hAnsi="Times New Roman"/>
          <w:sz w:val="20"/>
          <w:szCs w:val="20"/>
          <w:i w:val="1"/>
          <w:iCs w:val="1"/>
          <w:color w:val="212529"/>
        </w:rPr>
      </w:pPr>
    </w:p>
    <w:p>
      <w:pPr>
        <w:ind w:left="660" w:right="3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by $62.9 million, generating a use of cash during the nine month period of fiscal 2022 compared to a source of cash during the nine month period of fiscal 2021 as operations increasingly returned following the lifting of COVID-19 restrictions and new business.</w:t>
      </w:r>
    </w:p>
    <w:p>
      <w:pPr>
        <w:spacing w:after="0" w:line="4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nine month periods of fiscal 2022 and fiscal 2021 include approximately $53.7 million and $129.8 million, respectively, of proceeds associated with labor related tax credits from the foreign jurisdictions in which we operate as a form of relief from COVID-19 (see Note 1 to the condensed consolidated financial statements). During the nine month periods of fiscal 2022 and 2021, we received proceeds of approximately $1.9 million and $17.0 million, respectively, related to favorable loss experience in older insurance years under our general liability, automobile liability and workers' compensation liability programs. During the nine month period of fiscal 2021, we received proceeds of approximately $38.3 million from United States governmental entities related to refunds from an accounting method change from a prior tax return year and estimated tax payments being higher than actual due to the impact of COVID-19. The "Other operating activities" caption reflects adjustments to net income (loss) in the current year and prior year periods related to non-cash gains and losses and adjustments to non-operating cash gains and losses.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net cash flows used in investing activities were higher during the nine month period of fiscal 2022 compared to the nine month period of fiscal 2021 due to a higher level of acquisitions of certain businesses and certain equity method investments in fiscal 2022. During the third quarter of fiscal 2022, we acquired Union Supply for $202.6 million, and during the third quarter of fiscal 2021, we acquired Next Level for $226.1 million (see Note 2 to the condensed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(Used in) Financing Activities</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nine month period of fiscal 2022, cash provided by financing activities was primarily impacted by borrowings under the Receivables Facility ($500.0 million) and borrowing under the United States revolving credit facility ($289.5 million).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 period of fiscal 2021, cash used in financing activities was impacted by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borrowings under the United States revolving credit facility ($780.0 million);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the aggregate principal amount of the 2026 Notes ($500.0 million);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under the Receivables Facility ($315.6 million);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repayments of term loan borrowings ($64.8 million); and</w:t>
      </w:r>
    </w:p>
    <w:p>
      <w:pPr>
        <w:spacing w:after="0" w:line="9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fees and expenses related to refinancing activities, which is included in "Other financing activities," including debt issuance costs ($17.5 million) and the call premium ($11.9 million) from the repayment of the 2026 Notes.</w:t>
      </w:r>
    </w:p>
    <w:p>
      <w:pPr>
        <w:spacing w:after="0" w:line="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"Other financing activities" caption also reflects a use of cash during the nine month periods of fiscal 2022 and fiscal 2021 primarily related to taxes paid by us when we withhold shares upon an employee's exercise or vesting of equity awards to cover income taxes and payments of contingent consideration recognized for certain acquisitions.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July 1, 2022, we were in compliance with these covenants.</w:t>
      </w:r>
    </w:p>
    <w:p>
      <w:pPr>
        <w:spacing w:after="0" w:line="67"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(loss) of Aramark Services, Inc. ("ASI") and its restricted subsidiaries plus interest and other financing costs, net, provision (benefit) for income taxes and depreciation and amortization, further adjusted to give effect to adjustments required in calculating covenant ratios and compliance under our Credit Agreement and the indentures governing our senior notes.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spacing w:after="0" w:line="5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(loss) attributable to ASI stockholder, which is a U.S. GAAP measure of ASI's operating results, to Covenant Adjusted EBITDA as defined in our debt agreements. The terms and related calculations are defined in the Credit Agreement and the indentures governing our senior notes. Covenant Adjusted EBITDA is a measure of</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 and its restricted subsidiaries only and does not include the results of Aramark.</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20955</wp:posOffset>
            </wp:positionV>
            <wp:extent cx="21342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3"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3"/>
          <w:szCs w:val="13"/>
          <w:b w:val="1"/>
          <w:bCs w:val="1"/>
          <w:color w:val="auto"/>
        </w:rPr>
        <w:t>July 1, 2022</w:t>
      </w:r>
      <w:r>
        <w:rPr>
          <w:sz w:val="20"/>
          <w:szCs w:val="20"/>
          <w:color w:val="auto"/>
        </w:rPr>
        <w:tab/>
      </w:r>
      <w:r>
        <w:rPr>
          <w:rFonts w:ascii="Times New Roman" w:cs="Times New Roman" w:eastAsia="Times New Roman" w:hAnsi="Times New Roman"/>
          <w:sz w:val="12"/>
          <w:szCs w:val="12"/>
          <w:b w:val="1"/>
          <w:bCs w:val="1"/>
          <w:color w:val="auto"/>
        </w:rPr>
        <w:t>July 2, 2021</w:t>
      </w:r>
    </w:p>
    <w:p>
      <w:pPr>
        <w:spacing w:after="0" w:line="28" w:lineRule="exact"/>
        <w:rPr>
          <w:sz w:val="20"/>
          <w:szCs w:val="20"/>
          <w:color w:val="auto"/>
        </w:rPr>
      </w:pPr>
    </w:p>
    <w:p>
      <w:pPr>
        <w:sectPr>
          <w:pgSz w:w="11900" w:h="16838" w:orient="portrait"/>
          <w:cols w:equalWidth="0" w:num="2">
            <w:col w:w="7660" w:space="720"/>
            <w:col w:w="2840"/>
          </w:cols>
          <w:pgMar w:left="320" w:top="175" w:right="359" w:bottom="1440" w:gutter="0" w:footer="0" w:header="0"/>
        </w:sectPr>
      </w:pPr>
    </w:p>
    <w:p>
      <w:pPr>
        <w:ind w:left="60"/>
        <w:spacing w:after="0"/>
        <w:rPr>
          <w:sz w:val="20"/>
          <w:szCs w:val="20"/>
          <w:color w:val="auto"/>
        </w:rPr>
      </w:pPr>
      <w:r>
        <w:rPr>
          <w:rFonts w:ascii="Times New Roman" w:cs="Times New Roman" w:eastAsia="Times New Roman" w:hAnsi="Times New Roman"/>
          <w:sz w:val="17"/>
          <w:szCs w:val="17"/>
          <w:color w:val="auto"/>
        </w:rPr>
        <w:t>Net income (loss) attributable to ASI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and other financing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9"/>
          <w:szCs w:val="9"/>
          <w:color w:val="auto"/>
        </w:rPr>
        <w:t>(1)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Unusual or non-recurring (gains) and losses</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 forma EBITDA for equity method investees</w:t>
      </w:r>
      <w:r>
        <w:rPr>
          <w:rFonts w:ascii="Times New Roman" w:cs="Times New Roman" w:eastAsia="Times New Roman" w:hAnsi="Times New Roman"/>
          <w:sz w:val="9"/>
          <w:szCs w:val="9"/>
          <w:color w:val="auto"/>
        </w:rPr>
        <w:t>(3)</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 forma EBITDA for certain transactions</w:t>
      </w:r>
      <w:r>
        <w:rPr>
          <w:rFonts w:ascii="Times New Roman" w:cs="Times New Roman" w:eastAsia="Times New Roman" w:hAnsi="Times New Roman"/>
          <w:sz w:val="9"/>
          <w:szCs w:val="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9"/>
          <w:szCs w:val="9"/>
          <w:color w:val="auto"/>
        </w:rPr>
        <w:t>(5)(6)</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Covenant Adjusted EBITDA</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1144" w:hanging="1144"/>
        <w:spacing w:after="0"/>
        <w:tabs>
          <w:tab w:leader="none" w:pos="11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154.1</w:t>
      </w:r>
    </w:p>
    <w:p>
      <w:pPr>
        <w:spacing w:after="0" w:line="27" w:lineRule="exact"/>
        <w:rPr>
          <w:rFonts w:ascii="Times New Roman" w:cs="Times New Roman" w:eastAsia="Times New Roman" w:hAnsi="Times New Roman"/>
          <w:sz w:val="18"/>
          <w:szCs w:val="18"/>
          <w:color w:val="auto"/>
        </w:rPr>
      </w:pPr>
    </w:p>
    <w:p>
      <w:pPr>
        <w:ind w:left="11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367.1</w:t>
      </w:r>
    </w:p>
    <w:p>
      <w:pPr>
        <w:spacing w:after="0" w:line="22" w:lineRule="exact"/>
        <w:rPr>
          <w:rFonts w:ascii="Times New Roman" w:cs="Times New Roman" w:eastAsia="Times New Roman" w:hAnsi="Times New Roman"/>
          <w:sz w:val="18"/>
          <w:szCs w:val="18"/>
          <w:color w:val="auto"/>
        </w:rPr>
      </w:pPr>
    </w:p>
    <w:p>
      <w:pPr>
        <w:ind w:left="12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42.3</w:t>
      </w:r>
    </w:p>
    <w:p>
      <w:pPr>
        <w:spacing w:after="0" w:line="22" w:lineRule="exact"/>
        <w:rPr>
          <w:rFonts w:ascii="Times New Roman" w:cs="Times New Roman" w:eastAsia="Times New Roman" w:hAnsi="Times New Roman"/>
          <w:sz w:val="18"/>
          <w:szCs w:val="18"/>
          <w:color w:val="auto"/>
        </w:rPr>
      </w:pPr>
    </w:p>
    <w:p>
      <w:pPr>
        <w:ind w:left="11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539.4</w:t>
      </w:r>
    </w:p>
    <w:p>
      <w:pPr>
        <w:spacing w:after="0" w:line="31" w:lineRule="exact"/>
        <w:rPr>
          <w:rFonts w:ascii="Times New Roman" w:cs="Times New Roman" w:eastAsia="Times New Roman" w:hAnsi="Times New Roman"/>
          <w:sz w:val="18"/>
          <w:szCs w:val="18"/>
          <w:color w:val="auto"/>
        </w:rPr>
      </w:pPr>
    </w:p>
    <w:p>
      <w:pPr>
        <w:ind w:left="12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90.2</w:t>
      </w:r>
    </w:p>
    <w:p>
      <w:pPr>
        <w:spacing w:after="0" w:line="27" w:lineRule="exact"/>
        <w:rPr>
          <w:rFonts w:ascii="Times New Roman" w:cs="Times New Roman" w:eastAsia="Times New Roman" w:hAnsi="Times New Roman"/>
          <w:sz w:val="18"/>
          <w:szCs w:val="18"/>
          <w:color w:val="auto"/>
        </w:rPr>
      </w:pPr>
    </w:p>
    <w:p>
      <w:pPr>
        <w:ind w:left="13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w:t>
      </w:r>
    </w:p>
    <w:p>
      <w:pPr>
        <w:spacing w:after="0" w:line="22" w:lineRule="exact"/>
        <w:rPr>
          <w:rFonts w:ascii="Times New Roman" w:cs="Times New Roman" w:eastAsia="Times New Roman" w:hAnsi="Times New Roman"/>
          <w:sz w:val="18"/>
          <w:szCs w:val="18"/>
          <w:color w:val="auto"/>
        </w:rPr>
      </w:pPr>
    </w:p>
    <w:p>
      <w:pPr>
        <w:ind w:left="12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w:t>
      </w:r>
    </w:p>
    <w:p>
      <w:pPr>
        <w:spacing w:after="0" w:line="22" w:lineRule="exact"/>
        <w:rPr>
          <w:rFonts w:ascii="Times New Roman" w:cs="Times New Roman" w:eastAsia="Times New Roman" w:hAnsi="Times New Roman"/>
          <w:sz w:val="18"/>
          <w:szCs w:val="18"/>
          <w:color w:val="auto"/>
        </w:rPr>
      </w:pPr>
    </w:p>
    <w:p>
      <w:pPr>
        <w:ind w:left="11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036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3" w:lineRule="exact"/>
        <w:rPr>
          <w:sz w:val="20"/>
          <w:szCs w:val="20"/>
          <w:color w:val="auto"/>
        </w:rPr>
      </w:pPr>
    </w:p>
    <w:p>
      <w:pPr>
        <w:ind w:left="1004" w:hanging="1004"/>
        <w:spacing w:after="0"/>
        <w:tabs>
          <w:tab w:leader="none" w:pos="10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369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0369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056" w:hanging="1056"/>
        <w:spacing w:after="0"/>
        <w:tabs>
          <w:tab w:leader="none" w:pos="10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(274.9)</w:t>
      </w:r>
    </w:p>
    <w:p>
      <w:pPr>
        <w:spacing w:after="0" w:line="49" w:lineRule="exact"/>
        <w:rPr>
          <w:rFonts w:ascii="Times New Roman" w:cs="Times New Roman" w:eastAsia="Times New Roman" w:hAnsi="Times New Roman"/>
          <w:sz w:val="18"/>
          <w:szCs w:val="18"/>
          <w:color w:val="auto"/>
        </w:rPr>
      </w:pPr>
    </w:p>
    <w:p>
      <w:pPr>
        <w:ind w:left="11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417.6</w:t>
      </w:r>
    </w:p>
    <w:p>
      <w:pPr>
        <w:spacing w:after="0" w:line="27" w:lineRule="exact"/>
        <w:rPr>
          <w:rFonts w:ascii="Times New Roman" w:cs="Times New Roman" w:eastAsia="Times New Roman" w:hAnsi="Times New Roman"/>
          <w:sz w:val="18"/>
          <w:szCs w:val="18"/>
          <w:color w:val="auto"/>
        </w:rPr>
      </w:pPr>
    </w:p>
    <w:p>
      <w:pPr>
        <w:ind w:left="115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(99.8)</w:t>
      </w:r>
    </w:p>
    <w:p>
      <w:pPr>
        <w:spacing w:after="0" w:line="22" w:lineRule="exact"/>
        <w:rPr>
          <w:rFonts w:ascii="Times New Roman" w:cs="Times New Roman" w:eastAsia="Times New Roman" w:hAnsi="Times New Roman"/>
          <w:sz w:val="18"/>
          <w:szCs w:val="18"/>
          <w:color w:val="auto"/>
        </w:rPr>
      </w:pPr>
    </w:p>
    <w:p>
      <w:pPr>
        <w:ind w:left="11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563.3</w:t>
      </w:r>
    </w:p>
    <w:p>
      <w:pPr>
        <w:spacing w:after="0" w:line="31" w:lineRule="exact"/>
        <w:rPr>
          <w:rFonts w:ascii="Times New Roman" w:cs="Times New Roman" w:eastAsia="Times New Roman" w:hAnsi="Times New Roman"/>
          <w:sz w:val="18"/>
          <w:szCs w:val="18"/>
          <w:color w:val="auto"/>
        </w:rPr>
      </w:pPr>
    </w:p>
    <w:p>
      <w:pPr>
        <w:ind w:left="12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67.6</w:t>
      </w:r>
    </w:p>
    <w:p>
      <w:pPr>
        <w:spacing w:after="0" w:line="27" w:lineRule="exact"/>
        <w:rPr>
          <w:rFonts w:ascii="Times New Roman" w:cs="Times New Roman" w:eastAsia="Times New Roman" w:hAnsi="Times New Roman"/>
          <w:sz w:val="18"/>
          <w:szCs w:val="18"/>
          <w:color w:val="auto"/>
        </w:rPr>
      </w:pPr>
    </w:p>
    <w:p>
      <w:pPr>
        <w:ind w:left="115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(77.1)</w:t>
      </w:r>
    </w:p>
    <w:p>
      <w:pPr>
        <w:spacing w:after="0" w:line="22" w:lineRule="exact"/>
        <w:rPr>
          <w:rFonts w:ascii="Times New Roman" w:cs="Times New Roman" w:eastAsia="Times New Roman" w:hAnsi="Times New Roman"/>
          <w:sz w:val="18"/>
          <w:szCs w:val="18"/>
          <w:color w:val="auto"/>
        </w:rPr>
      </w:pPr>
    </w:p>
    <w:p>
      <w:pPr>
        <w:ind w:left="12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p>
    <w:p>
      <w:pPr>
        <w:spacing w:after="0" w:line="22" w:lineRule="exact"/>
        <w:rPr>
          <w:rFonts w:ascii="Times New Roman" w:cs="Times New Roman" w:eastAsia="Times New Roman" w:hAnsi="Times New Roman"/>
          <w:sz w:val="18"/>
          <w:szCs w:val="18"/>
          <w:color w:val="auto"/>
        </w:rPr>
      </w:pPr>
    </w:p>
    <w:p>
      <w:pPr>
        <w:ind w:left="12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w:t>
      </w:r>
    </w:p>
    <w:p>
      <w:pPr>
        <w:spacing w:after="0" w:line="22" w:lineRule="exact"/>
        <w:rPr>
          <w:rFonts w:ascii="Times New Roman" w:cs="Times New Roman" w:eastAsia="Times New Roman" w:hAnsi="Times New Roman"/>
          <w:sz w:val="18"/>
          <w:szCs w:val="18"/>
          <w:color w:val="auto"/>
        </w:rPr>
      </w:pPr>
    </w:p>
    <w:p>
      <w:pPr>
        <w:ind w:left="113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369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1" w:lineRule="exact"/>
        <w:rPr>
          <w:sz w:val="20"/>
          <w:szCs w:val="20"/>
          <w:color w:val="auto"/>
        </w:rPr>
      </w:pPr>
    </w:p>
    <w:p>
      <w:pPr>
        <w:ind w:left="1136" w:hanging="1136"/>
        <w:spacing w:after="0"/>
        <w:tabs>
          <w:tab w:leader="none" w:pos="11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36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0369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176" w:space="720"/>
            <w:col w:w="1584" w:space="144"/>
            <w:col w:w="1596"/>
          </w:cols>
          <w:pgMar w:left="320" w:top="175" w:right="359" w:bottom="1440" w:gutter="0" w:footer="0" w:header="0"/>
          <w:type w:val="continuous"/>
        </w:sectPr>
      </w:pPr>
    </w:p>
    <w:p>
      <w:pPr>
        <w:spacing w:after="0" w:line="39" w:lineRule="exact"/>
        <w:rPr>
          <w:sz w:val="20"/>
          <w:szCs w:val="20"/>
          <w:color w:val="auto"/>
        </w:rPr>
      </w:pPr>
    </w:p>
    <w:p>
      <w:pPr>
        <w:ind w:left="500" w:hanging="492"/>
        <w:spacing w:after="0" w:line="282" w:lineRule="auto"/>
        <w:tabs>
          <w:tab w:leader="none" w:pos="4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resulting from the application of accounting for stock options, restricted stock units, performance stock units, deferred stock unit awards and employee stock purchases (see Note 10 to the condensed consolidated financial statements).</w:t>
      </w:r>
    </w:p>
    <w:p>
      <w:pPr>
        <w:spacing w:after="0" w:line="40"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4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fiscal 2021 non-cash gain from an observable price change related to an equity investment ($137.9 million) and the fiscal 2021 non-cash loss from the termination of certain defined benefit pension plans ($60.9 million).</w:t>
      </w:r>
    </w:p>
    <w:p>
      <w:pPr>
        <w:spacing w:after="0" w:line="26"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4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estimated share of EBITDA, primarily from our AIM Services Co., Ltd. equity method investment, not already reflected in our Net Income (Loss) Attributable to ASI stockholders. EBITDA for this equity method investee is calculated in a manner consistent with consolidated Covenant Adjusted EBITDA but does not represent cash distributions received from this investee.</w:t>
      </w:r>
    </w:p>
    <w:p>
      <w:pPr>
        <w:spacing w:after="0" w:line="5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annualizing of net EBITDA from certain acquisitions made during the period.</w:t>
      </w:r>
    </w:p>
    <w:p>
      <w:pPr>
        <w:spacing w:after="0" w:line="103" w:lineRule="exact"/>
        <w:rPr>
          <w:rFonts w:ascii="Times New Roman" w:cs="Times New Roman" w:eastAsia="Times New Roman" w:hAnsi="Times New Roman"/>
          <w:sz w:val="18"/>
          <w:szCs w:val="18"/>
          <w:color w:val="auto"/>
        </w:rPr>
      </w:pPr>
    </w:p>
    <w:p>
      <w:pPr>
        <w:ind w:left="500" w:hanging="492"/>
        <w:spacing w:after="0" w:line="253" w:lineRule="auto"/>
        <w:tabs>
          <w:tab w:leader="none" w:pos="4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twelve months ended July 1, 2022 includes United States and non-United States governmental labor related tax credits resulting from the COVID-19 pandemic, net of labor charges, incremental expenses and other expenses associated with closed or partially closed client locations ($63.0 million), adjustments to remove the impact attributable to the adoption of certain accounting standards that are made to the calculation in accordance with the Credit Agreement and indentures ($32.7 million), non-cash charges for inventory write-downs to net realizable value and for excess inventory related to personal protective equipment ($16.4 million), expenses related to merger and integration related charges ($12.2 million), gain from a funding agreement related to a legal matter ($10.0 million), reversal of severance charges ($7.9 million), reversal of charges related to a client contract dispute ($5.7 million), the gain from the insurance proceeds received related to property damage from a tornado in Nashville ($4.0 million), charges related to our intention to spin-off the Uniform segment ($3.4 million), the impact of hyperinflation in Argentina ($3.0 million), due diligence charges related to acquisitions ($2.7 million), non-cash charges related to information technology assets ($2.2 million) and other miscellaneous expenses.</w:t>
      </w:r>
    </w:p>
    <w:p>
      <w:pPr>
        <w:spacing w:after="0" w:line="59" w:lineRule="exact"/>
        <w:rPr>
          <w:rFonts w:ascii="Times New Roman" w:cs="Times New Roman" w:eastAsia="Times New Roman" w:hAnsi="Times New Roman"/>
          <w:sz w:val="18"/>
          <w:szCs w:val="18"/>
          <w:color w:val="auto"/>
        </w:rPr>
      </w:pPr>
    </w:p>
    <w:p>
      <w:pPr>
        <w:ind w:left="500" w:right="60" w:hanging="492"/>
        <w:spacing w:after="0" w:line="253" w:lineRule="auto"/>
        <w:tabs>
          <w:tab w:leader="none" w:pos="4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twelve months ended July 2, 2021 includes labor charges, incremental expenses and other expenses associated with closed or partially closed client locations resulting from the COVID-19 pandemic, net of United States and non-United States governmental labor related credits ($123.8 million), non-cash impairment charges related to various assets ($34.3 million), adjustments to remove the impact attributable to the adoption of certain accounting standards that are made to the calculation in accordance with the Credit Agreement and indentures ($25.5 million), severance charges ($20.0 million), non-cash charges for inventory write-downs to net realizable value and for excess inventory related to personal protective equipment ($19.6 million), charges related to a client contract dispute ($17.9 million), expenses related to merger and integration related charges ($16.4 million), the gain from the change in fair value related to certain gasoline and diesel agreements ($8.7 million), a favorable non-cash settlement of a multiemployer pension plan obligation ($6.7 million), a favorable settlement of a legal matter ($4.7 million), non-cash charges related to information technology assets ($4.2 million), expenses related to the impact of the ice storm in Texas ($2.5 million), a non-cash charge related to an environmental matter ($2.5 million), the impact of hyperinflation in Argentina ($2.3 million) and other miscellaneous expenses.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covenant requirement and actual ratio for the twelve months ended July 1, 2022 are as follows:</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96"/>
        </w:trPr>
        <w:tc>
          <w:tcPr>
            <w:tcW w:w="686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229"/>
        </w:trPr>
        <w:tc>
          <w:tcPr>
            <w:tcW w:w="6860" w:type="dxa"/>
            <w:vAlign w:val="bottom"/>
            <w:tcBorders>
              <w:top w:val="single" w:sz="8" w:color="CCEEFF"/>
            </w:tcBorders>
            <w:shd w:val="clear" w:color="auto" w:fill="CCEEFF"/>
          </w:tcPr>
          <w:p>
            <w:pPr>
              <w:ind w:left="60"/>
              <w:spacing w:after="0" w:line="229" w:lineRule="exact"/>
              <w:rPr>
                <w:sz w:val="20"/>
                <w:szCs w:val="20"/>
                <w:color w:val="auto"/>
              </w:rPr>
            </w:pPr>
            <w:r>
              <w:rPr>
                <w:rFonts w:ascii="Times New Roman" w:cs="Times New Roman" w:eastAsia="Times New Roman" w:hAnsi="Times New Roman"/>
                <w:sz w:val="18"/>
                <w:szCs w:val="18"/>
                <w:color w:val="auto"/>
              </w:rPr>
              <w:t>Consolidated Secured Debt Ratio</w:t>
            </w:r>
            <w:r>
              <w:rPr>
                <w:rFonts w:ascii="Times New Roman" w:cs="Times New Roman" w:eastAsia="Times New Roman" w:hAnsi="Times New Roman"/>
                <w:sz w:val="23"/>
                <w:szCs w:val="23"/>
                <w:color w:val="auto"/>
                <w:vertAlign w:val="superscript"/>
              </w:rPr>
              <w:t>(1)</w:t>
            </w:r>
          </w:p>
        </w:tc>
        <w:tc>
          <w:tcPr>
            <w:tcW w:w="162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6"/>
              </w:rPr>
              <w:t>5.125x</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8"/>
              </w:rPr>
              <w:t>3.58x</w:t>
            </w:r>
          </w:p>
        </w:tc>
      </w:tr>
      <w:tr>
        <w:trPr>
          <w:trHeight w:val="306"/>
        </w:trPr>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Coverage Ratio (Fixed Charge Coverage Ratio)</w:t>
            </w:r>
            <w:r>
              <w:rPr>
                <w:rFonts w:ascii="Times New Roman" w:cs="Times New Roman" w:eastAsia="Times New Roman" w:hAnsi="Times New Roman"/>
                <w:sz w:val="23"/>
                <w:szCs w:val="23"/>
                <w:color w:val="auto"/>
                <w:vertAlign w:val="superscript"/>
              </w:rPr>
              <w:t>(2)</w:t>
            </w:r>
          </w:p>
        </w:tc>
        <w:tc>
          <w:tcPr>
            <w:tcW w:w="17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2.000x</w:t>
            </w:r>
          </w:p>
        </w:tc>
        <w:tc>
          <w:tcPr>
            <w:tcW w:w="162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8"/>
              </w:rPr>
              <w:t>3.34x</w:t>
            </w:r>
          </w:p>
        </w:tc>
      </w:tr>
    </w:tbl>
    <w:p>
      <w:pPr>
        <w:spacing w:after="0" w:line="80" w:lineRule="exact"/>
        <w:rPr>
          <w:sz w:val="20"/>
          <w:szCs w:val="20"/>
          <w:color w:val="auto"/>
        </w:rPr>
      </w:pPr>
    </w:p>
    <w:p>
      <w:pPr>
        <w:ind w:left="500" w:right="40" w:hanging="492"/>
        <w:spacing w:after="0" w:line="254" w:lineRule="auto"/>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requires ASI to maintain a maximum Consolidated Secured Debt Ratio, defined as consolidated total indebtedness secured by a lien to Covenant Adjusted EBITDA, of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U.S. Term B Loans, which lenders do not benefit from the maximum Consolidated Debt Ratio covenant) failed to waive any such default, would also constitute a default under the indentures governing our senior notes.</w:t>
      </w:r>
    </w:p>
    <w:p>
      <w:pPr>
        <w:spacing w:after="0" w:line="70" w:lineRule="exact"/>
        <w:rPr>
          <w:rFonts w:ascii="Times New Roman" w:cs="Times New Roman" w:eastAsia="Times New Roman" w:hAnsi="Times New Roman"/>
          <w:sz w:val="18"/>
          <w:szCs w:val="18"/>
          <w:color w:val="auto"/>
        </w:rPr>
      </w:pPr>
    </w:p>
    <w:p>
      <w:pPr>
        <w:ind w:left="500" w:right="80" w:hanging="492"/>
        <w:spacing w:after="0" w:line="253" w:lineRule="auto"/>
        <w:tabs>
          <w:tab w:leader="none" w:pos="4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and does not result in a default under the Credit Agreement or the indentures governing the senior notes.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our Credit Agreement and pursuant to specified exceptions, and (2) make certain restricted payments, other than pursuant to certain exceptions. However, any failure to maintain the minimum Interest Coverage Ratio would not result in a default or an event of default under either the Credit Agreement or the indentures governing the senior notes. The minimum Interest Coverage Ratio is 2.000x for the term of the Credit Agreement. Consolidated interest expense is defined in our Credit Agreement as consolidated interest expense excluding interest income, adjusted for acquisitions and dispositions, further adjusted for certain non-cash or nonrecurring interest expense and our estimated share of interest expense from one equity method investee. The indentures governing our senior notes include a similar requirement which is referred to as a Fixed Charge Coverage Ratio.</w:t>
      </w:r>
    </w:p>
    <w:p>
      <w:pPr>
        <w:spacing w:after="0" w:line="5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Consolidating Information</w:t>
      </w:r>
    </w:p>
    <w:p>
      <w:pPr>
        <w:spacing w:after="0" w:line="10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Pursuant to Regulation S-X Rule 13-01, which simplifies certain disclosure requirements for guarantors and issuers of guaranteed securities, we are no longer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Our business activities do not include the use of unconsolidated special purpose entities and there are no significant business transactions that have not been reflected in the accompanying condensed consolidated financial statements. We insure portions of our risk in general liability, automobile liability, workers’ compensation liability and property liability through a wholly owned captive insurance subsidiary (the "Captive") to enhance our risk financing strategies.</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July 1, 2022. These regulations may have the effect of limiting our ability to access certain cash and cash equivalents held by the Captive for uses other than for the payment of our general liability, automobile liability, workers’ compensation liability, property liability and related Captive costs. As of July 1, 2022 and October 1, 2021, cash and cash equivalents at the Captive were $149.4 million and $194.3 million, respectively.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described in the notes to the consolidated financial statements included in our Annual Report on Form 10-K, filed with the SEC on November 23, 2021.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Annual Report on Form 10-K, filed with the SEC on November 23, 2021.</w:t>
      </w:r>
    </w:p>
    <w:p>
      <w:pPr>
        <w:spacing w:after="0" w:line="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5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 Updates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full description of recent accounting standard updates, including the expected dates of adoption.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July 1, 2022 has not materially changed from October 1, 2021 (see Part II, Item 7A "Quantitative and Qualitative Disclosure About Market Risk" in our Annual Report on Form 10-K for the fiscal year ended October 1, 2021 filed with the SEC on November 23, 2021). See Note 5 to the condensed consolidated financial statements related to the changes in our debt levels. See Note 6 to the condensed consolidated financial statements for a discussion of our derivative instruments and Note 14 for the disclosure of the fair value and related carrying value of our debt obligations as of July 1, 2022.</w:t>
      </w:r>
    </w:p>
    <w:p>
      <w:pPr>
        <w:spacing w:after="0" w:line="1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our internal control over financial reporting occurred during our third quarter of fiscal 2022 that has materially affected, or is reasonably likely to materially affect, our internal control over financial reporting.</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From time to time, we and our subsidiaries are party to various legal actions, proceedings and investigations involving claims incidental to the conduct of our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July 1, 2022.</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"Risk Factors" in our Annual Report on Form 10-K for the fiscal year ended October 1, 2021 filed with the SEC on November 23, 2021, except as follows: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the proposed spin-off.</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May 10, 2022, we announced our intention to spin-off our Uniform segment into an independent publicly traded company to our stockholders. The proposed spin-off is intended to be a tax-free transaction to us and our stockholders for United States federal income tax purposes. The proposed spin-off is expected to be completed by the end of fiscal 2023, subject to certain customary conditions, including final approval of our Board of Directors, receipt of a favorable opinion and Internal Revenue Service ruling with respect to the tax-free nature of the transaction, the effectiveness of a registration statement on Form 10 to be filed with the SEC and the receipt of other regulatory approvals.</w:t>
      </w:r>
    </w:p>
    <w:p>
      <w:pPr>
        <w:spacing w:after="0" w:line="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Executing the proposed spin-off will require significant time and attention from our senior management and employees, which could disrupt our ongoing business and adversely affect financial results and results of operations. The proposed spin-off is also complex and subject to potentially unforeseen costs and expenses, including additional general and administrative costs for us and the new independent public company, costs from lost synergies, restructuring costs or other costs and expenses. The proposed spin-off may hinder our ability to retain existing business and operational relationships, including with clients, customers, suppliers and employees, as well as to cultivate new business relationships. The completion of the proposed spin-off and the timing of its completion will be subject to a number of factors and conditions (some of which are outside our control), including receipt of any required consents or approvals within the expected timeframe or at all and the readiness of the new company to operate as an independent public company and finalization of the capital structure of the new company. Unanticipated developments could delay, prevent or otherwise adversely affect the proposed spin-off, including, but not limited to, disruptions in general or financial market conditions, material adverse changes in business or industry conditions, unanticipated costs and potential problems or delays in obtaining various regulatory and tax approvals, rulings or clearances, and the expected qualification of the proposed spin-off as a tax-free transaction for United States federal income tax purposes, including whether or not an Internal Revenue Service ruling will be sought or obtained. There are also risks associated with the expected financing transactions undertaken and indebtedness incurred in connection with the proposed spin-off, including the risk that we may not be able to secure financing on favorable terms or at all. There can be no assurances that we will be able to complete the proposed spin-off on the terms or on the timeline that was announced, if at all. In addition, if the proposed spin-off is completed, the independent publicly traded company may not be able to achieve the full strategic and financial benefits that are expected to result from the proposed spin-off. Further, there can be no assurance that the combined value of the common</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t>stock of the two companies will be equal to or greater than what the value of our common stock would have been had the proposed spin-off not occurred.</w:t>
      </w:r>
    </w:p>
    <w:p>
      <w:pPr>
        <w:spacing w:after="0" w:line="2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04" w:right="539" w:bottom="1440" w:gutter="0" w:footer="0" w:header="0"/>
        </w:sectPr>
      </w:pPr>
    </w:p>
    <w:bookmarkStart w:id="41" w:name="page42"/>
    <w:bookmarkEnd w:id="41"/>
    <w:p>
      <w:pPr>
        <w:ind w:left="54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96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August 9, 2022.</w:t>
      </w:r>
    </w:p>
    <w:p>
      <w:pPr>
        <w:spacing w:after="0" w:line="2"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Aramark</w:t>
            </w:r>
          </w:p>
        </w:tc>
        <w:tc>
          <w:tcPr>
            <w:tcW w:w="4500" w:type="dxa"/>
            <w:vAlign w:val="bottom"/>
          </w:tcPr>
          <w:p>
            <w:pPr>
              <w:spacing w:after="0"/>
              <w:rPr>
                <w:sz w:val="20"/>
                <w:szCs w:val="20"/>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T. SCHILLING</w:t>
            </w:r>
          </w:p>
        </w:tc>
      </w:t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Christopher T. Schilling</w:t>
            </w:r>
          </w:p>
        </w:tc>
      </w:tr>
      <w:tr>
        <w:trPr>
          <w:trHeight w:val="147"/>
        </w:trPr>
        <w:tc>
          <w:tcPr>
            <w:tcW w:w="98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Title:</w:t>
            </w:r>
          </w:p>
        </w:tc>
        <w:tc>
          <w:tcPr>
            <w:tcW w:w="45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Senior Vice President, Controller and Chief Accounting Officer</w:t>
            </w:r>
          </w:p>
        </w:tc>
      </w:tr>
      <w:tr>
        <w:trPr>
          <w:trHeight w:val="190"/>
        </w:trPr>
        <w:tc>
          <w:tcPr>
            <w:tcW w:w="98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42" w:name="page43"/>
    <w:bookmarkEnd w:id="42"/>
    <w:p>
      <w:pPr>
        <w:jc w:val="center"/>
        <w:ind w:right="28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52" w:lineRule="exact"/>
        <w:rPr>
          <w:sz w:val="20"/>
          <w:szCs w:val="20"/>
          <w:color w:val="auto"/>
        </w:rPr>
      </w:pPr>
    </w:p>
    <w:p>
      <w:pPr>
        <w:ind w:left="60"/>
        <w:spacing w:after="0"/>
        <w:tabs>
          <w:tab w:leader="none" w:pos="5480"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20955</wp:posOffset>
            </wp:positionV>
            <wp:extent cx="70465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1" w:lineRule="exact"/>
        <w:rPr>
          <w:sz w:val="20"/>
          <w:szCs w:val="20"/>
          <w:color w:val="auto"/>
        </w:rPr>
      </w:pPr>
    </w:p>
    <w:p>
      <w:pPr>
        <w:ind w:left="280"/>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7"/>
          <w:szCs w:val="17"/>
          <w:u w:val="single" w:color="auto"/>
          <w:color w:val="0000FF"/>
        </w:rPr>
        <w:t>Certification of John J. Zillmer, Chief Executive Officer, pursuant to Section 302 of the Sarbanes-Oxley Act of 2002.</w:t>
      </w:r>
    </w:p>
    <w:p>
      <w:pPr>
        <w:spacing w:after="0" w:line="27" w:lineRule="exact"/>
        <w:rPr>
          <w:sz w:val="20"/>
          <w:szCs w:val="20"/>
          <w:color w:val="auto"/>
        </w:rPr>
      </w:pPr>
    </w:p>
    <w:p>
      <w:pPr>
        <w:ind w:left="280"/>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7"/>
          <w:szCs w:val="17"/>
          <w:u w:val="single" w:color="auto"/>
          <w:color w:val="0000FF"/>
        </w:rPr>
        <w:t>Certification of Thomas G. Ondrof, Chief Financial Officer, pursuant to Section 302 of the Sarbanes-Oxley Act of 2002.</w:t>
      </w:r>
    </w:p>
    <w:p>
      <w:pPr>
        <w:spacing w:after="0" w:line="23" w:lineRule="exact"/>
        <w:rPr>
          <w:sz w:val="20"/>
          <w:szCs w:val="20"/>
          <w:color w:val="auto"/>
        </w:rPr>
      </w:pPr>
    </w:p>
    <w:p>
      <w:pPr>
        <w:ind w:left="820" w:right="240" w:hanging="548"/>
        <w:spacing w:after="0" w:line="234" w:lineRule="auto"/>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32.1*</w:t>
        <w:tab/>
        <w:t>Certification of John J. Zillmer, Chief Executive Officer, and Thomas G. Ondrof, Chief Financial Officer, pursuant to Section 906 of the Sarbanes-Oxley Act of 2002.</w:t>
      </w:r>
    </w:p>
    <w:p>
      <w:pPr>
        <w:spacing w:after="0" w:line="10" w:lineRule="exact"/>
        <w:rPr>
          <w:sz w:val="20"/>
          <w:szCs w:val="20"/>
          <w:color w:val="auto"/>
        </w:rPr>
      </w:pPr>
    </w:p>
    <w:p>
      <w:pPr>
        <w:ind w:left="820" w:right="100" w:hanging="414"/>
        <w:spacing w:after="0" w:line="217" w:lineRule="auto"/>
        <w:tabs>
          <w:tab w:leader="none" w:pos="820" w:val="left"/>
        </w:tabs>
        <w:numPr>
          <w:ilvl w:val="0"/>
          <w:numId w:val="2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following financial information from Aramark's Quarterly Report on Form 10-Q for the period ended July 1, 2022 formatted in inline XBRL: (i) Condensed Consolidated Balance Sheets as of July 1, 2022 and October 1, 2021; (ii) Condensed Consolidated Statements of Income (Loss) for the three and nine months ended July 1, 2022 and July 2, 2021; (iii) Condensed Consolidated Statements of Comprehensive Income (Loss) for the three and nine months ended July 1, 2022 and July 2, 2021; (iv) Condensed Consolidated Statements of Cash Flows for the nine months ended July 1, 2022 and July 2, 2021; (v) Condensed Consolidated Statements of Stockholders' Equity for the three and nine months ended July 1, 2022 and July 2, 2021; and (vi) Notes to condensed consolidated financial statements.</w:t>
      </w:r>
    </w:p>
    <w:p>
      <w:pPr>
        <w:spacing w:after="0" w:line="4" w:lineRule="exact"/>
        <w:rPr>
          <w:sz w:val="20"/>
          <w:szCs w:val="20"/>
          <w:color w:val="auto"/>
        </w:rPr>
      </w:pPr>
    </w:p>
    <w:p>
      <w:pPr>
        <w:ind w:right="1080" w:firstLine="406"/>
        <w:spacing w:after="0" w:line="448" w:lineRule="auto"/>
        <w:tabs>
          <w:tab w:leader="none" w:pos="82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Exhibit 101 Inline XBRL document set. * Filed herewith.</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XBRL instance document does not appear in the interactive data file because the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60"/>
          </w:cols>
          <w:pgMar w:left="660" w:top="1359" w:right="37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Zillmer, Chief Executive Officer, certify that:</w:t>
      </w:r>
    </w:p>
    <w:p>
      <w:pPr>
        <w:spacing w:after="0" w:line="104"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Aramark for the quarter ended July 1, 2022;</w:t>
      </w:r>
    </w:p>
    <w:p>
      <w:pPr>
        <w:spacing w:after="0" w:line="103"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wp:posOffset>
            </wp:positionV>
            <wp:extent cx="30003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ectPr>
          <w:pgSz w:w="11900" w:h="16838" w:orient="portrait"/>
          <w:cols w:equalWidth="0" w:num="1">
            <w:col w:w="11240"/>
          </w:cols>
          <w:pgMar w:left="320" w:top="1049"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G. Ondrof, Executive Vice President and Chief Financial Officer, certify that:</w:t>
      </w:r>
    </w:p>
    <w:p>
      <w:pPr>
        <w:spacing w:after="0" w:line="90"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Aramark for the quarter ended July 1, 2022;</w:t>
      </w:r>
    </w:p>
    <w:p>
      <w:pPr>
        <w:spacing w:after="0" w:line="103"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wp:posOffset>
            </wp:positionV>
            <wp:extent cx="30003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Thomas G. Ondrof</w:t>
      </w:r>
    </w:p>
    <w:p>
      <w:pPr>
        <w:spacing w:after="0" w:line="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Executive Vice President and</w:t>
      </w:r>
    </w:p>
    <w:p>
      <w:pPr>
        <w:ind w:left="1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Aramark (the “Company”) on Form 10-Q for the fiscal quarter ended July 1, 2022, as filed with the Securities and Exchange Commission on the date hereof (the “Report”), we, John J. Zillmer, Chief Executive Officer of the Company, and Thomas G. Ondrof, Executive Vice President and Chief Financial Officer of the Company, each certify, pursuant to 18 U.S.C. Section 1350, as adopted pursuant to Section 906 of the Sarbanes-Oxley Act of 2002, that, based on each of our knowledge:</w:t>
      </w:r>
    </w:p>
    <w:p>
      <w:pPr>
        <w:spacing w:after="0" w:line="382"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right="140" w:firstLine="332"/>
        <w:spacing w:after="0" w:line="783" w:lineRule="auto"/>
        <w:tabs>
          <w:tab w:leader="none" w:pos="6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9, 2022</w:t>
      </w:r>
    </w:p>
    <w:p>
      <w:pPr>
        <w:spacing w:after="0" w:line="25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Thomas G. Ondrof</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Executive Vice President and</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3"/>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01"/>
    </w:lvl>
  </w:abstractNum>
  <w:abstractNum w:abstractNumId="22">
    <w:nsid w:val="8EDBDAB"/>
    <w:multiLevelType w:val="hybridMultilevel"/>
    <w:lvl w:ilvl="0">
      <w:lvlJc w:val="left"/>
      <w:lvlText w:val="*"/>
      <w:numFmt w:val="bullet"/>
      <w:start w:val="1"/>
    </w:lvl>
    <w:lvl w:ilvl="1">
      <w:lvlJc w:val="left"/>
      <w:lvlText w:val="%2"/>
      <w:numFmt w:val="decimal"/>
      <w:start w:val="104"/>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2022-08-09T17:40:51Z</dcterms:created>
  <dcterms:modified xsi:type="dcterms:W3CDTF">2022-08-09T17:40:51Z</dcterms:modified>
</cp:coreProperties>
</file>