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7" w:lineRule="exact"/>
        <w:rPr>
          <w:sz w:val="24"/>
          <w:szCs w:val="24"/>
          <w:color w:val="auto"/>
        </w:rPr>
      </w:pPr>
    </w:p>
    <w:p>
      <w:pPr>
        <w:ind w:left="5340" w:right="980" w:hanging="4305"/>
        <w:spacing w:after="0" w:line="313" w:lineRule="auto"/>
        <w:tabs>
          <w:tab w:leader="none" w:pos="1429"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or</w:t>
      </w:r>
    </w:p>
    <w:p>
      <w:pPr>
        <w:ind w:left="1220" w:hanging="355"/>
        <w:spacing w:after="0"/>
        <w:tabs>
          <w:tab w:leader="none" w:pos="12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7" w:lineRule="exact"/>
        <w:rPr>
          <w:rFonts w:ascii="Wingdings" w:cs="Wingdings" w:eastAsia="Wingdings" w:hAnsi="Wingdings"/>
          <w:sz w:val="18"/>
          <w:szCs w:val="18"/>
          <w:b w:val="1"/>
          <w:bCs w:val="1"/>
          <w:color w:val="auto"/>
        </w:rPr>
      </w:pPr>
    </w:p>
    <w:p>
      <w:pPr>
        <w:ind w:left="368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___________________________________________</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27, 2024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242570</wp:posOffset>
            </wp:positionV>
            <wp:extent cx="2468880"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Aramark</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8" w:lineRule="exact"/>
        <w:rPr>
          <w:sz w:val="24"/>
          <w:szCs w:val="24"/>
          <w:color w:val="auto"/>
        </w:rPr>
      </w:pPr>
    </w:p>
    <w:tbl>
      <w:tblPr>
        <w:tblLayout w:type="fixed"/>
        <w:tblInd w:w="2080" w:type="dxa"/>
        <w:tblCellMar>
          <w:top w:w="0" w:type="dxa"/>
          <w:left w:w="0" w:type="dxa"/>
          <w:bottom w:w="0" w:type="dxa"/>
          <w:right w:w="0" w:type="dxa"/>
        </w:tblCellMar>
      </w:tblPr>
      <w:tr>
        <w:trPr>
          <w:trHeight w:val="229"/>
        </w:trPr>
        <w:tc>
          <w:tcPr>
            <w:tcW w:w="5220" w:type="dxa"/>
            <w:vAlign w:val="bottom"/>
          </w:tcPr>
          <w:p>
            <w:pPr>
              <w:jc w:val="center"/>
              <w:ind w:right="2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20-8236097</w:t>
            </w:r>
          </w:p>
        </w:tc>
      </w:tr>
      <w:tr>
        <w:trPr>
          <w:trHeight w:val="148"/>
        </w:trPr>
        <w:tc>
          <w:tcPr>
            <w:tcW w:w="5220" w:type="dxa"/>
            <w:vAlign w:val="bottom"/>
          </w:tcPr>
          <w:p>
            <w:pPr>
              <w:jc w:val="center"/>
              <w:ind w:right="285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500" w:type="dxa"/>
            <w:vAlign w:val="bottom"/>
          </w:tcPr>
          <w:p>
            <w:pPr>
              <w:jc w:val="center"/>
              <w:ind w:left="121"/>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220" w:type="dxa"/>
            <w:vAlign w:val="bottom"/>
          </w:tcPr>
          <w:p>
            <w:pPr>
              <w:jc w:val="center"/>
              <w:ind w:right="285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500" w:type="dxa"/>
            <w:vAlign w:val="bottom"/>
          </w:tcPr>
          <w:p>
            <w:pPr>
              <w:jc w:val="center"/>
              <w:ind w:left="101"/>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31"/>
        </w:trPr>
        <w:tc>
          <w:tcPr>
            <w:tcW w:w="5220" w:type="dxa"/>
            <w:vAlign w:val="bottom"/>
          </w:tcPr>
          <w:p>
            <w:pPr>
              <w:jc w:val="center"/>
              <w:ind w:right="2859"/>
              <w:spacing w:after="0"/>
              <w:rPr>
                <w:sz w:val="20"/>
                <w:szCs w:val="20"/>
                <w:color w:val="auto"/>
              </w:rPr>
            </w:pPr>
            <w:r>
              <w:rPr>
                <w:rFonts w:ascii="Times New Roman" w:cs="Times New Roman" w:eastAsia="Times New Roman" w:hAnsi="Times New Roman"/>
                <w:sz w:val="18"/>
                <w:szCs w:val="18"/>
                <w:b w:val="1"/>
                <w:bCs w:val="1"/>
                <w:color w:val="auto"/>
                <w:w w:val="99"/>
              </w:rPr>
              <w:t>2400 Market Street</w:t>
            </w:r>
          </w:p>
        </w:tc>
        <w:tc>
          <w:tcPr>
            <w:tcW w:w="1500" w:type="dxa"/>
            <w:vAlign w:val="bottom"/>
          </w:tcPr>
          <w:p>
            <w:pPr>
              <w:spacing w:after="0"/>
              <w:rPr>
                <w:sz w:val="20"/>
                <w:szCs w:val="20"/>
                <w:color w:val="auto"/>
              </w:rPr>
            </w:pPr>
          </w:p>
        </w:tc>
      </w:tr>
      <w:tr>
        <w:trPr>
          <w:trHeight w:val="229"/>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tc>
        <w:tc>
          <w:tcPr>
            <w:tcW w:w="1500" w:type="dxa"/>
            <w:vAlign w:val="bottom"/>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19103</w:t>
            </w:r>
          </w:p>
        </w:tc>
      </w:tr>
      <w:tr>
        <w:trPr>
          <w:trHeight w:val="188"/>
        </w:trPr>
        <w:tc>
          <w:tcPr>
            <w:tcW w:w="5220" w:type="dxa"/>
            <w:vAlign w:val="bottom"/>
          </w:tcPr>
          <w:p>
            <w:pPr>
              <w:jc w:val="center"/>
              <w:ind w:right="285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500" w:type="dxa"/>
            <w:vAlign w:val="bottom"/>
          </w:tcPr>
          <w:p>
            <w:pPr>
              <w:jc w:val="center"/>
              <w:ind w:left="101"/>
              <w:spacing w:after="0"/>
              <w:rPr>
                <w:sz w:val="20"/>
                <w:szCs w:val="20"/>
                <w:color w:val="auto"/>
              </w:rPr>
            </w:pPr>
            <w:r>
              <w:rPr>
                <w:rFonts w:ascii="Times New Roman" w:cs="Times New Roman" w:eastAsia="Times New Roman" w:hAnsi="Times New Roman"/>
                <w:sz w:val="14"/>
                <w:szCs w:val="14"/>
                <w:color w:val="auto"/>
              </w:rPr>
              <w:t>(Zip Code)</w:t>
            </w:r>
          </w:p>
        </w:tc>
      </w:tr>
      <w:tr>
        <w:trPr>
          <w:trHeight w:val="388"/>
        </w:trPr>
        <w:tc>
          <w:tcPr>
            <w:tcW w:w="5220" w:type="dxa"/>
            <w:vAlign w:val="bottom"/>
          </w:tcPr>
          <w:p>
            <w:pPr>
              <w:jc w:val="right"/>
              <w:ind w:right="1039"/>
              <w:spacing w:after="0"/>
              <w:rPr>
                <w:sz w:val="20"/>
                <w:szCs w:val="20"/>
                <w:color w:val="auto"/>
              </w:rPr>
            </w:pPr>
            <w:r>
              <w:rPr>
                <w:rFonts w:ascii="Times New Roman" w:cs="Times New Roman" w:eastAsia="Times New Roman" w:hAnsi="Times New Roman"/>
                <w:sz w:val="18"/>
                <w:szCs w:val="18"/>
                <w:b w:val="1"/>
                <w:bCs w:val="1"/>
                <w:color w:val="auto"/>
              </w:rPr>
              <w:t>(215) 238-3000</w:t>
            </w:r>
          </w:p>
        </w:tc>
        <w:tc>
          <w:tcPr>
            <w:tcW w:w="1500" w:type="dxa"/>
            <w:vAlign w:val="bottom"/>
          </w:tcPr>
          <w:p>
            <w:pPr>
              <w:spacing w:after="0"/>
              <w:rPr>
                <w:sz w:val="24"/>
                <w:szCs w:val="24"/>
                <w:color w:val="auto"/>
              </w:rPr>
            </w:pPr>
          </w:p>
        </w:tc>
      </w:tr>
      <w:tr>
        <w:trPr>
          <w:trHeight w:val="220"/>
        </w:trPr>
        <w:tc>
          <w:tcPr>
            <w:tcW w:w="5220" w:type="dxa"/>
            <w:vAlign w:val="bottom"/>
          </w:tcPr>
          <w:p>
            <w:pPr>
              <w:jc w:val="center"/>
              <w:ind w:left="17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500" w:type="dxa"/>
            <w:vAlign w:val="bottom"/>
          </w:tcPr>
          <w:p>
            <w:pPr>
              <w:spacing w:after="0"/>
              <w:rPr>
                <w:sz w:val="19"/>
                <w:szCs w:val="19"/>
                <w:color w:val="auto"/>
              </w:rPr>
            </w:pPr>
          </w:p>
        </w:tc>
      </w:tr>
    </w:tbl>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7"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50"/>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40" w:type="dxa"/>
            <w:vAlign w:val="bottom"/>
          </w:tcPr>
          <w:p>
            <w:pPr>
              <w:spacing w:after="0"/>
              <w:rPr>
                <w:sz w:val="21"/>
                <w:szCs w:val="21"/>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ARMK</w:t>
            </w:r>
          </w:p>
        </w:tc>
        <w:tc>
          <w:tcPr>
            <w:tcW w:w="28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6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6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63"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w:t>
      </w:r>
    </w:p>
    <w:p>
      <w:pPr>
        <w:spacing w:after="0" w:line="63" w:lineRule="exact"/>
        <w:rPr>
          <w:sz w:val="24"/>
          <w:szCs w:val="24"/>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63" w:lineRule="exact"/>
        <w:rPr>
          <w:sz w:val="24"/>
          <w:szCs w:val="24"/>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60" w:firstLine="445"/>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w:t>
      </w:r>
    </w:p>
    <w:p>
      <w:pPr>
        <w:spacing w:after="0" w:line="1"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100"/>
        <w:spacing w:after="0"/>
        <w:tabs>
          <w:tab w:leader="none" w:pos="1920" w:val="left"/>
          <w:tab w:leader="none" w:pos="3700" w:val="left"/>
          <w:tab w:leader="none" w:pos="5780" w:val="left"/>
          <w:tab w:leader="none" w:pos="8380" w:val="left"/>
          <w:tab w:leader="none" w:pos="109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ab/>
        <w:t xml:space="preserve">o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ab/>
        <w:t xml:space="preserve">o </w:t>
      </w:r>
      <w:r>
        <w:rPr>
          <w:rFonts w:ascii="Times New Roman" w:cs="Times New Roman" w:eastAsia="Times New Roman" w:hAnsi="Times New Roman"/>
          <w:sz w:val="18"/>
          <w:szCs w:val="18"/>
          <w:color w:val="auto"/>
        </w:rPr>
        <w:t>Smaller reporting company</w:t>
      </w:r>
      <w:r>
        <w:rPr>
          <w:rFonts w:ascii="Wingdings" w:cs="Wingdings" w:eastAsia="Wingdings" w:hAnsi="Wingdings"/>
          <w:sz w:val="18"/>
          <w:szCs w:val="18"/>
          <w:b w:val="1"/>
          <w:bCs w:val="1"/>
          <w:color w:val="auto"/>
        </w:rPr>
        <w:tab/>
        <w:t xml:space="preserve">o </w:t>
      </w: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144" w:lineRule="exact"/>
        <w:rPr>
          <w:sz w:val="24"/>
          <w:szCs w:val="24"/>
          <w:color w:val="auto"/>
        </w:rPr>
      </w:pPr>
    </w:p>
    <w:p>
      <w:pPr>
        <w:ind w:right="60" w:firstLine="405"/>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3" w:right="379" w:bottom="1440" w:gutter="0" w:footer="0" w:header="0"/>
        </w:sectPr>
      </w:pPr>
    </w:p>
    <w:bookmarkStart w:id="1" w:name="page2"/>
    <w:bookmarkEnd w:id="1"/>
    <w:p>
      <w:pPr>
        <w:ind w:right="180" w:firstLine="405"/>
        <w:spacing w:after="0" w:line="281"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 w:lineRule="exact"/>
        <w:rPr>
          <w:sz w:val="20"/>
          <w:szCs w:val="20"/>
          <w:color w:val="auto"/>
        </w:rPr>
      </w:pPr>
    </w:p>
    <w:p>
      <w:pPr>
        <w:ind w:right="420" w:firstLine="405"/>
        <w:spacing w:after="0" w:line="281"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 w:lineRule="exact"/>
        <w:rPr>
          <w:sz w:val="20"/>
          <w:szCs w:val="20"/>
          <w:color w:val="auto"/>
        </w:rPr>
      </w:pPr>
    </w:p>
    <w:p>
      <w:pPr>
        <w:ind w:left="420"/>
        <w:spacing w:after="0"/>
        <w:tabs>
          <w:tab w:leader="none" w:pos="8740" w:val="left"/>
          <w:tab w:leader="none" w:pos="9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63" w:lineRule="exact"/>
        <w:rPr>
          <w:sz w:val="20"/>
          <w:szCs w:val="20"/>
          <w:color w:val="auto"/>
        </w:rPr>
      </w:pPr>
    </w:p>
    <w:p>
      <w:pPr>
        <w:ind w:right="280" w:firstLine="405"/>
        <w:spacing w:after="0" w:line="281" w:lineRule="auto"/>
        <w:rPr>
          <w:sz w:val="20"/>
          <w:szCs w:val="20"/>
          <w:color w:val="auto"/>
        </w:rPr>
      </w:pPr>
      <w:r>
        <w:rPr>
          <w:rFonts w:ascii="Times New Roman" w:cs="Times New Roman" w:eastAsia="Times New Roman" w:hAnsi="Times New Roman"/>
          <w:sz w:val="18"/>
          <w:szCs w:val="18"/>
          <w:color w:val="auto"/>
        </w:rPr>
        <w:t>As of March 29, 2024, the aggregate market value of the common stock of the registrant held by non-affiliates of the registrant was approximately $8,746.2 million.</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October 25, 2024, the number of shares of the registrant's common stock outstanding is 263,947,698.</w:t>
      </w:r>
    </w:p>
    <w:p>
      <w:pPr>
        <w:spacing w:after="0" w:line="6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Portions of the definitive proxy statement to be filed with the Securities and Exchange Commission pursuant to Regulation 14A relating to the registrant's 2025 Annual Meeting of Stockholders, to be held on January 24, 2025, will be incorporated by reference in this Form 10-K in response to portions of Part</w:t>
      </w:r>
    </w:p>
    <w:p>
      <w:pPr>
        <w:ind w:firstLine="8"/>
        <w:spacing w:after="0" w:line="260" w:lineRule="auto"/>
        <w:tabs>
          <w:tab w:leader="none" w:pos="2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definitive proxy statement will be filed with the Securities and Exchange Commission not later than 120 days after the registrant's fiscal year ended September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Pr>
          <w:p>
            <w:pPr>
              <w:spacing w:after="0"/>
              <w:rPr>
                <w:sz w:val="15"/>
                <w:szCs w:val="15"/>
                <w:color w:val="auto"/>
              </w:rPr>
            </w:pPr>
          </w:p>
        </w:tc>
        <w:tc>
          <w:tcPr>
            <w:tcW w:w="242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PART I</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Business</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640" w:type="dxa"/>
            <w:vAlign w:val="bottom"/>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660" w:type="dxa"/>
            <w:vAlign w:val="bottom"/>
            <w:gridSpan w:val="2"/>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2.</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w:t>
            </w:r>
          </w:p>
        </w:tc>
        <w:tc>
          <w:tcPr>
            <w:tcW w:w="480" w:type="dxa"/>
            <w:vAlign w:val="bottom"/>
            <w:tcBorders>
              <w:top w:val="single" w:sz="8" w:color="0000FF"/>
            </w:tcBorders>
          </w:tcPr>
          <w:p>
            <w:pPr>
              <w:spacing w:after="0"/>
              <w:rPr>
                <w:sz w:val="24"/>
                <w:szCs w:val="24"/>
                <w:color w:val="auto"/>
              </w:rPr>
            </w:pPr>
          </w:p>
        </w:tc>
        <w:tc>
          <w:tcPr>
            <w:tcW w:w="8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5.</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13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7"/>
              </w:rPr>
              <w:t>Equity Securities</w:t>
            </w:r>
          </w:p>
        </w:tc>
        <w:tc>
          <w:tcPr>
            <w:tcW w:w="5540" w:type="dxa"/>
            <w:vAlign w:val="bottom"/>
            <w:tcBorders>
              <w:top w:val="single" w:sz="8" w:color="0000FF"/>
            </w:tcBorders>
            <w:gridSpan w:val="16"/>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720" w:type="dxa"/>
            <w:vAlign w:val="bottom"/>
            <w:gridSpan w:val="5"/>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7A.</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8.</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640" w:type="dxa"/>
            <w:vAlign w:val="bottom"/>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660" w:type="dxa"/>
            <w:vAlign w:val="bottom"/>
            <w:gridSpan w:val="2"/>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III</w:t>
            </w:r>
          </w:p>
        </w:tc>
        <w:tc>
          <w:tcPr>
            <w:tcW w:w="620" w:type="dxa"/>
            <w:vAlign w:val="bottom"/>
            <w:tcBorders>
              <w:top w:val="single" w:sz="8" w:color="0000FF"/>
            </w:tcBorders>
            <w:gridSpan w:val="4"/>
          </w:tcPr>
          <w:p>
            <w:pPr>
              <w:spacing w:after="0"/>
              <w:rPr>
                <w:sz w:val="24"/>
                <w:szCs w:val="24"/>
                <w:color w:val="auto"/>
              </w:rPr>
            </w:pPr>
          </w:p>
        </w:tc>
        <w:tc>
          <w:tcPr>
            <w:tcW w:w="6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720" w:type="dxa"/>
            <w:vAlign w:val="bottom"/>
            <w:gridSpan w:val="5"/>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3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720" w:type="dxa"/>
            <w:vAlign w:val="bottom"/>
            <w:gridSpan w:val="5"/>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720" w:type="dxa"/>
            <w:vAlign w:val="bottom"/>
            <w:gridSpan w:val="5"/>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Matters</w:t>
            </w:r>
          </w:p>
        </w:tc>
        <w:tc>
          <w:tcPr>
            <w:tcW w:w="6140" w:type="dxa"/>
            <w:vAlign w:val="bottom"/>
            <w:tcBorders>
              <w:top w:val="single" w:sz="8" w:color="0000FF"/>
            </w:tcBorders>
            <w:gridSpan w:val="21"/>
          </w:tcPr>
          <w:p>
            <w:pPr>
              <w:spacing w:after="0"/>
              <w:rPr>
                <w:sz w:val="13"/>
                <w:szCs w:val="13"/>
                <w:color w:val="auto"/>
              </w:rPr>
            </w:pPr>
          </w:p>
        </w:tc>
        <w:tc>
          <w:tcPr>
            <w:tcW w:w="540" w:type="dxa"/>
            <w:vAlign w:val="bottom"/>
            <w:gridSpan w:val="2"/>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700" w:type="dxa"/>
            <w:vAlign w:val="bottom"/>
            <w:gridSpan w:val="4"/>
          </w:tcPr>
          <w:p>
            <w:pPr>
              <w:spacing w:after="0"/>
              <w:rPr>
                <w:sz w:val="19"/>
                <w:szCs w:val="19"/>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700" w:type="dxa"/>
            <w:vAlign w:val="bottom"/>
            <w:gridSpan w:val="4"/>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44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4"/>
                <w:szCs w:val="24"/>
                <w:color w:val="auto"/>
              </w:rPr>
            </w:pPr>
          </w:p>
        </w:tc>
        <w:tc>
          <w:tcPr>
            <w:tcW w:w="7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700" w:type="dxa"/>
            <w:vAlign w:val="bottom"/>
            <w:gridSpan w:val="4"/>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700" w:type="dxa"/>
            <w:vAlign w:val="bottom"/>
            <w:gridSpan w:val="4"/>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r>
      <w:tr>
        <w:trPr>
          <w:trHeight w:val="1094"/>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w:t>
      </w:r>
    </w:p>
    <w:p>
      <w:pPr>
        <w:spacing w:after="0" w:line="7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Some of the factors that we believe could affect or continue to affect our results include without limitation: unfavorable economic conditions; natural disasters, global calamities, climate change, pandemics, energy shortages, sports strikes and other adverse incidents; geopolitical events including, but not limited to, the ongoing conflict between Russia and Ukraine and the ongoing conflict in the Middle East, global supply chain disruptions, inflation, volatility and disruption of global financial markets;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the inability to hire and retain key or sufficient qualified personnel or increases in labor costs; our expansion strategy and our ability to successfully integrate the businesses we acquire and costs and timing related thereto; risks associated with the completed spin-off of Aramark Uniform and Career Apparel ("Uniform") as an independent publicly traded company to our stockholders; continued or further unionization of our workforce; liability resulting from our participation in multiemployer defined benefit pension plans;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our leverage; variable rate indebtedness that subjects us to interest rate risk; the inability to generate sufficient cash to service all of our indebtedness; debt agreements that limit our flexibility in operating our business; and other factors set forth under the headings Item 1A "Risk Factors," Item 3 "Legal Proceedings" and Item 7 "Management's Discussion and Analysis of Financial Condition and Results of Operations" and other sections of this Annual Report on Form 10-K. These factors should not be construed as exhaustive and should be read in conjunction with the other cautionary statements that are included herein and in our other filings with the Securities and Exchange Commission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Aramark (the “Company”, “we” or “us”) is a leading global provider of food and facilities services to education, healthcare, business &amp; industry, and sports, leisure &amp; corrections clients. Our largest market is the United States, which is supplemented by an additional 15-country footprint. We also provide our services on a more limited basis in several additional countries and in offshore locations. Based on total revenue in fiscal 2024, we hold a top 2 position in North America in food and facilities services and a top 3 position in food and facilities services internationally in most countries in which we have significant operations. Our approximately 266,680 employees partner with thousands of education, healthcare, business and sports, leisure &amp; corrections clients to serve millions of customers including students, patients, employees, sports fans and guests worldwide.</w:t>
      </w:r>
    </w:p>
    <w:p>
      <w:pPr>
        <w:spacing w:after="0" w:line="6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operate our business in two reportable segments that share many of the same operating characteristics: Food and Support Services United States ("FSS United States") and Food and Support Services International ("FSS International"). The following chart shows a breakdown of our revenue and operating income by these reportable segments:</w:t>
      </w:r>
    </w:p>
    <w:p>
      <w:pPr>
        <w:spacing w:after="0" w:line="80" w:lineRule="exact"/>
        <w:rPr>
          <w:sz w:val="20"/>
          <w:szCs w:val="20"/>
          <w:color w:val="auto"/>
        </w:rPr>
      </w:pPr>
    </w:p>
    <w:tbl>
      <w:tblPr>
        <w:tblLayout w:type="fixed"/>
        <w:tblInd w:w="540" w:type="dxa"/>
        <w:tblCellMar>
          <w:top w:w="0" w:type="dxa"/>
          <w:left w:w="0" w:type="dxa"/>
          <w:bottom w:w="0" w:type="dxa"/>
          <w:right w:w="0" w:type="dxa"/>
        </w:tblCellMar>
      </w:tblPr>
      <w:tr>
        <w:trPr>
          <w:trHeight w:val="634"/>
        </w:trPr>
        <w:tc>
          <w:tcPr>
            <w:tcW w:w="2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2640" w:type="dxa"/>
            <w:vAlign w:val="bottom"/>
            <w:tcBorders>
              <w:left w:val="single" w:sz="8" w:color="auto"/>
            </w:tcBorders>
            <w:gridSpan w:val="4"/>
          </w:tcPr>
          <w:p>
            <w:pPr>
              <w:ind w:left="860"/>
              <w:spacing w:after="0" w:line="196" w:lineRule="exact"/>
              <w:rPr>
                <w:sz w:val="20"/>
                <w:szCs w:val="20"/>
                <w:color w:val="auto"/>
              </w:rPr>
            </w:pPr>
            <w:r>
              <w:rPr>
                <w:rFonts w:ascii="Times New Roman" w:cs="Times New Roman" w:eastAsia="Times New Roman" w:hAnsi="Times New Roman"/>
                <w:sz w:val="22"/>
                <w:szCs w:val="22"/>
                <w:b w:val="1"/>
                <w:bCs w:val="1"/>
                <w:color w:val="auto"/>
              </w:rPr>
              <w:t>FSS United States</w:t>
            </w:r>
          </w:p>
        </w:tc>
        <w:tc>
          <w:tcPr>
            <w:tcW w:w="7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680" w:type="dxa"/>
            <w:vAlign w:val="bottom"/>
            <w:gridSpan w:val="4"/>
          </w:tcPr>
          <w:p>
            <w:pPr>
              <w:ind w:left="860"/>
              <w:spacing w:after="0" w:line="196" w:lineRule="exact"/>
              <w:rPr>
                <w:sz w:val="20"/>
                <w:szCs w:val="20"/>
                <w:color w:val="auto"/>
              </w:rPr>
            </w:pPr>
            <w:r>
              <w:rPr>
                <w:rFonts w:ascii="Times New Roman" w:cs="Times New Roman" w:eastAsia="Times New Roman" w:hAnsi="Times New Roman"/>
                <w:sz w:val="22"/>
                <w:szCs w:val="22"/>
                <w:b w:val="1"/>
                <w:bCs w:val="1"/>
                <w:color w:val="auto"/>
              </w:rPr>
              <w:t>FSS International</w:t>
            </w: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FY 2024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860" w:type="dxa"/>
            <w:vAlign w:val="bottom"/>
            <w:tcBorders>
              <w:left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900" w:type="dxa"/>
            <w:vAlign w:val="bottom"/>
            <w:vMerge w:val="continue"/>
          </w:tcPr>
          <w:p>
            <w:pPr>
              <w:spacing w:after="0"/>
              <w:rPr>
                <w:sz w:val="24"/>
                <w:szCs w:val="24"/>
                <w:color w:val="auto"/>
              </w:rPr>
            </w:pPr>
          </w:p>
        </w:tc>
        <w:tc>
          <w:tcPr>
            <w:tcW w:w="2520" w:type="dxa"/>
            <w:vAlign w:val="bottom"/>
            <w:gridSpan w:val="3"/>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12,576.7</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3"/>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4,824.0</w:t>
            </w:r>
          </w:p>
        </w:tc>
        <w:tc>
          <w:tcPr>
            <w:tcW w:w="0" w:type="dxa"/>
            <w:vAlign w:val="bottom"/>
          </w:tcPr>
          <w:p>
            <w:pPr>
              <w:spacing w:after="0"/>
              <w:rPr>
                <w:sz w:val="1"/>
                <w:szCs w:val="1"/>
                <w:color w:val="auto"/>
              </w:rPr>
            </w:pPr>
          </w:p>
        </w:tc>
      </w:tr>
      <w:tr>
        <w:trPr>
          <w:trHeight w:val="281"/>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FY 2024 Operating Income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520" w:type="dxa"/>
            <w:vAlign w:val="bottom"/>
            <w:gridSpan w:val="3"/>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659.9</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3"/>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-1257935</wp:posOffset>
            </wp:positionV>
            <wp:extent cx="109728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27432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Dollars in millions. Operating income excludes $140.7 million related to corporate expenses.</w:t>
      </w:r>
    </w:p>
    <w:p>
      <w:pPr>
        <w:spacing w:after="0" w:line="10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fiscal 2024, we generated $17.4 billion of revenue, $706.5 million of operating income and $262.5 million of net income attributable to Aramark stockholders.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Since our founding in 1959, we have broadened our service offerings and expanded our client base through a combination of organic growth and acquisitions, with the goal of further developing our food and facilities capabilities, as well as growing our international presence. In 1984, we completed a management buyout, after which our management and employees increased their Company ownership to approximately 90% of our equity capital leading up to our December 2001 public offering. On January 26, 2007, we delisted from the New York Stock Exchange (“NYSE”) in conjunction with a going-private transaction executed with certain private equity investment funds, as well as approximately 250 senior management personnel. On December 17, 2013, we completed an initial public offering of our common stock.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Aramark’s Spin-off of the Uniform Segment</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September 30, 2023, we completed the separation and distribution of our Aramark Uniform and Career Apparel ("Uniform") segment into an independent publicly traded company, Vestis Corporation ("Vestis"). The separation of our Uniform segment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NYSE. The historical results of the Uniform segment have been reflected as discontinued operations in our audited consolidated financial statements for all periods prior to the separation and distribution. Assets and liabilities associated to the Uniform segment are classified as assets and liabilities of discontinued operations in our audited Consolidated Balance Sheet as of September 29, 2023. Additional disclosures regarding the separation and distribution are provided in Note 2 to the audited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manage a number of interrelated services, including food, hospitality, procurement and facility services, for school districts, colleges &amp; universities, healthcare &amp; senior living facilities, businesses, sports, entertainment &amp; recreational venues, conference &amp; convention centers, national &amp; state parks and correctional institutions.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the exclusive provider of food and beverage services at most of the locations we serve and are responsible for hiring, training and supervising the majority of the food service personnel in addition to ordering, receiving, preparing and serving food and beverage items sold at those facilities. Our facilities services capabilities are broad, and include plant operations and maintenance, custodial/housekeeping, energy management, grounds keeping and capital project management. In governmental, business, educational and healthcare facilities (for example, offices and industrial plants, schools and universities and hospitals and senior living), our clients provide us with a captive customer base through their on-site employees, students and patients. At sports, entertainment and recreational facilities, our clients attract patrons to their site, usually for specific events such as sporting events, concerts and conventions.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manage our business in two geographic reportable segments split between our United States and International operations. In fiscal 2024, our FSS United States segment generated $12,576.7 million in revenue, or 72% of our total revenue, and our FSS International segment generated $4,824.0 million in revenue, or 28% of our total revenue. No individual client represents more than 2% of our total revenue, other than, collectively, a number of United States government agencies.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Clients and Services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serve a number of sectors across 16 countries around the world. Our operations focus on serving clients in five principal sectors: Education, Healthcare, Business &amp; Industry, Sports, Leisure &amp; Corrections and Facilities &amp;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FSS United States segment, the range of services provided by sector are as follows:</w:t>
      </w:r>
    </w:p>
    <w:p>
      <w:pPr>
        <w:spacing w:after="0" w:line="102" w:lineRule="exact"/>
        <w:rPr>
          <w:sz w:val="20"/>
          <w:szCs w:val="20"/>
          <w:color w:val="auto"/>
        </w:rPr>
      </w:pPr>
    </w:p>
    <w:p>
      <w:pPr>
        <w:jc w:val="both"/>
        <w:ind w:left="340"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Education. </w:t>
      </w:r>
      <w:r>
        <w:rPr>
          <w:rFonts w:ascii="Times New Roman" w:cs="Times New Roman" w:eastAsia="Times New Roman" w:hAnsi="Times New Roman"/>
          <w:sz w:val="18"/>
          <w:szCs w:val="18"/>
          <w:color w:val="auto"/>
        </w:rPr>
        <w:t>Within the Education sector, we serve Higher Education and K-12 clients. We deliver a wide range of food and food-related services,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procurement services, at approximately 1,330 colleges, universities, school systems &amp; districts and private schools. We offer our education clients a single source provider for food-related managed service solutions, including dining, catering, food service management and convenience-oriented retail operations.</w:t>
      </w:r>
    </w:p>
    <w:p>
      <w:pPr>
        <w:spacing w:after="0" w:line="58" w:lineRule="exact"/>
        <w:rPr>
          <w:sz w:val="20"/>
          <w:szCs w:val="20"/>
          <w:color w:val="auto"/>
        </w:rPr>
      </w:pPr>
    </w:p>
    <w:p>
      <w:pPr>
        <w:ind w:left="340" w:right="6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Healthcare. </w:t>
      </w:r>
      <w:r>
        <w:rPr>
          <w:rFonts w:ascii="Times New Roman" w:cs="Times New Roman" w:eastAsia="Times New Roman" w:hAnsi="Times New Roman"/>
          <w:sz w:val="18"/>
          <w:szCs w:val="18"/>
          <w:color w:val="auto"/>
        </w:rPr>
        <w:t>We provide a wide range of non-clinical food, food-related and facility support services to approximately 190 healthcare and senior living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 families and more than 1,100 facilities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Our food and food-related services include patient food and nutrition, retail food, environmental services and procurement services.</w:t>
      </w:r>
    </w:p>
    <w:p>
      <w:pPr>
        <w:spacing w:after="0" w:line="62" w:lineRule="exact"/>
        <w:rPr>
          <w:sz w:val="20"/>
          <w:szCs w:val="20"/>
          <w:color w:val="auto"/>
        </w:rPr>
      </w:pPr>
    </w:p>
    <w:p>
      <w:pPr>
        <w:ind w:left="340" w:right="260"/>
        <w:spacing w:after="0" w:line="284" w:lineRule="auto"/>
        <w:rPr>
          <w:sz w:val="20"/>
          <w:szCs w:val="20"/>
          <w:color w:val="auto"/>
        </w:rPr>
      </w:pPr>
      <w:r>
        <w:rPr>
          <w:rFonts w:ascii="Times New Roman" w:cs="Times New Roman" w:eastAsia="Times New Roman" w:hAnsi="Times New Roman"/>
          <w:sz w:val="18"/>
          <w:szCs w:val="18"/>
          <w:i w:val="1"/>
          <w:iCs w:val="1"/>
          <w:color w:val="auto"/>
        </w:rPr>
        <w:t>Business &amp; Industry</w:t>
      </w:r>
      <w:r>
        <w:rPr>
          <w:rFonts w:ascii="Times New Roman" w:cs="Times New Roman" w:eastAsia="Times New Roman" w:hAnsi="Times New Roman"/>
          <w:sz w:val="18"/>
          <w:szCs w:val="18"/>
          <w:color w:val="auto"/>
        </w:rPr>
        <w:t>. We provide a comprehensive range of business dining services, including on-site restaurants, catering, convenience stores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dining.</w:t>
      </w:r>
    </w:p>
    <w:p>
      <w:pPr>
        <w:spacing w:after="0" w:line="39" w:lineRule="exact"/>
        <w:rPr>
          <w:sz w:val="20"/>
          <w:szCs w:val="20"/>
          <w:color w:val="auto"/>
        </w:rPr>
      </w:pPr>
    </w:p>
    <w:p>
      <w:pPr>
        <w:ind w:left="340" w:right="260"/>
        <w:spacing w:after="0" w:line="312" w:lineRule="auto"/>
        <w:rPr>
          <w:sz w:val="20"/>
          <w:szCs w:val="20"/>
          <w:color w:val="auto"/>
        </w:rPr>
      </w:pPr>
      <w:r>
        <w:rPr>
          <w:rFonts w:ascii="Times New Roman" w:cs="Times New Roman" w:eastAsia="Times New Roman" w:hAnsi="Times New Roman"/>
          <w:sz w:val="17"/>
          <w:szCs w:val="17"/>
          <w:color w:val="auto"/>
        </w:rPr>
        <w:t>We also provide beverage and vending services to business &amp; industry clients at thousands of locations. Our service and product offerings include a full range of coffee offerings, “grab and go” food operations, convenience stores, micromarkets and a proprietary drinking water filtration system.</w:t>
      </w:r>
    </w:p>
    <w:p>
      <w:pPr>
        <w:spacing w:after="0" w:line="16" w:lineRule="exact"/>
        <w:rPr>
          <w:sz w:val="20"/>
          <w:szCs w:val="20"/>
          <w:color w:val="auto"/>
        </w:rPr>
      </w:pPr>
    </w:p>
    <w:p>
      <w:pPr>
        <w:ind w:left="340" w:right="100"/>
        <w:spacing w:after="0" w:line="257" w:lineRule="auto"/>
        <w:rPr>
          <w:sz w:val="20"/>
          <w:szCs w:val="20"/>
          <w:color w:val="auto"/>
        </w:rPr>
      </w:pPr>
      <w:r>
        <w:rPr>
          <w:rFonts w:ascii="Times New Roman" w:cs="Times New Roman" w:eastAsia="Times New Roman" w:hAnsi="Times New Roman"/>
          <w:sz w:val="18"/>
          <w:szCs w:val="18"/>
          <w:i w:val="1"/>
          <w:iCs w:val="1"/>
          <w:color w:val="auto"/>
        </w:rPr>
        <w:t>Sports, Leisure &amp; Corrections</w:t>
      </w:r>
      <w:r>
        <w:rPr>
          <w:rFonts w:ascii="Times New Roman" w:cs="Times New Roman" w:eastAsia="Times New Roman" w:hAnsi="Times New Roman"/>
          <w:sz w:val="18"/>
          <w:szCs w:val="18"/>
          <w:color w:val="auto"/>
        </w:rPr>
        <w:t>. We provide concessions, banquet and catering services, retail services and merchandise sales, recreational and lodging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facility management services at sports, entertainment and recreational facilities. We serve various venues for professional (including minor league affiliates) and college sports teams, including 26 teams in Major League Baseball, the National Basketball Association, the National Football League and the National Hockey League, and for approximately 150 college and university teams. We also serve convention and civic centers, national and state parks and other resort operations, plus other popular tourist attractions in the United States. Additionally, we provide correctional food services and operate commissaries, laundry facilities and property rooms.</w:t>
      </w:r>
    </w:p>
    <w:p>
      <w:pPr>
        <w:spacing w:after="0" w:line="47" w:lineRule="exact"/>
        <w:rPr>
          <w:sz w:val="20"/>
          <w:szCs w:val="20"/>
          <w:color w:val="auto"/>
        </w:rPr>
      </w:pPr>
    </w:p>
    <w:p>
      <w:pPr>
        <w:ind w:left="340" w:right="18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Facilities &amp; Other. </w:t>
      </w:r>
      <w:r>
        <w:rPr>
          <w:rFonts w:ascii="Times New Roman" w:cs="Times New Roman" w:eastAsia="Times New Roman" w:hAnsi="Times New Roman"/>
          <w:sz w:val="17"/>
          <w:szCs w:val="17"/>
          <w:color w:val="auto"/>
        </w:rPr>
        <w:t>We provide a variety of support services to approximately 220 client families, which comprise of approximately 500 facilities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services include the management of housekeeping, plant operations and maintenance, energy management, custodial, groundskeeping, landscaping, transportation, capital program management, payment services and other facility consulting services relating to building operations. We also provide procurement services for a number of clients in a variety of industries through our Avendra and other procurement services businesses.</w:t>
      </w:r>
    </w:p>
    <w:p>
      <w:pPr>
        <w:spacing w:after="0" w:line="6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Our FSS International segment provides a similar range of services as those provided to our FSS United States segment clients and operates in each of the sectors. We have operations in 15 countries outside the United States. We also provide our services on a more limited basis in several additional countries and in offshore locations. Our largest international operations are in Canada, Chile, China, Germany, Spain and the United Kingdom. There are particular risks associated with our international operations. Please see Item 1A. “Risk Factors.”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negotiate the pricing and other terms for the majority of our purchases of food and related products in the United States and Canada directly with national manufacturers and suppliers. Due to our ability to negotiate favorable terms with our suppliers, we receive vendor consideration, including volume discounts, rebates and other applicable credits. See “Types of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7" w:lineRule="exact"/>
        <w:rPr>
          <w:sz w:val="20"/>
          <w:szCs w:val="20"/>
          <w:color w:val="auto"/>
        </w:rPr>
      </w:pPr>
    </w:p>
    <w:p>
      <w:pPr>
        <w:ind w:firstLine="8"/>
        <w:spacing w:after="0" w:line="340" w:lineRule="auto"/>
        <w:tabs>
          <w:tab w:leader="none" w:pos="115" w:val="left"/>
        </w:tabs>
        <w:numPr>
          <w:ilvl w:val="0"/>
          <w:numId w:val="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 fiscal 2024, management began reporting healthcare facility services within “Healthcare," whereas healthcare facility services were previously reported within "Facilities &amp; Other." As such, client families and facilities previously included within “Facilities &amp; Other" are now reflected within "Healthcare."</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below. We purchase most products and other items through food service distribution companies, including Sysco Corporation ("Sysco"), US Foods, Performance Food Group and other regional distributors. Sysco is our primary distributor with respect to our food and facilities business, while US Foods is our primary distributor with respect to our procurement services business. Our distributors are responsible for tracking our orders and delivering products to our specific locations. Our location managers also purchase a number of items, including bread, dairy products and alcoholic beverages from local suppliers, and we purchase certain items directly from manufacturers.</w:t>
      </w:r>
    </w:p>
    <w:p>
      <w:pPr>
        <w:spacing w:after="0" w:line="4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terms of our agreements with our distributors vary. Some agreements are for an indefinite term, subject to termination by either party after a notice period, which is generally 60 to 120 days, while others are for a fixed term with termination rights only for cause. The pricing and other financial terms of these agreements are renegotiated periodically.</w:t>
      </w:r>
    </w:p>
    <w:p>
      <w:pPr>
        <w:spacing w:after="0" w:line="5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relationship with Sysco is important to our operations, and we have had distribution agreements in place for over 40 years. We have a master distribution agreement with Sysco that covers a significant amount of our purchases of products and items in the United States and another distribution agreement with Sysco that covers our purchases of products in Canada. In fiscal 2024, Sysco distributed approximately 45% of our food and non-food products in the United States and Canada based on purchase dollars, and we believe that we are one of their largest clients. However, we believe that the products acquired through Sysco can, in significant cases, be purchased through other sources and that termination of our relationship with them or any disruption of their business would cause only short-term disruptions to our operations.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our FSS International segment (other than Canada), our approach to purchasing is substantially similar. On a country-by-country basis, we negotiate pricing and other terms for a majority of our purchases of food and related products with manufacturers and suppliers operating in the applicable country, and we purchase these products and other items through distributors in that country. Due to our ability to negotiate favorable terms with our suppliers, we receive vendor consideration, including volume discounts, rebates and other applicable credits. See “Types of Contracts” below. As in the United States and Canada, our location managers also purchase a number of items, including bread, dairy products and alcoholic beverages from local suppliers, and we purchase certain items directly from manufacturers. Generally, our agreements with our distributors in the FSS International segment are subject to termination by either party after a notice period, which is generally 60 days. The pricing and other financial terms of these agreements are renegotiated periodically.</w:t>
      </w:r>
    </w:p>
    <w:p>
      <w:pPr>
        <w:spacing w:after="0" w:line="5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relationship with distributors in the countries outside the United States and Canada is important to our operations, but from an overall volume standpoint, no distributor outside the United States and Canada distributes a significant volume of products. We believe that products we acquire from our distributors in countries outside the United States and Canada can, in significant cases, be purchased from other sources, and that the termination of our relationships with our distributors outside the United States and Canada, or the disruption of their business operations, would cause only short-term disruption to our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selling and marketing excellence by focusing on optimizing resource allocation and deployment. We target growth by aligning our efforts directly with the sectors and services in which we operate to deliver differentiated and innovative solutions. We have established consistent tools, methodologies and trainings to efficiently support the development of our employees as they work within our individual businesses to help ensure a close connection to the business, their teammates and client partners. One key effort in our approach is identifying and matching individuals at various levels in our organization with individuals in a variety of roles at both existing and potential clients. We believe that these connections throughout various levels within the client organization allow us to develop strong relationships with the client and gain a better understanding of the clients' requirements. Based on the knowledge of the clients' requirements and the sector, our goal is to develop solutions for the client that are unique and that help to differentiate us from our competitors.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Contracts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use contracts with our customers that allow us to manage our potential upside and downside risk in connection with our various business interactions. Our contracts may require that consent be obtained in order to raise prices on the food, beverages and merchandise we sell within a particular facility. The contracts that we enter into vary in length. Contracts generally are for fixed terms, many of which are in excess of one year. Contracts for education and sports and leisure services typically require larger capital investments, but have correspondingly longer fixed terms, usually from five to fifteen years.</w:t>
      </w:r>
    </w:p>
    <w:p>
      <w:pPr>
        <w:spacing w:after="0" w:line="5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When we enter into new contracts, or extend or renew existing contracts, particularly those for stadiums, arenas, convention centers, colleges and universities and business dining accounts, we are sometimes contractually required to make some form of up-front or future investment, which often includes capital expenditures to help finance improvement or renovation, typically to the food and beverage facilities of the venue from which we operate. Contractually required capital expenditures typically take the form of investments in leasehold improvements, equipment and/or grants to clients. At the end of the contract term or upon its earlier termination, assets such as equipment and leasehold improvements typically become the property of the client, but generally the client must reimburse us for any undepreciated or unamortized capital investments.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contracts are generally obtained and renewed either through a competitive process or on a negotiated basis, although contracts in the public sector, including school districts and correctional clients, are frequently awarded on a competitive bid basis, as required by applicable law. Contracts in the private sector may be entered into without a formal bid process, but we and other companies will often compete in the process leading up to the award or the completion of contract negotiations. Typically, after the award, final contract terms are negotiated and agreed upon.</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two general contract types: profit and loss contracts and client interest contracts. These contracts differ in their provision for the amount of financial risk that we bear and, accordingly, the potential compensation, profits or fees we may receive. Payments made to clients and management fees, if any, may vary significantly among contracts based upon various factors, including the type of facility involved, the term of the contract, the services we provide and the amount of capital we invest.</w:t>
      </w:r>
    </w:p>
    <w:p>
      <w:pPr>
        <w:spacing w:after="0" w:line="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Profit and Loss Contracts. </w:t>
      </w:r>
      <w:r>
        <w:rPr>
          <w:rFonts w:ascii="Times New Roman" w:cs="Times New Roman" w:eastAsia="Times New Roman" w:hAnsi="Times New Roman"/>
          <w:sz w:val="18"/>
          <w:szCs w:val="18"/>
          <w:color w:val="auto"/>
        </w:rPr>
        <w:t>Under profit and loss contracts, we receive all revenue from, and bear all expenses of, the provision of our services at a client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Expenses under profit and loss contracts sometimes include payments made to the client, typically calculated as a fixed or variable percentage of various categories of revenue, and, in some cases, require minimum guaranteed payments. We benefit from greater upside potential with a profit and loss contract, although we do consequently bear greater downside risk than with a client interest contract. For fiscal 2024, approximately two-thirds of our revenue was derived from profit and loss contracts.</w:t>
      </w:r>
    </w:p>
    <w:p>
      <w:pPr>
        <w:spacing w:after="0" w:line="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Client Interest Contracts. </w:t>
      </w:r>
      <w:r>
        <w:rPr>
          <w:rFonts w:ascii="Times New Roman" w:cs="Times New Roman" w:eastAsia="Times New Roman" w:hAnsi="Times New Roman"/>
          <w:sz w:val="18"/>
          <w:szCs w:val="18"/>
          <w:color w:val="auto"/>
        </w:rPr>
        <w:t>Client interest contracts include management fee contracts, under which our clients reimburse our operating costs and pay us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client satisfaction surveys. Client interest contracts also include limited profit and loss contracts, under which we receive a percentage of any profits earned from the provision of our services at the facility and we generally receive no payments if there are losses. As discussed above under “Purchasing," we earn vendor consideration, including discounts, rebates and other applicable credits that we typically retain except in those cases where the contract and/or applicable law requires us to credit these to our clients. For our client interest contracts, both our upside potential and downside risk are reduced compared to our profit and loss contracts. For fiscal 2024, approximately one-third of our revenue was derived from client interest contracts.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0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There is significant competition in our business from local, regional, national and international companies, as well as from the businesses, healthcare institutions, senior living facilities, colleges and universities, correctional facilities, school districts and public assembly facilities that decide to provide these services themselves. Institutions may decide to operate their own services or outsource to one of our competitors following the expiration or termination of contracts with us. In our United States segment, our external competitors include other multi-regional food and support service providers, such as Compass Group plc, Delaware North Companies Inc. and Sodexo SA. Internationally, our external food service and support service competitors include Compass Group plc, Elior SA, ISS and Sodexo SA. We also face competition from many regional and local service providers.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competitive factors are the principal drivers of our success:</w:t>
      </w:r>
    </w:p>
    <w:p>
      <w:pPr>
        <w:spacing w:after="0" w:line="9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breadth of services provided;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talent;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within the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strength and stability;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scale.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0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Our revenue and operating results have varied, and we expect them to continue to vary, from quarter to quarter as a result of different factors. Historically, within our FSS United States segment, there has been a lower level of activity during the first half of our fiscal year in operations that provide services to sports and leisure clients. This lower level of activity, historically, has been partially offset during the first half of our fiscal year by the increased activity levels in our educational operations. Conversely, historically there has been a significant increase in the provision of services to sports and leisure clients during the second half of our fiscal year, which is partially offset by the effect of summer recess at colleges, universities and schools in our</w:t>
      </w: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educational operations. For cash flows, historically there has been cash usage during our first fiscal quarter due to lower activity within our sports and leisure clients as well as payments related to employee incentives. Conversely, historically there have been cash inflows during our fourth fiscal quarter due to an inflow of customer prepayments particularly within our Higher Education business in anticipation of the fall semester and higher activity within our sports and leisure clients.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Be Well. Do Well. </w:t>
      </w:r>
      <w:r>
        <w:rPr>
          <w:rFonts w:ascii="Times New Roman" w:cs="Times New Roman" w:eastAsia="Times New Roman" w:hAnsi="Times New Roman"/>
          <w:sz w:val="18"/>
          <w:szCs w:val="18"/>
          <w:b w:val="1"/>
          <w:bCs w:val="1"/>
          <w:color w:val="auto"/>
        </w:rPr>
        <w:t>- Our Environmental, Social and Governance ("ESG") Platform</w:t>
      </w:r>
    </w:p>
    <w:p>
      <w:pPr>
        <w:spacing w:after="0" w:line="1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 Well. Do Well. </w:t>
      </w:r>
      <w:r>
        <w:rPr>
          <w:rFonts w:ascii="Times New Roman" w:cs="Times New Roman" w:eastAsia="Times New Roman" w:hAnsi="Times New Roman"/>
          <w:sz w:val="18"/>
          <w:szCs w:val="18"/>
          <w:color w:val="auto"/>
        </w:rPr>
        <w:t>is Aramark’s ESG platform and directly connects to our mission: Because we’re rooted in service, we do great things for our people,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 our communities, and our planet. As part of this platform, we identified priorities that align with our business objectives, with a focus on efforts to help people and our planet, as we serve our clients, employees, shareholders, and other stakeholders. Our strategic, interconnected people and planet goals convey our priorities and ambitions, focusing our efforts and inspiring our organization. Our people goal is to enable equity and well-being for millions of people, including our employees, customers, communities, and people in our supply chain. The "Human Capital" section below provides examples of this work. Our planet goal is to promote planetary health on our path to net zero greenhouse gas ("GHG") emissions. In 2023, Aramark secured science-based GHG reduction targets validated by the </w:t>
      </w:r>
      <w:r>
        <w:rPr>
          <w:rFonts w:ascii="Times New Roman" w:cs="Times New Roman" w:eastAsia="Times New Roman" w:hAnsi="Times New Roman"/>
          <w:sz w:val="18"/>
          <w:szCs w:val="18"/>
          <w:i w:val="1"/>
          <w:iCs w:val="1"/>
          <w:color w:val="auto"/>
        </w:rPr>
        <w:t>Science Based Targets Initiative</w:t>
      </w:r>
      <w:r>
        <w:rPr>
          <w:rFonts w:ascii="Times New Roman" w:cs="Times New Roman" w:eastAsia="Times New Roman" w:hAnsi="Times New Roman"/>
          <w:sz w:val="18"/>
          <w:szCs w:val="18"/>
          <w:color w:val="auto"/>
        </w:rPr>
        <w:t xml:space="preserve"> ("SBTi"). These targets include near-term targets to significantly reduce emissions in direct operations and supply chain and a commitment to reach net zero GHG emissions across the enterprise by fiscal 2050. We believe that our climate-related work is intended to complement our existing commitments and integrated priorities related to operational efficiency, circularity and responsible sourcing.</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reviews our ESG goals and objectives, supports implementation of our ESG priorities and commitments, and oversees progress which we report in our Be Well. Do Well. Progress Report, the update of which will be released in early calendar 2025. Our reporting aligns with multiple frameworks and standards including the Sustainability Accounting Standards Board (SASB), the Global Reporting Initiative (GRI) and the Task Force on Climate-Related Financial Disclosures (TCFD). Aramark also submits a disclosure annually to CDP’s (formerly the Carbon Disclosure Project) climate and forest questionnaires, with responses available publicly. You can read more about Be Well. Do Well. and broader programs and initiatives on our website (www.aramark.com/environmental-social-governance). Nothing on our website shall be deemed incorporated by reference into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company focused on delivering food and facilities services in thousands of client locations across 16 countries, our human capital is material to our operations and core to the long-term success of Aramark.</w:t>
      </w:r>
    </w:p>
    <w:p>
      <w:pPr>
        <w:spacing w:after="0" w:line="3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People. </w:t>
      </w:r>
      <w:r>
        <w:rPr>
          <w:rFonts w:ascii="Times New Roman" w:cs="Times New Roman" w:eastAsia="Times New Roman" w:hAnsi="Times New Roman"/>
          <w:sz w:val="18"/>
          <w:szCs w:val="18"/>
          <w:color w:val="auto"/>
        </w:rPr>
        <w:t>As of September 27, 2024, we had a total of approximately 266,680 employees, including approximately 140,970 employees in FSS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125,250 employees in FSS International and 460 employees in Aramark corporate staff. This total consists of approximately 27,160 management or salaried employees and approximately 239,520 frontline or hourly employees. The number of frontline or hourly employees fluctuates significantly through the course of the year due to the seasonal nature of some of our business and other operating requirements. We generally experience our highest level of employment during the fourth fiscal quarter. As of September 27, 2024, approximately 38,000 employees in our United States and Canadian operations were covered by collective bargaining agreements. We have experienced no material interruptions of operations due to disputes with our employees.</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Diversity, Equity and Inclusion. </w:t>
      </w:r>
      <w:r>
        <w:rPr>
          <w:rFonts w:ascii="Times New Roman" w:cs="Times New Roman" w:eastAsia="Times New Roman" w:hAnsi="Times New Roman"/>
          <w:sz w:val="18"/>
          <w:szCs w:val="18"/>
          <w:color w:val="auto"/>
        </w:rPr>
        <w:t>As a result of being rooted in service, we do great things for our people, our partners, our communities and our planet.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that it is vital to align our diversity, equity and inclusion priorities with our business strategy. As of September 27, 2024, our active United States employee base reflected the following gender, racial and ethnic demographic information: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80" w:type="dxa"/>
            <w:vAlign w:val="bottom"/>
          </w:tcPr>
          <w:p>
            <w:pPr>
              <w:spacing w:after="0"/>
              <w:rPr>
                <w:sz w:val="16"/>
                <w:szCs w:val="16"/>
                <w:color w:val="auto"/>
              </w:rPr>
            </w:pPr>
          </w:p>
        </w:tc>
        <w:tc>
          <w:tcPr>
            <w:tcW w:w="98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Male</w:t>
            </w:r>
          </w:p>
        </w:tc>
        <w:tc>
          <w:tcPr>
            <w:tcW w:w="8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80" w:type="dxa"/>
            <w:vAlign w:val="bottom"/>
          </w:tcPr>
          <w:p>
            <w:pPr>
              <w:spacing w:after="0"/>
              <w:rPr>
                <w:sz w:val="16"/>
                <w:szCs w:val="16"/>
                <w:color w:val="auto"/>
              </w:rPr>
            </w:pPr>
          </w:p>
        </w:tc>
        <w:tc>
          <w:tcPr>
            <w:tcW w:w="10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White</w:t>
            </w:r>
          </w:p>
        </w:tc>
        <w:tc>
          <w:tcPr>
            <w:tcW w:w="8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Diverse</w:t>
            </w:r>
          </w:p>
        </w:tc>
        <w:tc>
          <w:tcPr>
            <w:tcW w:w="80" w:type="dxa"/>
            <w:vAlign w:val="bottom"/>
          </w:tcPr>
          <w:p>
            <w:pPr>
              <w:spacing w:after="0"/>
              <w:rPr>
                <w:sz w:val="16"/>
                <w:szCs w:val="16"/>
                <w:color w:val="auto"/>
              </w:rPr>
            </w:pPr>
          </w:p>
        </w:tc>
        <w:tc>
          <w:tcPr>
            <w:tcW w:w="9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Black</w:t>
            </w:r>
          </w:p>
        </w:tc>
        <w:tc>
          <w:tcPr>
            <w:tcW w:w="10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Hispanic</w:t>
            </w:r>
          </w:p>
        </w:tc>
        <w:tc>
          <w:tcPr>
            <w:tcW w:w="8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Asian</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American</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Pacific</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 or more</w:t>
            </w:r>
          </w:p>
        </w:tc>
        <w:tc>
          <w:tcPr>
            <w:tcW w:w="0" w:type="dxa"/>
            <w:vAlign w:val="bottom"/>
          </w:tcPr>
          <w:p>
            <w:pPr>
              <w:spacing w:after="0"/>
              <w:rPr>
                <w:sz w:val="1"/>
                <w:szCs w:val="1"/>
                <w:color w:val="auto"/>
              </w:rPr>
            </w:pPr>
          </w:p>
        </w:tc>
      </w:tr>
      <w:tr>
        <w:trPr>
          <w:trHeight w:val="214"/>
        </w:trPr>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Employee Population</w:t>
            </w:r>
          </w:p>
        </w:tc>
        <w:tc>
          <w:tcPr>
            <w:tcW w:w="8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Indian</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Islander</w:t>
            </w: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races</w:t>
            </w:r>
          </w:p>
        </w:tc>
        <w:tc>
          <w:tcPr>
            <w:tcW w:w="0" w:type="dxa"/>
            <w:vAlign w:val="bottom"/>
          </w:tcPr>
          <w:p>
            <w:pPr>
              <w:spacing w:after="0"/>
              <w:rPr>
                <w:sz w:val="1"/>
                <w:szCs w:val="1"/>
                <w:color w:val="auto"/>
              </w:rPr>
            </w:pPr>
          </w:p>
        </w:tc>
      </w:tr>
      <w:tr>
        <w:trPr>
          <w:trHeight w:val="211"/>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43.37 %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56.63 %</w:t>
            </w:r>
          </w:p>
        </w:tc>
        <w:tc>
          <w:tcPr>
            <w:tcW w:w="80" w:type="dxa"/>
            <w:vAlign w:val="bottom"/>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39.31 %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60.69 %</w:t>
            </w:r>
          </w:p>
        </w:tc>
        <w:tc>
          <w:tcPr>
            <w:tcW w:w="80" w:type="dxa"/>
            <w:vAlign w:val="bottom"/>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30.47 %</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20.20 %</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6.42 %</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0.71 %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2.62 %</w:t>
            </w:r>
          </w:p>
        </w:tc>
        <w:tc>
          <w:tcPr>
            <w:tcW w:w="0" w:type="dxa"/>
            <w:vAlign w:val="bottom"/>
          </w:tcPr>
          <w:p>
            <w:pPr>
              <w:spacing w:after="0"/>
              <w:rPr>
                <w:sz w:val="1"/>
                <w:szCs w:val="1"/>
                <w:color w:val="auto"/>
              </w:rPr>
            </w:pPr>
          </w:p>
        </w:tc>
      </w:tr>
      <w:tr>
        <w:trPr>
          <w:trHeight w:val="210"/>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Hourly Employees</w:t>
            </w:r>
          </w:p>
        </w:tc>
        <w:tc>
          <w:tcPr>
            <w:tcW w:w="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42.61 %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57.39 %</w:t>
            </w:r>
          </w:p>
        </w:tc>
        <w:tc>
          <w:tcPr>
            <w:tcW w:w="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36.19 %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63.81 %</w:t>
            </w:r>
          </w:p>
        </w:tc>
        <w:tc>
          <w:tcPr>
            <w:tcW w:w="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32.21 %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21.20 %</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6.73 %</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0.72 %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2.67 %</w:t>
            </w:r>
          </w:p>
        </w:tc>
        <w:tc>
          <w:tcPr>
            <w:tcW w:w="0" w:type="dxa"/>
            <w:vAlign w:val="bottom"/>
          </w:tcPr>
          <w:p>
            <w:pPr>
              <w:spacing w:after="0"/>
              <w:rPr>
                <w:sz w:val="1"/>
                <w:szCs w:val="1"/>
                <w:color w:val="auto"/>
              </w:rPr>
            </w:pPr>
          </w:p>
        </w:tc>
      </w:tr>
      <w:tr>
        <w:trPr>
          <w:trHeight w:val="222"/>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Salaried Employees</w:t>
            </w:r>
          </w:p>
        </w:tc>
        <w:tc>
          <w:tcPr>
            <w:tcW w:w="80" w:type="dxa"/>
            <w:vAlign w:val="bottom"/>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49.55 %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50.45 %</w:t>
            </w:r>
          </w:p>
        </w:tc>
        <w:tc>
          <w:tcPr>
            <w:tcW w:w="80" w:type="dxa"/>
            <w:vAlign w:val="bottom"/>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64.67 %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35.33 %</w:t>
            </w:r>
          </w:p>
        </w:tc>
        <w:tc>
          <w:tcPr>
            <w:tcW w:w="80" w:type="dxa"/>
            <w:vAlign w:val="bottom"/>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16.25 %</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12.09 %</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3.90 %</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0.63 %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As of September 27, 2024, 40% of our Board of Directors and 57% of our CEO's direct reports were female. Continuing to increase diversity in executive and all levels of the leadership pipeline remains an organizational priority for the coming years. In fiscal 2024, consistent with fiscal 2023, we established ESG goals for our executive leadership team reflective of this priority, and we continue to make advancements toward these goals. We have 11 active employee resource groups, supporting women, racially and ethnically diverse employees, the LGBTQ+ community, veterans, individuals with disabilities, interfaith community, and dietitians and other health and wellness professionals. These groups have 54 local hubs across the United States and international markets and play a key role in creating a culture of inclusion. For 2024, Aramark ranked #29 on Fair360's (formerly DiversityInc) 2024 Top 50 Companies list, up 11 spots from 2023. This is the eighth consecutive year Aramark appeared on the Top 50 list. For the first time, we were also ranked on the Top Companies for Black Executives list by Fair360. Aramark was also named one of the "Best Places to Work for Disability Inclusion," for the eight consecutive year, by the 2024 Disability Equality Index®, earning a top score of 100%.</w:t>
      </w:r>
    </w:p>
    <w:p>
      <w:pPr>
        <w:spacing w:after="0" w:line="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Talent Acquisition, Development and Retention. </w:t>
      </w:r>
      <w:r>
        <w:rPr>
          <w:rFonts w:ascii="Times New Roman" w:cs="Times New Roman" w:eastAsia="Times New Roman" w:hAnsi="Times New Roman"/>
          <w:sz w:val="18"/>
          <w:szCs w:val="18"/>
          <w:color w:val="auto"/>
        </w:rPr>
        <w:t>Hiring, developing and retaining employees is critically important to our operations and we are focused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creating experiences and programs that foster growth, performance and retention. Acquiring the right talent at speed and scale is a core capability that we regularly monitor and manage, given the need to rapidly staff our frontline operations. As an example, in our FSS United States segment, in fiscal 2024, we hired over 93,000 new employees, compared to approximately 100,000 in fiscal 2023, made up of 96% hourly employees and 4% salaried employees. We sponsor numerous training, education and leadership development programs for our employees, from hourly associates to upper levels of management, designed to enhance leadership and managerial capability, ensure quality execution of our programs, drive client satisfaction and increase return on investment.</w:t>
      </w:r>
    </w:p>
    <w:p>
      <w:pPr>
        <w:spacing w:after="0" w:line="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Engagement. </w:t>
      </w:r>
      <w:r>
        <w:rPr>
          <w:rFonts w:ascii="Times New Roman" w:cs="Times New Roman" w:eastAsia="Times New Roman" w:hAnsi="Times New Roman"/>
          <w:sz w:val="18"/>
          <w:szCs w:val="18"/>
          <w:color w:val="auto"/>
        </w:rPr>
        <w:t>Through our Aramark Building Community initiative, we create meaningful opportunities to engage and focus resources locally.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fiscal 2024, over 9,000 employees volunteered to host and participate in 475 service projects supporting more than 1,000 nonprofit organizations. These efforts benefited community members in 234 cities across 12 countries worldwide. As an example of these projects, members from all of Aramark's 11 employee resource groups mobilized to provide 3,890 backpacks with school supplies to students in 30 communities globally.</w:t>
      </w:r>
    </w:p>
    <w:p>
      <w:pPr>
        <w:spacing w:after="0" w:line="5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Benefits, Safety and Wellness. </w:t>
      </w:r>
      <w:r>
        <w:rPr>
          <w:rFonts w:ascii="Times New Roman" w:cs="Times New Roman" w:eastAsia="Times New Roman" w:hAnsi="Times New Roman"/>
          <w:sz w:val="18"/>
          <w:szCs w:val="18"/>
          <w:color w:val="auto"/>
        </w:rPr>
        <w:t>In addition to offering market competitive salaries and wages, we offer comprehensive health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retirement benefits to eligible employees. Our core health and welfare benefits are supplemented with specific programs to manage or improve common health conditions, a variety of voluntary benefits and paid time away from work programs. We also provide a number of innovative programs designed to promote physical, emotional and financial well-being. Our commitment to the safety of our employees and a “zero harm” culture, continues to be a top priority, and through Aramark SAFE, our global safety management system, we empower our employees to identify, evaluate and manage risk throughout our locations.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subject to various federal, state, international, national, provincial and local laws and regulations, in areas such as environmental, labor, employment, immigration, privacy and data security, tax codes, health and safety laws and liquor licensing and dram shop matters. In addition, our facilities and products are subject to periodic inspection by federal, state, local and international authorities. We have established, and periodically update, various internal controls and procedures designed to maintain compliance with applicable laws and regulations. Our compliance programs are subject to legislative changes, or changes in regulatory interpretation, implementation or enforcement. From time to time both federal and state government agencies have conducted audits of certain of our practices as part of routine inquiries of providers of services under government contracts, or otherwise. Like others in our business, we receive requests for information from governmental agencies in connection with these audits. If we fail to comply with applicable laws, we may be subject to investigations, criminal sanctions or civil remedies, including fines, penalties, damages, reimbursement, injunctions, seizures, disgorgements, debarments from government contracts or loss of liquor licenses.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subject to various laws and regulations, including, but not limited to, those governing:</w:t>
      </w:r>
    </w:p>
    <w:p>
      <w:pPr>
        <w:spacing w:after="0" w:line="9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alcohol licensing and service;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of sales and other taxes;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wage, overtime, classification, wage payment and employment discrimination;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funded entitlement programs and cost and accounting principles;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whistleblowers and consumer protection;</w:t>
      </w:r>
    </w:p>
    <w:p>
      <w:pPr>
        <w:spacing w:after="0" w:line="9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protection and environmental sustainability matters such as packaging and waste, greenhouse gas emissions, animal health and welfare, deforestation and land use;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sanitation, labeling and human health and safety;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and import and export controls;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the U.K. Bribery Act and other anti-corruption laws;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competition, procurement and lobbying;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minority, women and disadvantaged business enterprise statutes;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 carrier safety;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w:t>
      </w:r>
    </w:p>
    <w:p>
      <w:pPr>
        <w:spacing w:after="0" w:line="10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laws and regulations relating to our business are numerous and complex. There are a variety of laws and regulations at various governmental levels relating to the handling, preparation, transportation and serving of food, including in some cases requirements relating to the temperature of food, the cleanliness of food production facilities and the hygiene of food-handling personnel, which are enforced primarily at the local public health department level. While we attempt to comply with applicable laws and regulations, there can be no assurance that we are in full compliance at all times with all of the applicable laws and regulations or that we will be able to comply with any future laws and regulations. Furthermore, legislation and regulatory attention to food safety is very high. Additional or amended regulations in this area may significantly increase the cost of compliance or expose us to liability.</w:t>
      </w:r>
    </w:p>
    <w:p>
      <w:pPr>
        <w:spacing w:after="0" w:line="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various government agencies impose nutritional guidelines and other requirements on us at certain of the healthcare, senior living, education and corrections facilities we serve. We may also be subject to laws and regulations that limit or restrict the use of trans fats in the food we serve or other requirements relating to ingredient or nutrient labeling. There can be no assurance that legislation, or changes in regulatory implementation or interpretation of government regulations, would not limit our activities in the future or significantly increase the cost of regulatory compliance.</w:t>
      </w:r>
    </w:p>
    <w:p>
      <w:pPr>
        <w:spacing w:after="0" w:line="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we serve alcoholic beverages at many sports, entertainment and recreational facilities, including convention centers, college stadiums, and national and state parks, we also hold liquor licenses incidental to our food service operations and are subject to the liquor license requirements of the jurisdictions in which we hold a liquor license. As of September 27, 2024, our subsidiaries held liquor licenses in 43 states and the District of Columbia, 3 Canadian provinces and certain other countries. Typically, liquor licenses must be renewed annually and may be revoked or suspended for cause at any time. Alcoholic beverage control regulations relate to numerous aspects of our operations, including minimum age of patrons and employees, hours of operation, advertising, wholesale purchasing, inventory control and handling and storage, dispensing and service of alcoholic beverages. While we have not encountered any material problems relating to liquor licenses to date, the failure to receive or retain a liquor license in a particular location could adversely affect our ability to obtain such a license elsewhere.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 Our service of alcoholic beverages is also subject to alcoholic beverage service laws, commonly called dram shop statutes. Dram shop statutes generally prohibit serving alcoholic beverages to certain persons such as minors or visibly intoxicated persons. If we violate dram shop laws, we may be liable to the patron and/or to third parties for the acts of the visibly intoxicated patron. We sponsor regular training programs designed to minimize the likelihood of such a situation and to take advantage of certain safe harbors and affirmative defenses enacted for the benefit of alcoholic beverage service providers. However, we cannot guarantee that intoxicated or minor patrons will not be served or that liability for their acts will not be imposed on us.</w:t>
      </w:r>
    </w:p>
    <w:p>
      <w:pPr>
        <w:spacing w:after="0" w:line="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are subject to various environmental protection laws and regulations, including the United States Federal Clean Water Act, Clean Air Act, Resource Conservation and Recovery Act, Comprehensive Environmental Response, Compensation, and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Liability Act and similar federal, state, local and international statutes and regulations governing the use, management and disposal of chemicals and hazardous materials. We own or operate aboveground and underground storage tank systems at some locations to store petroleum products for use in our or our clients' operations. Certain of these storage tank systems also are subject to performance standards, periodic monitoring and recordkeeping requirements. We also may use and manage chemicals and hazardous materials in our operations from time to time. We are mindful of the environmental concerns surrounding the use, management, shipping and disposal of these chemicals and hazardous materials, and have taken and continue to take measures to comply with environmental protection laws and regulations. Given the regulated nature of some of our operations, we could face penalties and fines for non-compliance. In the past, we have settled, or contributed to the settlement of, actions or claims relating to the management of underground storage tanks and the handling and disposal of chemicals or hazardous materials, either on or off-site. We may, in the future, be required to expend material amounts to rectify the consequences of any such events. Under environmental laws, we may be liable for the costs of removal or remediation of certain hazardous materials located on or in or migrating from our owned or leased property or our clients' properties, as well as related costs of investigation and property damage. Such laws may impose liability without regard to our fault, knowledge or responsibility for the presence of such hazardous substances. We may not know whether our clients' properties or our acquired or leased properties have been operated in compliance with environmental laws and regulations or that our future uses or conditions will not result in the imposition of liability upon us under such laws or expose us to third-party actions such as tort suits. As of September 27, 2024, we do not anticipate any expenditures for environmental remediation that would have a material effect on our financial condition.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have the patents, trademarks, trade names and licenses that are necessary for the operation of our business. Other than the Aramark brand, which includes our corporate starperson logo design, the Aramark word mark (our name) and the Avendra brand, we do not consider our patents, trademarks, trade names and licenses to be material to the operation of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as well as other information with the SEC. These filings are available to the public over the internet at the SEC's website at www.sec.gov.</w:t>
      </w:r>
    </w:p>
    <w:p>
      <w:pPr>
        <w:spacing w:after="0" w:line="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principal internet address is www.aramark.com. We make available free of charge on www.aramark.com our annual, quarterly and current reports, and amendments to those reports, as soon as reasonably practicable after we electronically file such material with, or furnish it to, the SEC.</w:t>
      </w:r>
    </w:p>
    <w:p>
      <w:pPr>
        <w:spacing w:after="0" w:line="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Business Conduct Policy includes a code of ethics for our principal executive officer, our principal financial officer and our principal accounting officer and applies to all of our employees and non-employee directors. Our Business Conduct Policy is available on the Investor Relations section of our website at www.aramark.com and is available in print to any person who requests it by writing or telephoning us at the address or telephone number set forth below.</w:t>
      </w:r>
    </w:p>
    <w:p>
      <w:pPr>
        <w:spacing w:after="0" w:line="4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 may request a copy of our SEC filings (excluding exhibits) and our Business Conduct Policy at no cost by writing or telephoning us at the following address or telephone number:</w:t>
      </w:r>
    </w:p>
    <w:p>
      <w:pPr>
        <w:spacing w:after="0" w:line="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Aramark</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2400 Market Street</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Telephone: (215) 238-3000</w:t>
      </w:r>
    </w:p>
    <w:p>
      <w:pPr>
        <w:spacing w:after="0" w:line="9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references to our website and the SEC's website are intended to be inactive textual references only and the contents of those websites are not incorporated by reference herein.</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Economic and External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economic conditions have, and in the future could, adversely affect our results of operations and financial condition.</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National and international economic downturns have, and in the future could, reduce demand for our services in each of our reportable segments, resulting in the loss of business or increased pressure to contract for business on less favorable terms than our generally preferred terms. Economic downturns that impact our financial condition may be caused by inflation, supply chain disruptions, geopolitics, global energy shortages, major central bank policy actions including interest rate increases, public health crises, or other factors. Economic hardship in our client base has also impacted and may continue to impact our business. For example, in early stages of the COVID-19 pandemic, or in the period of economic distress following the financial crisis of 2008, certain of our businesses were negatively affected by reduced employment levels at our clients’ locations and declining levels of business and customer spending. In addition, financial distress and insolvency experienced by clients, especially larger clients, has in the past made it difficult and in the future could make it difficult for us to collect amounts we are owed and could result in the voiding or modification of existing contracts. For example, in response to the changed circumstances caused by shutdowns at the beginning of the COVID-19 pandemic, we worked with clients to renegotiate contracts and financial structures in order to mitigate lost revenues caused by partial or full closure of client premises. Similarly, financial distress or insolvency, if experienced by our key vendors and service providers such as insurance carriers, could significantly increase our costs.</w:t>
      </w:r>
    </w:p>
    <w:p>
      <w:pPr>
        <w:spacing w:after="0" w:line="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portion of our business that provides services in facilities such as convention centers and tourist and recreational attractions is particularly sensitive to an economic downturn, as expenditures to take vacations or hold or attend conventions are funded to a partial or total extent by discretionary income. A decrease in such discretionary income on the part of potential attendees at our clients' facilities has in the past resulted in, and in the future could result in, a reduction in our revenue. Further, because our exposure to the ultimate customer of what we provide is limited by our dependence on our clients to attract those customers to their facilities and events, our ability to respond to such a reduction in attendance, and therefore our revenue, is limited. There are many factors that could reduce the number of events in a facility, attendance at an event or decrease attendees’ discretionary income, including pandemics and other health crises, labor disruptions involving sports leagues, poor performance by the teams playing in a facility, number of playoff games, short-term weather conditions or more prolonged climate change-related conditions and adverse economic conditions which would adversely affect revenue and profits.</w:t>
      </w:r>
    </w:p>
    <w:p>
      <w:pPr>
        <w:spacing w:after="0" w:line="6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global calamities, climate change, political unrest, geopolitical conflicts, energy shortages, sports strikes and other adverse incidents beyond our control could adversely affect our revenue and operating results.</w:t>
      </w:r>
    </w:p>
    <w:p>
      <w:pPr>
        <w:spacing w:after="0" w:line="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Natural disasters, including hurricanes, earthquakes and droughts, global calamities, pandemics and other public health crises, or political unrest and global conflicts, have affected, and in the future could affect, our revenue and operating results. In the past, due to more geographically isolated natural disasters, such as wildfires in the western United States and hurricanes and extreme cold conditions in the southern United States, we experienced lost and closed client locations, business disruptions and delays, the loss of inventory and other assets, asset impairments and the effect of the temporary conversion of a number of our client locations to provide food and shelter to those left homeless by storms. The acute and chronic effects of global climate change, including the increasing frequency and severity of extreme weather, changing precipitation patterns and rising mean temperatures may result in supply chain and other business disruptions. Climate change may also impact the availability and costs of water, food or other resources or commodities that could adversely affect our ability to deliver services.</w:t>
      </w:r>
    </w:p>
    <w:p>
      <w:pPr>
        <w:spacing w:after="0" w:line="5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addition, political unrest and global conflicts have disrupted, and in the future may continue to disrupt, global supply chains and heighten volatility and disruption of global financial markets. For example, while we do not have direct operations within Russia or Ukraine, the conflict involving these nations has triggered inflation in our costs and may increase our risk of cyberattacks. We also do not have direct operations in the Middle East, but the ongoing Israel-Hamas War and escalating tensions in the region may disrupt global markets and impact our supply chain. The impact of these global events on our longer-term operational and financial performance will depend on future developments, our response and governmental response to inflation and the duration and severity of such conflicts. Any terrorist attacks or incidents prompted by political unrest, particularly at venues that we serve, and the national and global military, diplomatic and financial response to such attacks or other threats, also may adversely affect our revenue and operating results. Sports strikes, particularly those that persist for an extended time period, can reduce our revenue and have an adverse impact on our results of operations. Any decrease in the number of games played, or the occurrence of games with limited or no fans attending, has resulted in, and would in the future result in a loss of revenue and reduced profits at the venues we service.</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9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retain our current clients, renew our existing client contracts on comparable terms and obtain new client contracts on expected terms could adversely affect our business.</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on our ability to retain our current clients, renew our existing client contracts and obtain new business on commercially-favorable terms. Our ability to do so generally depends on a variety of factors, including the quality, price and responsiveness of our services, as well as our ability to market these services effectively and differentiate ourselves from our competitors. In addition, clients are increasingly focused on and requiring us to make commitments, set targets and meet standards related to environmental sustainability matters, such as waste management, greenhouse gas emissions, including lower-carbon food offerings, animal health and welfare, deforestation and land use. Our ability to retain clients may depend in part on the effectiveness of our response to these expectations. When we renew existing client contracts, it is often on terms that are less favorable or less profitable for us than the initial contract terms. In addition, we typically incur substantial start-up and operating costs and experience lower profit margin and operating cash flows in connection with the establishment of new business, and in periods with higher rates of new business, we have experienced and expect to continue to experience negative impact to our profit margin and our cash flows. There can be no assurance that we will be able to obtain new business, renew existing client contracts at the same or higher levels of pricing or that our current clients will not turn to competitors, cease operations, elect to self-operate or terminate contracts with us. These risks may be exacerbated by the current economic environment, due to, among other things, increased cost pressure at our clients, tight labor markets and heightened competition. In addition, consolidation by our clients in the industries we serve could result in our losing business if the combined entity chooses a different provider. The failure to renew a significant number of our existing contracts, including on the same or more favorable terms, or the significant failure to recoup start-up expenses in expected amounts and timeframes for our new business contracts would have a material adverse effect on our business and results of operations and the failure to obtain new business could have an adverse impact on our growth and financial results.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if clients reduce their outsourcing or use of preferred vendors.</w:t>
      </w:r>
    </w:p>
    <w:p>
      <w:pPr>
        <w:spacing w:after="0" w:line="94"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Our business and growth strategies depend in large part on the continuation of a movement toward outsourcing services. Clients will outsource if they perceive that outsourcing may provide quality services at a lower overall cost and permit them to focus on their core business activities. We cannot be certain this trend will continue or not be reversed or that clients that have outsourced functions will not decide to perform these functions themselves.</w:t>
      </w:r>
    </w:p>
    <w:p>
      <w:pPr>
        <w:spacing w:after="0" w:line="3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labor unions representing employees of some of our current and prospective clients have occasionally opposed the outsourcing trend as they believed that current union jobs for their memberships might be lost. In these cases, unions typically seek to prevent public sector entities from outsourcing and if that fails, ensure that jobs that are outsourced continue to be unionized, which can reduce our pricing and operational flexibility with respect to such businesses.</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also identified a preference among some of our clients towards the retention of a limited number of preferred vendors to provide all or a large part of their required services. We cannot be certain this dynamic will continue or not be reversed or, if it does continue, that we will be selected and retained as a preferred vendor to provide these services. Unfavorable developments with respect to either outsourcing or the use of preferred vendors could have a material adverse effect on our business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industries could adversely affect our results of operations.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is significant competition in the food and support services business from local, regional, national and international companies, of varying sizes, many of which have substantial financial resources. Our ability to successfully compete depends on our ability to provide quality services at a reasonable price and to provide value to our clients and customers. Our competitors have been and may in the future be willing to underbid us or accept a lower profit margin or expend more capital in order to obtain or retain business. Also, certain regional and local service providers may be better established than we are within a specific geographic region. In addition, existing or potential clients may elect to self-operate their food and support services, eliminating the opportunity for us to serve them or compete for the account. We may also face increased competition from offsite food delivery at our clients as online restaurant aggregators and similar businesses, as well as other providers with potentially disruptive business models, have been successful at applying technology developments to local food service. If we fail to implement emerging technologies as quickly and efficiently as our competitors, we may lose clients. While we have a significant international presence, certain competitors have more extensive portfolios of services and a broader geographic footprint than we do. Therefore, we may be placed at a competitive disadvantage for clients who require multiservice or multinational bids.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operating costs and obstacles to cost recovery due to the pricing and cancellation terms of our contracts may constrain our ability to make a profit.</w:t>
      </w:r>
    </w:p>
    <w:p>
      <w:pPr>
        <w:spacing w:after="0" w:line="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profitability can be adversely affected to the extent we are faced with cost increases for food, wages, other labor related expenses (including workers' compensation, state unemployment insurance and federal or state mandated health benefits and other healthcare costs), insurance, fuel, utilities, service and small wares, transportation, shipping, clothing and equipment, especially to the extent we are unable to recover such increased costs through increases in prices for our products and services due to general economic conditions, inflationary pressures, supply chain disruptions, tariffs, competitive conditions or contractual provisions in our client contracts. For example, when federal, state, foreign or local minimum wage rates increase, we may have to increase the wages of both minimum wage employees and employees whose wages are above the minimum wage. We may also face increased operating costs resulting from changes in federal, state or local laws and regulations relating to employment matters, including those relating to the classification of employees, pay transparency, employee eligibility for overtime and secure scheduling requirements, which often incorporate a premium pay mandate for scheduling deviations. Oil and natural gas prices have fluctuated significantly in the last several years, which has increased the cost of fuel and utilities. From time to time, we have experienced increases in our food costs. Food prices can fluctuate as a result of permanent or temporary changes in supply, including as a result of incidences of severe weather such as droughts, heavy rains and late freezes or climate change, natural disasters or pandemics, geopolitical conflicts or to the extent we are unable to negotiate favorable terms on volume discounts, rebates or other applicable credits with our suppliers. Increasing demands from clients, customers and other stakeholders relating to sustainability, including that we set reduced emissions, waste and other sustainability targets and</w:t>
      </w:r>
    </w:p>
    <w:p>
      <w:pPr>
        <w:spacing w:after="0" w:line="1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take actions to meet them, also could result in increased costs for business. We have two main types of contracts: profit and loss contracts in which we bear all of the expenses of the contract but gain the benefit of the revenue, and client interest contracts in which our clients share some or all of the expenses and gain some or all of the revenue. Approximately two-thirds of our revenue in fiscal 2024 is from profit and loss contracts under which we have limited ability to pass on cost increases to our clients. Therefore, absent our ability to negotiate contractual changes, including pricing, we may have to absorb cost increases, which may adversely impact our operating results.</w:t>
      </w:r>
    </w:p>
    <w:p>
      <w:pPr>
        <w:spacing w:after="0" w:line="4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amount of risk that we bear and our profit potential vary depending on the type of contract under which we provide food and support services. We may be unable to fully recover costs on contracts that limit our ability to increase prices. In addition, we provide many of our services under contracts of indefinite term, which are subject to termination on short notice by either party without cause. Some of our contracts contain minimum guaranteed remittances to our client regardless of our revenue or profit at the facility, typically contingent on certain future events. If revenue does not exceed costs under a contract that contains minimum guaranteed payments, we will bear any losses which are incurred, as well as the guaranteed payment. Generally, our contracts also limit our ability to raise prices on the food, beverages and merchandise we sell within a particular facility without the client's consent. In addition, some of our contracts exclude certain events or products from the scope of the contract, or give the client the right to modify the terms under which we may operate at certain events. Guaranteed payments or other guaranteed amounts to a client under a profit and loss contract that is not profitable, the refusal by individual clients to permit the sale of some products at their venues, the imposition by clients of limits on prices which are not economically feasible for us, or decisions by clients to curtail their use of the services we provide could adversely affect our revenue and results of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faces risks that could have an effect on our results of operations and financial condition.</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significant portion of our revenue is derived from international business. During fiscal 2024, approximately 28% of our revenue was generated outside of the United States. We currently have a presence in 15 countries outside of the United States with approximately 125,250 personnel. We also provide our services on a more limited basis in several additional countries and in offshore locations. Our international operations are subject to risks, including the requirement to comply with changing, conflicting and unclear national and local regulatory requirements; compliance with the Foreign Corrupt Practices Act, U.K. Bribery Act and other anti-corruption law compliance matters, as well as cybersecurity, data protection, corporate sustainability reporting and supply chain laws; potential difficulties in staffing and labor disputes; differing local labor laws; managing and obtaining support and distribution for local operations; credit risk or financial condition of local clients; potential imposition of restrictions on investments; potentially adverse tax consequences, including imposition or increase of withholding, VAT and other taxes on remittances and other payments by subsidiaries; foreign exchange controls; energy shortages; local political and social conditions; geopolitical tensions, including, for example, tensions between the United States and China or overall global volatility; and the ability to comply with terms of government assistance programs. In addition, the operating results of our non-United States subsidiaries are translated into United States dollars and those results are affected by movements in foreign currencies relative to the United States dollar. Unfavorable fluctuations in foreign currency exchange rates have had, and could in the future continue to have, an adverse effect on our results of operations.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Local labor and employment laws in countries outside of the United States can make it more difficult and costly to reduce labor costs in connection with decreases in demand for our services.</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explore and consider opportunities to develop our business in emerging countries over the long term. Emerging international operations present several additional risks, including greater fluctuation in currencies relative to the United States dollar, economic and governmental instability, civil disturbances, volatility in gross domestic production, and nationalization and expropriation of private assets.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foregoing factors will not have a material adverse effect on our international operations or on our consolidated financial condition and results of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suppliers, service providers and subcontractors could adversely affect our results of operations.</w:t>
      </w:r>
    </w:p>
    <w:p>
      <w:pPr>
        <w:spacing w:after="0" w:line="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raw materials we use in our business and the finished products we sell are sourced from a wide variety of domestic and international suppliers. We seek to require our suppliers, service providers and subcontractors to comply with applicable laws and otherwise be certified as meeting our supplier standards of conduct. In addition, client, customer and other stakeholder expectations regarding environmental, social and governance considerations for suppliers are increasing and otherwise evolving. Our ability to find qualified suppliers who meet our standards, including with respect to requirements around sustainably-sourced food and other products; human rights; and to access raw materials and finished products in a timely and efficient manner is a challenge, especially with respect to suppliers located and goods sourced outside the United States and other countries in which we operate. Insolvency or business disruption experienced by suppliers could make it difficult for us to source the items we need to run our business. Political and economic stability in the countries in which foreign suppliers are located, the financial stability of suppliers, suppliers' failure to meet our standards, labor problems experienced by our suppliers, the availability of raw materials and labor to suppliers, cybersecurity issues, currency exchange rates, transport availability and cost, tariffs, inflation and other factors relating to the suppliers and the countries in which they are located are beyond our control. For example, global supply chain disruptions caused by global events, such as the Russian/Ukraine conflict have resulted, and may continue to result, in delivery delays as well as lower fill rates and higher substitution rates for a wide-range of products. While we have continued to modify our business model in response to the current environment, including proactively managing inflation and global supply chain disruption, through supply chain initiatives and by implementing pricing pass-throughs, as appropriate, to cover incremental costs, there is no guarantee that we will be able to continue to do so successfully or on comparable terms in the future if supply chain disruptions continue or worsen. In addition, domestic foreign trade policies, tariffs and other impositions on imported goods, trade sanctions imposed on certain countries, the limitation on the importation of certain types of goods or of goods containing certain materials from other countries and other factors relating to foreign trade are beyond our control. If one of our suppliers were to violate the law, or engage in conduct that results in adverse publicity, our reputation may be harmed simply due to our association with that supplier. Drought, flood, natural disasters and other extreme weather events associated with climate change as well as chronic climate impacts such as rising mean temperatures and changes in precipitation patterns could also result in supply chain disruptions or higher material costs. These and other factors affecting our suppliers and our access to raw materials and finished products could adversely affect our results of operations.</w:t>
      </w:r>
    </w:p>
    <w:p>
      <w:pPr>
        <w:spacing w:after="0" w:line="6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large food service distribution companies to distribute our food and non-food products and a disruption in our relationship with them or their business could result in short-term disruptions to our operations and cost structure.</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negotiate the pricing and other terms for the majority of our purchases of food and related products in the United States and Canada directly with national manufacturers, we purchase these products and other items through national distributors and suppliers, including Sysco, US Foods, Performance Food Group and regional distributors. Sysco, which distributed approximately 45% of our food and non-food products in the United States and Canada in fiscal 2024 based on purchase dollars, and other distributors are responsible for tracking our orders and delivering products to our specific locations. If our relationship with, or the business of, Sysco or another primary distributor were to be disrupted, we would have to arrange alternative distributors and our operations and cost structure could be adversely affected in the short term. For example, past labor shortages and other labor disputes at our primary distributors have exacerbated supply chain issues impacting our business. A cyber, weather or other incident could also disrupt our distributors' operations and, therefore, impact our business in the short term. Similarly, a sudden termination of the relationship with a significant provider in other geographic areas could in the short term adversely affect our ability to provide services and disrupt our client relationships in such areas.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contract intensive and may lead to client disputes.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is contract intensive and we are parties to many contracts with clients all over the world. Our client interest contracts provide that client billings, and for some contracts the sharing of profits and losses, are based on our determinations of costs of service. Contract terms under which we base these determinations and, for certain government contracts, regulations governing our cost determinations, may be subject to differing interpretations which could result in disputes with our clients</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time to time. Clients generally have the right to audit our contracts, and we periodically review our compliance with contract terms and provisions. If clients were to dispute our contract determinations, the resolution of such disputes in a manner adverse to our interests could negatively affect revenue and operating results. While we do not believe any reviews, audits or other such matters should result in material adjustments, if a large number of our client arrangements were modified in response to any such matter, the effect could be materially adverse to our business or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we lose key management personnel, are unable to hire and retain sufficient qualified personnel or if labor costs increase.</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much of our future growth and success depends on the continued availability, service and well-being of key executive and management talent. The loss of any of our key executive or senior management personnel could harm our business. In addition, from time to time, we have had difficulty in hiring and retaining qualified management personnel, particularly at the entry management level. We will continue to have significant requirements to hire such personnel. At times when the United States or other geographic regions experience reduced levels of unemployment or a general scarcity of labor like we have seen in recent periods, there may be a shortage of qualified workers at all levels. Given that our workforce requires large numbers of entry level and skilled workers and managers, low levels of unemployment, a general difficulty finding sufficient employees or mismatches between the labor markets and our skill requirements can compromise our ability in certain areas of our businesses to continue to provide quality service or compete for new business. We are also impacted by the costs and other effects of compliance with United States and international regulations affecting our workforce. These regulations are increasingly focused on employment issues, including pay transparency, wage and hour, healthcare, immigration, retirement and other employee benefits and workplace practices. Compliance and claims of non-compliance with these regulations could result in liability and expense to us and may impede our ability to attract and retain talent. Historically, we have also regularly hired a large number of part-time and seasonal workers. Any difficulty we may encounter in hiring such workers, immigration policies and general labor shortages, could result in significant increases in labor costs, which could have a material adverse effect on our business, financial condition and results of operations. Competition for labor has at times resulted in wage increases in the past and future competition could substantially increase our labor costs. Due to the labor intensive nature of our businesses and the fact that historically approximately two-thirds of our revenue is from profit and loss contracts under which we have limited ability to pass along cost increases, a shortage of labor or increases in wage levels in excess of normal levels could have a material adverse effect on our results of operations.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acquisitions and joint ventures or successfully integrate the operations of the companies we acquire.</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seek to acquire companies or interests in companies, or enter into joint ventures that complement our business. Our inability to complete acquisitions, integrate acquired companies successfully or enter into joint ventures may render us less competitive. At any given time, we may be evaluating one or more acquisitions or engaging in acquisition negotiations. We cannot be sure that we will be able to continue to identify acquisition candidates or joint venture partners on commercially reasonable terms or at all. If we make acquisitions, we also cannot be sure that any benefits anticipated from the acquisitions will actually be realized. Likewise, we cannot be sure we will be able to obtain necessary financing for acquisitions. Such financing could be restricted by the terms of our debt agreements or it could be more expensive than our current debt. The amount of such debt financing for acquisitions could be significant and the terms of such debt instruments could be more restrictive than our current covenants. In addition, our ability to control the planning and operations of our joint ventures and other less than majority-owned affiliates may be subject to numerous restrictions imposed by the joint venture agreements and majority stockholders. Our joint venture partners may also have interests which differ from ours.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process of integrating acquired operations into our existing operations may result in operating, contract and supply chain difficulties, such as the failure to retain existing clients or attract new clients, maintain relationships with suppliers and other contractual parties or retain and integrate acquired personnel. In addition, cost savings that we expect to achieve, for example, from the elimination of duplicative expenses and the realization of economies of scale or synergies, may take longer than expected to realize or may ultimately be smaller than we expect. Also, in connection with any acquisition, we could fail to discover liabilities of the acquired company for which we may be responsible as a successor owner or operator in spite of any investigation we make prior to the acquisition, or significant compliance issues, such as anti-corruption issues, which require remediation, resulting in additional unanticipated costs, risk creation and potential reputational harm. In addition, labor laws in certain countries may require us to retain more employees than would otherwise be optimal from entities we acquire. Such integration difficulties may divert significant financial, operational and managerial resources from our existing operations and make it more difficult to achieve our operating and strategic objectives, which could have a material adverse effect on our business, financial condition or results of operations. Similarly, our business depends on effective information technology and financial reporting systems. Delays in or poor execution of the integration of these systems could disrupt our operations and increase costs and could also potentially adversely impact the effectiveness of our disclosure controls and internal controls over financial reporting.</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Possible future acquisitions could also result in additional contingent liabilities and amortization expenses related to intangible assets being incurred, which could have a material adverse effect on our business, financial condition or results of operations. In addition, goodwill and other intangible assets resulting from business combinations represent a significant portion of our assets. If goodwill or other intangible assets were deemed to be impaired, we would need to take a charge to earnings to write down these assets to their fair value.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recently completed spin-off of our Uniform segment.</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September 30, 2023, we completed the separation and distribution of the Uniform segment. While the spin-off has been completed, we are still subject to potentially continued unforeseen expenses, including additional general and administrative costs, costs from lost synergies, restructuring costs or other costs and expenses. The spin-off may hinder our ability to retain existing business and operational relationships, including with clients, customers, suppliers and employees, as well as to cultivate new business relationships. Based on these and other factors we may not be able to achieve the full strategic and financial benefits that are expected as a result of the spin-off.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or further unionization of our workforce may increase our costs and work stoppages could damage our business.</w:t>
      </w:r>
    </w:p>
    <w:p>
      <w:pPr>
        <w:spacing w:after="0" w:line="9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Approximately 38,000 employees in our United States and Canadian operations were represented by unions and covered by collective bargaining agreements. The continued or further unionization of a significantly greater portion of our workforce could increase our overall costs at the affected locations and adversely affect our flexibility to run our business in the most efficient manner to remain competitive or acquire new business. In addition, any significant increase in the number of work stoppages at our various operations could adversely affect our business, financial condition or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liability as a result of our participation in multiemployer defined benefit pension plans.</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 number of our locations operate under collective bargaining agreements. Under some of these agreements, we are obligated to contribute to multiemployer defined benefit pension plans. As a contributing employer to such plans, should we trigger either a “complete” or “partial" withdrawal, or should the plan experience a "mass" withdrawal, we could be subject to withdrawal liability for our proportionate share of any unfunded vested benefits which may exist for the particular plan. In addition, if a multiemployer defined benefit pension plan fails to satisfy the minimum funding standards, we could be liable to increase our contributions to meet minimum funding standards. Also, if another participating employer withdraws from the plan or experiences financial difficulty, including bankruptcy, our obligation could increase. The financial status of a small number of the plans to which we contribute has deteriorated in the recent past and continues to deteriorate. We proactively monitor the financial status of these and the other multiemployer defined benefit pension plans in which we participate. In addition, any increased funding obligations for underfunded multiemployer defined benefit pension plans could have an adverse financial impact on us.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Safety and Security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and governmental regulations relating to food and beverages may subject us to significant liability and reputational harm.</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laws and regulations relating to our business are numerous and complex. A variety of laws and regulations at various governmental levels relate to the handling, preparation, transportation and serving of food. In addition, the cleanliness of food production facilities and the hygiene of food-handling personnel are enforced primarily at the local public health department level. There can be no assurance that we are in full compliance with all applicable laws and regulations at all times, in particular as we offer more innovative and broad service offerings, or that we will be able to comply with any future laws and regulations. Furthermore, legislation and regulatory attention to food safety is very high. Additional or amended laws or regulations in this area may significantly increase the cost of compliance, expose us to liabilities or cause reputational harm.</w:t>
      </w:r>
    </w:p>
    <w:p>
      <w:pPr>
        <w:spacing w:after="0" w:line="5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serve alcoholic beverages at many facilities, including at college stadiums, and offer more innovative services, such as self-service options, and must comply with applicable licensing laws, as well as state and local service laws, commonly called dram shop statutes in the United States. Dram shop statutes generally prohibit serving alcoholic beverages to certain persons, such as an individual who is visibly intoxicated or a minor. If we violate dram shop laws, we may be liable to the patron and/or third parties for the acts of the patron. Although we sponsor regular training programs designed to minimize the likelihood of such a situation and to take advantage of certain safe harbors and affirmative defenses established for the benefit of alcoholic beverages service providers, we cannot guarantee that visibly intoxicated or minor patrons will not be served or that liability for their acts will not be imposed on us. There can be no assurance that additional laws or regulations in this area would not limit our activities in the future or significantly increase the cost of regulatory compliance. We must also obtain and comply with the terms of licenses in order to sell alcoholic beverages in the states in which we serve alcoholic beverages.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requirements imposed by applicable law or other governmental regulations, we could become subject to lawsuits, investigations and other liabilities and restrictions on our operations that could significantly and adversely affect our business.</w:t>
      </w:r>
    </w:p>
    <w:p>
      <w:pPr>
        <w:spacing w:after="0" w:line="2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subject to governmental regulation at the federal, state, international, national, provincial and local levels in many areas of our business, such as employment laws, wage and hour laws, discrimination laws, immigration laws, human health and safety laws, import and export controls and customs laws, environmental laws, ESG-related non-financial disclosure laws, false claims or whistleblower statutes, minority, women and disadvantaged business enterprise statutes, tax codes, antitrust and competition laws, consumer protection statutes, procurement regulations, intellectual property laws, supply chain laws, food safety, labeling and sanitation laws, government funded entitlement programs, government assistance programs, cost and accounting principles, the Foreign Corrupt Practices Act, the U.K. Bribery Act, other anti-corruption laws, lobbying laws, motor carrier safety laws, laws implementing the EU Corporate Sustainability Reporting Directive, data privacy and security laws and alcohol licensing and service laws.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government agencies have conducted reviews and audits of certain of our practices as part of routine inquiries of providers of services under government contracts, or otherwise. Like others in our business, we also receive requests for information from government agencies in connection with these reviews and audits. While we attempt to comply with all applicable laws and regulations, there can be no assurance that we are in full compliance with all applicable laws and regulations or interpretations of these laws and regulations at all times, or that we will be able to comply with any future laws, regulations or interpretations of these laws and regulations.</w:t>
      </w:r>
    </w:p>
    <w:p>
      <w:pPr>
        <w:spacing w:after="0" w:line="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fail to comply with applicable laws and regulations, including those referred to above, we may be subject to investigations, criminal sanctions or civil remedies, including fines, penalties, damages, reimbursement, injunctions, seizures, disgorgements or debarments from government contracts or the loss of liquor licenses or the ability to operate our motor vehicles. The cost of compliance or the consequences of non-compliance, including debarments, could have a material adverse effect on our business and results of operations, cause reputational harm and impede our growth and retention efforts. In addition, government agencies may make changes in the regulatory frameworks within which we operate that may require either the corporation as a whole or individual businesses to incur substantial increases in costs in order to comply with such laws and regulations.</w:t>
      </w:r>
    </w:p>
    <w:p>
      <w:pPr>
        <w:spacing w:after="0" w:line="4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new interpretations of or changes in the enforcement of the governmental regulatory framework may affect our contracts and contract terms and may reduce our revenue or profits.</w:t>
      </w:r>
    </w:p>
    <w:p>
      <w:pPr>
        <w:spacing w:after="0" w:line="3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 portion of our revenue, both in the United States and internationally, is derived from business with government entities, which includes business with United States federal, state and local governments and agencies, as well as international governments and agencies. Changes or new interpretations in, or changes in the enforcement of, the statutory or regulatory framework applicable to services provided under government contracts or bidding procedures, including an adverse change in government spending policies or appropriations, budget priorities or revenue levels could result in fewer new contracts or contract renewals, modifications to the methods we apply to price government contracts, or in contract terms of shorter duration than we have historically experienced. Any of these changes could result in lower revenue or profits than we have historically achieved, which could have an adverse effect on our results of operations.</w:t>
      </w:r>
    </w:p>
    <w:p>
      <w:pPr>
        <w:spacing w:after="0" w:line="6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maintain food safety throughout our supply chain and food-borne illness concerns, and risks relating to allergens, may result in reputational harm and claims of illness or injury that could adversely affect us.</w:t>
      </w:r>
    </w:p>
    <w:p>
      <w:pPr>
        <w:spacing w:after="0" w:line="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Food safety is a top priority for us and we dedicate substantial resources to ensuring that our customers enjoy safe, quality food products. Claims of illness or injury relating to food quality, food handling or allergens are common in the food service industry and a number of these claims may exist at any given time. Because food safety issues could be experienced at the source or by food suppliers, distributors or subcontractors, food safety could, in part, be out of our control. There is also a risk that our suppliers, distributors or subcontractors underreport food safety incidents or system failures, which could hinder response and tracking of such risks.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revenue. Even instances of food-borne illness, food tampering or contamination at a location served by one of our competitors could result in negative publicity regarding the food service industry generally and could negatively impact our revenue. Additionally, social media has increased the speed with which negative publicity, including actual or perceived food safety incidents, is disseminated before there is any meaningful opportunity to investigate, respond to and address an issue. Future food safety issues may also from time to time disrupt our business. In addition, product recalls or health concerns associated with food contamination may also increase our raw material costs.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or changes in income tax rates or laws of tax matters could adversely impact our financial results.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as well as non-income-based taxes, in both the United States and various foreign jurisdictions. Significant judgment is required in determining our worldwide provision for income taxes and other tax liabilities. Changes in tax laws or tax rulings may have a significant adverse impact on our effective tax rate. Additionally, we are subject to regular review and audit by both domestic and foreign tax authorities as well as to the prospective and retrospective effects of changing tax regulations and legislation. Countries are also requiring additional disclosures related to tax liabilities paid within jurisdictions. Although we believe we are currently compliant, we may fall awry of such requirements and be required to pay additional taxes under such systems, such as the Organization for Economic Co-operation &amp; Development's Pillar Two Global Anti-Base Erosion Model Rules.</w:t>
      </w:r>
    </w:p>
    <w:p>
      <w:pPr>
        <w:spacing w:after="0" w:line="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Considering the unpredictability of possible changes to the United States or foreign tax laws and regulations and their potential interdependency, it is very difficult to predict the cumulative effect of such tax laws and regulations on our results of operations and cash flow, but such laws and regulations (and changes thereto) could adversely impact our financial results.</w:t>
      </w:r>
    </w:p>
    <w:p>
      <w:pPr>
        <w:spacing w:after="0" w:line="37"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commitments and stakeholder expectations relating to ESG considerations may expose us to liabilities, increased costs, reputational harm and other adverse effects on our business.</w:t>
      </w:r>
    </w:p>
    <w:p>
      <w:pPr>
        <w:spacing w:after="0" w:line="3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along with many governments, regulators, investors, employees, clients, customers and other stakeholders, are increasingly focused on ESG and sustainability considerations relating to our business, including greenhouse gas emissions, single-use plastics, food waste, human and civil rights, animal welfare and diversity, equity and inclusion. New laws and regulations in these areas have been proposed, and in some cases adopted, and the criteria used by regulators and other relevant stakeholders to evaluate our ESG practices, capabilities and performance are, and will continue to, change and evolve, including in ways that may require us to undertake costly initiatives or operational changes. Non-compliance with these emerging rules or standards or a failure to address regulator, stakeholder and societal expectations may result in potential cost increases, litigation, fines, penalties, production and sales restrictions, brand or reputational damage, loss of customers, suppliers and commercial partners, failure to retain and attract talent, lower valuation and higher investor activism activities. In addition, we make statements about our ESG goals, commitments and initiatives through our annual “Be Well. Do Well.” Progress Report, other non-financial reports, information provided on our website, press statements and other communications. Implementing our ESG programs involves risks and uncertainties, including increased costs, required investments and often depends on third-party performance or data that is outside our control. We are also at risk for challenge or criticism associated with stakeholders who reject or challenge our ESG programs and commitments. We cannot guarantee that we will achieve our announced ESG targets and commitments, satisfy all stakeholder expectations or that the benefits of implementing or achieving these goals and initiatives will not surpass their projected costs. Any failure, or perceived failure, to achieve ESG goals and initiatives, as well as to manage ESG risks, adhere to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pacing w:after="0" w:line="69"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reputation may be adversely affected by disruptions to or breaches of our information systems or if our data is otherwise compromised.</w:t>
      </w:r>
    </w:p>
    <w:p>
      <w:pPr>
        <w:spacing w:after="0" w:line="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increasingly utilizing information technology systems, including with respect to administrative functions, financial and operational data, ordering, point-of-sale processing and payment and the management of our supply chain, to enhance the efficiency of our business and to improve the overall experience of our customers. We maintain confidential, proprietary and personal information about, or on behalf of, our potential, current and former clients, customers, employees and other third parties in these systems or engage third parties in connection with storage and processing of this information. Such information includes employee, client and third-party data, including credit card numbers, social security numbers, healthcare information and other personal information. Our systems and the systems of our vendors and other third parties are subject to damage or interruption from power outages, computer or telecommunication failures, computer viruses, catastrophic events and implementation delays or difficulties, as well as usage errors by our employees or third-party service providers. These systems are also vulnerable to an increasing threat of rapidly evolving cyber-based attacks, including malicious software, attempts to gain unauthorized access to data, including through phishing emails, attempts to fraudulently induce employees or others to disclose information, the exploitation of software and operating vulnerabilities and physical device tampering/skimming at card reader units. The techniques used to obtain unauthorized access, disable or degrade service or sabotage systems change frequently, may be difficult to detect for a long time and often are not recognized until after an attack is launched or occurs. In addition, the rapid evolution and increased adoption of artificial intelligence technologies may also heighten our risks by making cyber-attacks more difficult to detect, contain and mitigate. As a result, we and such third parties may be unable to anticipate these techniques or to implement adequate preventative measures. In addition, we or such third parties may decide to upgrade existing information technology systems from time to time to support the needs of our business and growth strategy and the risk of system disruption is increased when significant system changes are undertaken.</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maintain a global cybersecurity program aligned with the National Institute of Standards and Technology Cybersecurity Framework. Our cross functional Cybersecurity Team, led by our Chief Information Security Officer ("CISO"), is responsible for prioritizing and managing evolving cyber risks. During the normal course of business, we have experienced and expect to continue to experience cyber-based attacks and other attempts to compromise our information systems, although none, to our knowledge, has had a material adverse effect on our business, financial condition or results of operations. Any damage to, or compromise or breach of, our systems, or the systems of our vendors, could impair our ability to conduct our business, result in transaction errors, result in corruption or loss of accounting or other data, which could cause delays in our financial reporting and result in a violation of applicable privacy and other laws, significant legal and financial exposure, reputational damage, adverse publicity and a loss of confidence in our security measures. Any such event could cause us to incur substantial costs, including costs associated with systems remediation, client protection, litigation, lost revenue or the failure to retain or attract clients following an attack. The failure to properly respond to any such event could also result in similar exposure to liability. While we maintain insurance coverage that may cover certain aspects of cyber risks, such insurance coverage may be unavailable or insufficient to cover all losses or all types of claims that may arise. Further, as cybersecurity risks evolve, such insurance may not be available to us on commercially reasonable terms or at all. The occurrence of some or all of the foregoing could have a material adverse effect on our results of operations, financial condition, business and reputation.</w:t>
      </w:r>
    </w:p>
    <w:p>
      <w:pPr>
        <w:spacing w:after="0" w:line="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subject to numerous laws and regulations in the United States and internationally, as well as contractual obligations and other security standards, each designed to protect the personal information of clients, customers, employees and other third parties that we collect and maintain. Additionally, as a global company we are subject to laws, rules and regulations regarding cross-border data flows, which have increased complexity regarding transferring data from a number of countries to the United States. These recent developments require us to review and amend the legal mechanisms by which we make and receive such cross-border personal data transfers. Since we accept debit and credit cards for payment from clients and customers, we are also subject to various industry data protection standards and protocols, such as payment network security operating guidelines and the global Payment Card Industry Data Security Standard. In certain circumstances, payment card association rules and obligations make us liable to payment card issuers if information in connection with payment cards and payment card transactions that we hold is compromised, the liabilities for which could be substantial. These laws, regulations and obligations are increasing in complexity and number, change frequently and may be inconsistent across the various countries in which we operate. Other jurisdictions, including at both the federal and state level in the United States, have enacted or are considering similar data protection laws and/or are considering data localization laws that require data to stay within their borders. Our systems and the systems maintained or used by third parties and service providers to process data on our behalf may not be able to satisfy these changing legal and regulatory requirements or may require significant additional investments or time to do so. If we fail to comply with these laws or regulations, we could be subject to significant litigation, monetary damages, regulatory enforcement actions or fines in one or more jurisdictions and we could experience a material adverse effect on our results of operations, financial condition and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rapid development and integration of artificial intelligence ("AI") technologies into our processes presents several risks to our business.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use of AI technologies within our business processes must be managed effectively and ethically to avoid outputs that are false, biased, or inconsistent with our values and strategies. Failure to properly manage, could also lead to unauthorized access to sensitive information and could harm our reputation and competitive position. At the same time, if we fail to keep pace with the rapid evolution of AI technologies, our competitive position and business results could suffer. In addition, the evolving regulatory landscape for AI technologies requires continuous monitoring and adaptation to ensure compliance and mitigate potential legal risks.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requirements may subject us to significant liability and limit our ability to grow.</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various environmental protection laws and regulations, including the United States Federal Clean Water Act, Clean Air Act, Resource Conservation and Recovery Act, Comprehensive Environmental Response, Compensation and Liability Act and similar federal, state, local and international statutes and regulations governing the use, management and disposal of chemicals and hazardous materials. We own or operate aboveground and underground storage tank systems at some locations to store petroleum products for use in our or our clients' operations, including some national parks. Certain of these storage tank systems also are subject to performance standards and periodic monitoring and recordkeeping requirements. We also may use and manage chemicals and hazardous materials in our operations from time to time. In the course of our business, we may be subject to penalties and fines and reputational harm for non-compliance with environmental protection laws and regulations and we may settle, or contribute to the settlement of, actions or claims relating to the management of underground storage tanks and the handling and disposal of chemicals or hazardous materials. We may, in the future, be required to expend material amounts to rectify the consequences of any such events.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changes to environmental laws may subject us to additional costs or cause us to change aspects of our business. In particular, new federal, state, local or international laws and regulations related to ESG disclosures (including, but not limited to, the EU Corporate Sustainability Reporting Directive and California's Climate Accountability Package), climate change (including, but not limited to, certain requirements relating to the disclosure of greenhouse gas emissions and associated business risks), single use plastics and disposable packaging and food waste, could affect our operations or result in significant additional expense and operating restrictions on us. Under United States federal and state environmental protection laws, as an owner or operator of real estate we may be liable for the costs of removal or remediation of certain hazardous materials located on or in or migrating from our owned or leased property or our client's properties, as well as related costs of investigation and property damage, without regard to our fault, knowledge or responsibility for the presence of such hazardous materials. There can be no assurance that locations that we own, lease or otherwise operate, either for ourselves or for our clients, or that we may acquire in the future, have been operated in compliance with environmental laws and regulations or that future uses or conditions will not result in the imposition of liability upon us under such laws or expose us to third-party actions such as tort suits. In addition, such regulations may limit our ability to identify suitable sites for new or expanded facilities. In connection with our present or past operations and the present or past operations of our predecessors or companies that we have acquired, hazardous substances may migrate from properties on which we operate or which were operated by our predecessors or companies we acquired to other properties. We may be subject to significant liabilities to the extent that human health is adversely affected or the value of such properties is diminished by such migration.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leverage could adversely affect our ability to raise additional capital to fund our operations, limit our ability to react to changes in the economy or our industries, expose us to interest rate risk to the extent of our variable rate debt and prevent us from meeting our obligations.</w:t>
      </w:r>
    </w:p>
    <w:p>
      <w:pPr>
        <w:spacing w:after="0" w:line="3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highly leveraged. As of September 27, 2024, our outstanding indebtedness was $5,271.5 million. We had additional availability of $1,341.6 million under our revolving credit facilities and availability of $600.0 million under the Receivables Facility as of that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degree of leverage could have important consequences, including:</w:t>
      </w:r>
    </w:p>
    <w:p>
      <w:pPr>
        <w:spacing w:after="0" w:line="144" w:lineRule="exact"/>
        <w:rPr>
          <w:sz w:val="20"/>
          <w:szCs w:val="20"/>
          <w:color w:val="auto"/>
        </w:rPr>
      </w:pPr>
    </w:p>
    <w:p>
      <w:pPr>
        <w:ind w:left="660" w:right="12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exposing us to the risk of increased interest rates as certain of our borrowings, including borrowings under our senior secured credit facilities and our Receivables Facility, are at variable rates of interest;</w:t>
      </w:r>
    </w:p>
    <w:p>
      <w:pPr>
        <w:spacing w:after="0" w:line="9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making it more difficult for us to make payments on our indebtedness;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increasing our vulnerability to general economic and industry conditions;</w:t>
      </w:r>
    </w:p>
    <w:p>
      <w:pPr>
        <w:spacing w:after="0" w:line="103" w:lineRule="exact"/>
        <w:rPr>
          <w:rFonts w:ascii="Arial" w:cs="Arial" w:eastAsia="Arial" w:hAnsi="Arial"/>
          <w:sz w:val="22"/>
          <w:szCs w:val="22"/>
          <w:color w:val="auto"/>
        </w:rPr>
      </w:pPr>
    </w:p>
    <w:p>
      <w:pPr>
        <w:ind w:left="660" w:right="160" w:hanging="328"/>
        <w:spacing w:after="0" w:line="24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indebtedness, thereby reducing our ability to use our cash flow to fund our operations, capital expenditures and future business opportunities;</w:t>
      </w:r>
    </w:p>
    <w:p>
      <w:pPr>
        <w:spacing w:after="0" w:line="80"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116" w:lineRule="exact"/>
        <w:rPr>
          <w:rFonts w:ascii="Arial" w:cs="Arial" w:eastAsia="Arial" w:hAnsi="Arial"/>
          <w:sz w:val="22"/>
          <w:szCs w:val="22"/>
          <w:color w:val="auto"/>
        </w:rPr>
      </w:pPr>
    </w:p>
    <w:p>
      <w:pPr>
        <w:ind w:left="660" w:right="32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ability to obtain additional financing for working capital, capital expenditures, debt service requirements, acquisitions and general corporate or other purposes;</w:t>
      </w:r>
    </w:p>
    <w:p>
      <w:pPr>
        <w:spacing w:after="0" w:line="118"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ability to adjust to changing market conditions and placing us at a competitive disadvantage compared to our competitors who are less highly leveraged; and</w:t>
      </w:r>
    </w:p>
    <w:p>
      <w:pPr>
        <w:spacing w:after="0" w:line="118" w:lineRule="exact"/>
        <w:rPr>
          <w:rFonts w:ascii="Arial" w:cs="Arial" w:eastAsia="Arial" w:hAnsi="Arial"/>
          <w:sz w:val="22"/>
          <w:szCs w:val="22"/>
          <w:color w:val="auto"/>
        </w:rPr>
      </w:pPr>
    </w:p>
    <w:p>
      <w:pPr>
        <w:ind w:left="660" w:right="20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ability to benefit from tax deductions for such payments under certain interest expense limitation rules included in the Tax Cuts and Jobs Act of 2017 and pursuant to similar regulations in other countries.</w:t>
      </w:r>
    </w:p>
    <w:p>
      <w:pPr>
        <w:spacing w:after="0" w:line="7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subject to the restrictions contained in our senior secured credit facilities and the indentures governing our senior notes. If new indebtedness is added to our current debt levels, the related risks that we now face could increase.</w:t>
      </w:r>
    </w:p>
    <w:p>
      <w:pPr>
        <w:spacing w:after="0" w:line="3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 and potentially limit our ability to effectively refinance our indebtedness as it matures.</w:t>
      </w:r>
    </w:p>
    <w:p>
      <w:pPr>
        <w:spacing w:after="0" w:line="3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interest at variable rates and expose us to interest rate risk. If interest rates increase and we do not hedge such variable rates, our debt service obligations on the variable rate indebtedness will increase even though the amount borrowed will remain the same, which will negatively impact our net income and operating cash flows, including cash available for servicing our indebtedness.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our ability to refinance portions of our indebtedness in advance of their maturity dates depends on securing new financing bearing interest at rates that we are able to service. While we believe that we currently have adequate cash flows to service the interest rates currently applicable to our indebtedness, if interest rates were to continue to rise significantly, we might be unable to maintain a level of cash flows from operating activities sufficient to meet our debt service obligations at such increased rates.</w:t>
      </w:r>
    </w:p>
    <w:p>
      <w:pPr>
        <w:spacing w:after="0" w:line="4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financial performance were to deteriorate, we may not be able to generate sufficient cash to service all of our indebtedness and may be forced to take other actions to satisfy our obligations under our indebtedness, which may not be successful.</w:t>
      </w:r>
    </w:p>
    <w:p>
      <w:pPr>
        <w:ind w:right="20"/>
        <w:spacing w:after="0" w:line="250"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While we believe that we currently have adequate cash flows to service our indebtedness, if our financial performance were to deteriorate significantly, we might be unable to maintain a level of cash flows from operating activities sufficient to permit us to pay the principal, premium, if any, and interest on our indebtedness.</w:t>
      </w:r>
    </w:p>
    <w:p>
      <w:pPr>
        <w:spacing w:after="0" w:line="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due to such a deterioration in our financial performance, our cash flows and capital resources were to be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if we were required to raise additional capital in the current financial markets, the terms of such financing, if available, could result in higher costs and greater restrictions on our business. In addition, if we were to need to refinance our existing indebtedness, the conditions in the financial markets at that time could make it difficult to refinance our existing indebtedness on acceptable terms or at all. If such alternative measures proved unsuccessful, we could face substantial liquidity problems and might be required to dispose of material assets or operations to meet our debt service and other obligations. Our Credit Agreement and the indentures governing our senior notes restrict our ability to dispose of assets and use the proceeds from any disposition of assets and to refinance our indebtedness. We may not be able to consummate those dispositions or to obtain the proceeds that we could realize from them and these proceeds may not be adequate to meet any debt service obligations then due.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restrictions that limit our flexibility in operating our business.</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Credit Agreement and the indentures governing our senior notes contain various covenants that limit our ability to engage in specified types of transactions. These covenants limit our and our restricted subsidiaries' ability to, among other things:</w:t>
      </w:r>
    </w:p>
    <w:p>
      <w:pPr>
        <w:spacing w:after="0" w:line="4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incur additional indebtedness, refinance or restructure indebtedness or issue certain preferred shares;</w:t>
      </w:r>
    </w:p>
    <w:p>
      <w:pPr>
        <w:spacing w:after="0" w:line="116"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pay dividends on, repurchase or make distributions in respect of our capital stock, make unscheduled payments on our notes, repurchase or redeem our senior notes or make other restricted payments;</w:t>
      </w:r>
    </w:p>
    <w:p>
      <w:pPr>
        <w:spacing w:after="0" w:line="99"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make certain investments;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sell certain assets;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create liens;</w:t>
      </w:r>
    </w:p>
    <w:p>
      <w:pPr>
        <w:spacing w:after="0" w:line="84"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consolidate, merge, sell or otherwise dispose of all or substantially all of our assets; and</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enter into certain transactions with our affiliates.</w:t>
      </w:r>
    </w:p>
    <w:p>
      <w:pPr>
        <w:spacing w:after="0" w:line="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our senior secured revolving credit facility requires us to satisfy and maintain specified financial ratios and other financial condition tests. Our ability to meet those financial ratios and tests can be affected by events beyond our control and, in the event of a significant deterioration of our financial performance, there can be no assurance that we will satisfy those ratios and tests. A breach of any of these covenants could result in a default under the Credit Agreement. Upon our failure to maintain compliance with these covenants that is not waived by the lenders under the revolving credit facility, the lenders under the senior secured credit facilities could elect to declare all amounts outstanding under the senior secured credit facilities to be immediately due and payable and terminate all commitments to extend further credit under such facilities. If we were unable to repay those amounts, the lenders under the senior secured credit facilities could proceed against the collateral granted to them to secure that indebtedness. We have pledged a significant portion of our assets as collateral under the Credit Agreement. If the lenders under the senior secured credit facilities accelerate the repayment of borrowings, there can be no assurance that we will have sufficient assets to repay those borrowings, as well as our unsecured indebtedness. If our senior secured indebtedness was accelerated by the lenders as a result of a default, our senior notes may become due and payable as well. Any such acceleration may also constitute an amortization event under our Receivables Facility, which could result in the amount outstanding under that facility becoming due and payable.</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pay dividends on our common stock and our indebtedness could limit our ability to pay dividends on our common stock.</w:t>
      </w:r>
    </w:p>
    <w:p>
      <w:pPr>
        <w:spacing w:after="0" w:line="2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Payment of cash dividends on our common stock is subject to our compliance with applicable law and depends on, among other things, our results of operations, financial condition, level of indebtedness, capital requirements, contractual restrictions, business prospects and other factors that our Board of Directors may deem relevant. Our senior secured credit facilities and the indentures governing our senior notes contain, and the terms of any future indebtedness we or our subsidiaries incur may contain, limitations on our ability to pay dividends. For more information, see Item 7. "Management's Discussion and Analysis of Financial Condition and Results of Operations—Liquidity and Capital Resources—Covenant Compliance." In addition, our decision to pay dividends is impacted by results of operations and available cash. Although we have paid cash dividends in the past, there can be no assurance that we will continue to pay any dividend in the future.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Our Common Stock and Provisions in our Organizational Documents</w:t>
      </w:r>
    </w:p>
    <w:p>
      <w:pPr>
        <w:spacing w:after="0" w:line="10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price may change significantly, and you may not be able to resell shares of our common stock at or above the price you paid or at all, and you could lose all or part of your investment as a result.</w:t>
      </w:r>
    </w:p>
    <w:p>
      <w:pPr>
        <w:spacing w:after="0" w:line="2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as reported by the NYSE, has in the past and could in the future fluctuate due to a number of factors such as those listed in “—Risks Related to Our Business” and include, but are not limited to, the following, some of which are beyond our control:</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quarterly variations in our results of operations;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results of operations that vary from those of our competitors;</w:t>
      </w:r>
    </w:p>
    <w:p>
      <w:pPr>
        <w:spacing w:after="0" w:line="8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expectations as to our future financial performance, including financial estimates by securities analysts and investors;</w:t>
      </w:r>
    </w:p>
    <w:p>
      <w:pPr>
        <w:spacing w:after="0" w:line="116" w:lineRule="exact"/>
        <w:rPr>
          <w:rFonts w:ascii="Arial" w:cs="Arial" w:eastAsia="Arial" w:hAnsi="Arial"/>
          <w:sz w:val="22"/>
          <w:szCs w:val="22"/>
          <w:color w:val="auto"/>
        </w:rPr>
      </w:pPr>
    </w:p>
    <w:p>
      <w:pPr>
        <w:ind w:left="660" w:right="560" w:hanging="328"/>
        <w:spacing w:after="0" w:line="24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us, our competitors or our vendors of significant contracts, acquisitions, divestitures, joint marketing relationships, joint ventures or capital commitments;</w:t>
      </w:r>
    </w:p>
    <w:p>
      <w:pPr>
        <w:spacing w:after="0" w:line="80"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third parties of significant claims or proceedings against us;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of our common stock;</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general domestic and international economic conditions; and</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unexpected and sudden changes in senior management.</w:t>
      </w:r>
    </w:p>
    <w:p>
      <w:pPr>
        <w:spacing w:after="0" w:line="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Furthermore, the stock market has experienced extreme volatility that, in some cases, has been unrelated or disproportionate to the operating performance of particular companies. These broad market and industry fluctuations may adversely affect the market price of our common stock, regardless of our actual operating performance.</w:t>
      </w:r>
    </w:p>
    <w:p>
      <w:pPr>
        <w:spacing w:after="0" w:line="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0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1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our annual meetings;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certain limitations on convening special stockholder meetings;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60" w:hanging="328"/>
        <w:spacing w:after="0" w:line="23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the removal of directors only upon the affirmative vote of the holders of at least 75% in voting power of all the then-outstanding common stock of the company entitled to vote thereon, voting together as a single class; and</w:t>
      </w:r>
    </w:p>
    <w:p>
      <w:pPr>
        <w:spacing w:after="0" w:line="118" w:lineRule="exact"/>
        <w:rPr>
          <w:rFonts w:ascii="Arial" w:cs="Arial" w:eastAsia="Arial" w:hAnsi="Arial"/>
          <w:sz w:val="22"/>
          <w:szCs w:val="22"/>
          <w:color w:val="auto"/>
        </w:rPr>
      </w:pPr>
    </w:p>
    <w:p>
      <w:pPr>
        <w:ind w:left="660" w:right="400" w:hanging="328"/>
        <w:spacing w:after="0" w:line="23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that certain provisions may be amended only by the affirmative vote of the holders of at least 75% in voting power of all the then-outstanding common stock of the company entitled to vote thereon, voting together as a single class.</w:t>
      </w:r>
    </w:p>
    <w:p>
      <w:pPr>
        <w:spacing w:after="0" w:line="6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3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with certain limited exceptions, unless we consent in writing to the selection of an alternative forum, the Court of Chancery of the State of Delaware will be the sole and exclusive forum for any stockholder (including any beneficial owner) to bring (i) any derivative action or proceeding brought on our behalf, (ii) any action asserting a claim of breach of fiduciary duty owed by any director or officer of the Company owed to us or our stockholders, creditors or other constituents, (iii) any action asserting a claim against us or any director or officer of the Company arising pursuant to any provision of the Delaware General Corporation Law or our amended and restated certificate of incorporation or our amended and restated bylaws, or (iv) any action asserting a claim against the Company or any director or officer of the Company governed by the internal affairs doctrine. Any person or entity purchasing or otherwise acquiring any interest in shares of our capital stock is deemed to have received notice of and consented to the foregoing provisions.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8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08"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secure collection, maintenance, processing and transmission of financial and operational data, ordering, point-of-sale processing and payment information, including personal data, is critical to our operations and the experience of our customers. We have implemented technologies and tools to evaluate our cybersecurity measures and maintain a cyber-risk management strategy related to our technology infrastructure that includes monitoring emerging cybersecurity threats and assessing appropriate responsive measures.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Identification</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employ a risk-based approach for our cybersecurity program in which the level of controls are based upon asset value and organizational risk. Consequently, our cybersecurity program has a layered approach to cyber controls focused on protection of the confidentiality, integrity, and availability of sensitive data (both internal and third party). Our CISO and cybersecurity organization are actively engaged within the cybersecurity threat intelligence community in order to monitor emerging trends and developments, attack vectors, and best practices for identifying and mitigating cyber threats.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Assessment</w:t>
      </w:r>
    </w:p>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cybersecurity team monitors the cyber risk climate on an ongoing basis and performs cyber risk assessments at both tactical and strategic levels that are integrated into our overall risk management processes. These risk assessments may review various issues such as Payment Card Industry Data Security Standard compliance and cyber vulnerability on an enterprise and application level.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Management</w:t>
      </w:r>
    </w:p>
    <w:p>
      <w:pPr>
        <w:spacing w:after="0" w:line="10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a global information security program responsible for creating cybersecurity policies, including an overarching Global Information Security Policy, that takes in account the National Institute of Standards &amp; Technology Cybersecurity Framework (“NIST CSF”) and regulatory requirements. Our CISO is responsible for oversight of the cybersecurity program, supervision of</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members of the team, and implementation of our layered cybersecurity measures, which include a documented security architecture program, endpoint detection, security incident response and event management and recovery, and privileged access management, among others.</w:t>
      </w:r>
    </w:p>
    <w:p>
      <w:pPr>
        <w:spacing w:after="0" w:line="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Likewise, logical access controls are employed to manage and provision access based upon business need, and data encryption is leveraged to preserve data confidentiality. Data is regularly backed up in support of preserving availability. Audit logs are collected, correlated and analyzed by the Security Operations Center (“SOC”).</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provide all salaried employees, including new hires, cybersecurity training courses that sensitize them to risks and threat actor tactics. We also provide specialized security and data privacy training for certain employees, such as those handling sensitive or protected health information. On a quarterly basis, our cybersecurity organization conducts simulated phishing exercises to test and educate employees on real-world threats.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engage third-party service providers as part of our cyber risk mitigation efforts. We contractually require vendors with access to personal information to maintain sufficient cybersecurity and data privacy standards. As part of our PCI compliance program, we assess vendors with access to payment card data on an annual basis, and we review other critical vendors periodically and on an as-needed basis. We also maintain relations with local and federal law enforcement in connection with cybersecurity matters.</w:t>
      </w:r>
    </w:p>
    <w:p>
      <w:pPr>
        <w:spacing w:after="0" w:line="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fiscal 2024, we engaged an independent cybersecurity advisory firm to lead a cybersecurity crisis simulation exercise that has been used by our senior leaders to prepare for a possible cyber crisis. In addition, we engaged an international cybersecurity company, specializing in IT services and software development, to augment our monitoring, incident response, detection, and forensics efforts; various Information Sharing and Analysis Centers (ISACs) for threat intelligence, and a recognized cyber defense company that specializes in threat intelligence and incident response services.</w:t>
      </w:r>
    </w:p>
    <w:p>
      <w:pPr>
        <w:spacing w:after="0" w:line="5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purchase insurance to mitigate the potential financial consequences of cybersecurity incidents. We regularly review our cyber insurance program, assessing our coverage and policy terms.</w:t>
      </w:r>
    </w:p>
    <w:p>
      <w:pPr>
        <w:spacing w:after="0" w:line="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have experienced and expect to continue to experience a range of cyber-based attacks and other attempts to compromise our information systems, although none, to our knowledge, has had a material adverse effect on our business, financial condition, or results of operations. For additional information about cybersecurity risks, see Item 1A. “Risk Factors.”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Role of the Board</w:t>
      </w:r>
    </w:p>
    <w:p>
      <w:pPr>
        <w:spacing w:after="0" w:line="10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Board of Directors has delegated primary responsibility for the oversight of cybersecurity to the Audit Committee, which reviews and oversees our programs, policies, practices and safeguards relating to: information technology, data privacy and protection, cybersecurity and fraud, identification, assessment, monitoring, mitigation and the overall management of those risks, and our cyberattack incident response and recovery plan. The Audit Committee receives regular reports from our Chief Information Officer (CIO) and CISO on, among other things, our cyber risks and threats, the status of measures to strengthen our cybersecurity systems, assessments of our Cybersecurity program, and our views of the emerging threat landscape. During fiscal 2024, substantially all of our directors attended the Audit Committee meetings in which the Committee received updates relating to cybersecurity.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Role of Management</w:t>
      </w:r>
    </w:p>
    <w:p>
      <w:pPr>
        <w:spacing w:after="0" w:line="1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CISO, who reports directly to our CIO, is responsible for the day-to-day management of the Cybersecurity program and mitigation of cybersecurity risks, and supervises our SOC. Our CISO sets our cybersecurity strategy, oversees relevant policies, and manages the risk, assurance, and internal security reporting processes. Our CISO also oversees the Cybersecurity Incident Response Team (“CSIRT”), which receives updates regarding and conducts initial evaluations of critical and emerging risks and reports on such risks to senior management, as necessary. We utilize a security incident response framework that is led by our CISO and supported by the CSIRT with the goal of both ensuring timely notification to our management and the Audit Committee, or the Board of Directors as appropriate, and mitigation of cybersecurity incidents. Our CISO also sits on our Disclosure Committee.</w:t>
      </w:r>
    </w:p>
    <w:p>
      <w:pPr>
        <w:spacing w:after="0" w:line="6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CISO brings over twenty years of extensive cybersecurity expertise, encompassing pivotal roles from hands-on technical positions to leadership responsibilities in designing, building and executing multiple cybersecurity teams and programs. Our CISO’s career spans global organizations across different industries as retail, software and technology, medical device manufacturing and cyber advisory and audit services. Our CISO holds the following certifications: Certified Information Systems Auditor (CISA), Certified Information Security Manager (CISM), and Certified in Risk and Information Systems Control (CRISC) from the Information Systems Audit and Control Association, and is a Certified Cybersecurity Information Security Officer (C-CISO) by the International Council of E-Commerce Consultants.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currently leased at 2400 Market Street, Philadelphia, Pennsylvania 19103. We own 15 buildings that we use in our FSS United States segment, including several office/warehouse spaces, and we lease 119 premises, consisting of offices, warehouses and distribution centers. In addition, we own 6 properties consisting of offices, land and warehouses and lease 56 facilities throughout the world that we use in our FSS International segment. We also maintain other real estate and leasehold improvements. No individual parcel of real estate owned or leased is of material significance to our total assets.</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5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ESG-related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September 27, 2024.</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as of November 19, 2024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5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With Aramark Since</w:t>
            </w:r>
          </w:p>
        </w:tc>
        <w:tc>
          <w:tcPr>
            <w:tcW w:w="0" w:type="dxa"/>
            <w:vAlign w:val="bottom"/>
          </w:tcPr>
          <w:p>
            <w:pPr>
              <w:spacing w:after="0"/>
              <w:rPr>
                <w:sz w:val="1"/>
                <w:szCs w:val="1"/>
                <w:color w:val="auto"/>
              </w:rPr>
            </w:pPr>
          </w:p>
        </w:tc>
      </w:tr>
      <w:tr>
        <w:trPr>
          <w:trHeight w:val="178"/>
        </w:trPr>
        <w:tc>
          <w:tcPr>
            <w:tcW w:w="25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5880" w:type="dxa"/>
            <w:vAlign w:val="bottom"/>
            <w:gridSpan w:val="2"/>
            <w:vMerge w:val="continue"/>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J. Zillmer</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19"/>
                <w:szCs w:val="19"/>
                <w:color w:val="auto"/>
              </w:rPr>
            </w:pPr>
          </w:p>
        </w:tc>
        <w:tc>
          <w:tcPr>
            <w:tcW w:w="5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2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J. Tarangelo</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9"/>
                <w:szCs w:val="19"/>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0" w:type="dxa"/>
            <w:vAlign w:val="bottom"/>
          </w:tcPr>
          <w:p>
            <w:pPr>
              <w:spacing w:after="0"/>
              <w:rPr>
                <w:sz w:val="1"/>
                <w:szCs w:val="1"/>
                <w:color w:val="auto"/>
              </w:rPr>
            </w:pP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Abigail A. Charpentier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9"/>
                <w:szCs w:val="19"/>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2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Lauren A. Harrington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Pr>
          <w:p>
            <w:pPr>
              <w:spacing w:after="0"/>
              <w:rPr>
                <w:sz w:val="19"/>
                <w:szCs w:val="19"/>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0" w:type="dxa"/>
            <w:vAlign w:val="bottom"/>
          </w:tcPr>
          <w:p>
            <w:pPr>
              <w:spacing w:after="0"/>
              <w:rPr>
                <w:sz w:val="1"/>
                <w:szCs w:val="1"/>
                <w:color w:val="auto"/>
              </w:rPr>
            </w:pPr>
          </w:p>
        </w:tc>
      </w:tr>
      <w:tr>
        <w:trPr>
          <w:trHeight w:val="23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 A. Bruno</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tcPr>
          <w:p>
            <w:pPr>
              <w:spacing w:after="0"/>
              <w:rPr>
                <w:sz w:val="20"/>
                <w:szCs w:val="20"/>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Operating Officer, United States Food and Facilities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1993</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John J. Zillmer </w:t>
      </w:r>
      <w:r>
        <w:rPr>
          <w:rFonts w:ascii="Times New Roman" w:cs="Times New Roman" w:eastAsia="Times New Roman" w:hAnsi="Times New Roman"/>
          <w:sz w:val="18"/>
          <w:szCs w:val="18"/>
          <w:color w:val="auto"/>
        </w:rPr>
        <w:t>was appointed Chief Executive Officer and a member of the Board of Directors in October 2019. Prior to joining us, Mr. Zillmer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and Executive Chairman of Univar from 2009 to 2012. Prior to that, he served as Chairman and Chief Executive Officer of Allied Waste Industries from 2005 to 2008 and held various positions at Aramark, including Vice President of Operating Systems, Regional Vice President, Area Vice President, Executive Vice President Business Dining Services, President of Business Services Group, President of International and President of Global Food and Support Services, from 1986 to 2005. Mr. Zillmer serves on the Board of Directors as Non-Executive Chairman of CSX Corporation, as well as the Board of Directors of Ecolab, Inc. Mr. Zillmer was formerly on the Board of Directors of Veritiv Corporation, Performance Food Group (PFG) Company, Inc. and Reynolds American Inc.</w:t>
      </w:r>
    </w:p>
    <w:p>
      <w:pPr>
        <w:spacing w:after="0" w:line="6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James J. Tarangelo </w:t>
      </w:r>
      <w:r>
        <w:rPr>
          <w:rFonts w:ascii="Times New Roman" w:cs="Times New Roman" w:eastAsia="Times New Roman" w:hAnsi="Times New Roman"/>
          <w:sz w:val="18"/>
          <w:szCs w:val="18"/>
          <w:color w:val="auto"/>
        </w:rPr>
        <w:t>was appointed Senior Vice President and Chief Financial Officer in January 2024. From June 2020 to January 2024, Mr. Tarangelo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Senior Vice President and Treasurer and from December 2016 to June 2020 as Vice President and Treasurer. Previously Mr. Tarangelo was Chief Financial Officer of Aramark International from 2014 to 2016 with financial oversight for operations across various international countries. Prior to that, he served in a variety of financial and business development leadership roles in Aramark starting from 2003. Before joining Aramark, Mr. Tarangelo worked with Legg Mason’s investment banking group and PricewaterhouseCoopers LLP.</w:t>
      </w:r>
    </w:p>
    <w:p>
      <w:pPr>
        <w:spacing w:after="0" w:line="5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Abigail A. Charpentier </w:t>
      </w:r>
      <w:r>
        <w:rPr>
          <w:rFonts w:ascii="Times New Roman" w:cs="Times New Roman" w:eastAsia="Times New Roman" w:hAnsi="Times New Roman"/>
          <w:sz w:val="18"/>
          <w:szCs w:val="18"/>
          <w:color w:val="auto"/>
        </w:rPr>
        <w:t>was appointed Senior Vice President and Chief Human Resources Officer in January 2023. From August 2021 to January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Charpentier served as Senior Vice President, Human Resources and Diversity, Aramark United States Food &amp; Facilities. Previously Ms. Charpentier was Vice President, People &amp; Culture, the Americas of Four Seasons Hotels &amp; Resorts from 2018 to 2021. Prior to that, Ms. Charpentier also served in various Human Resources and operational positions at Aramark from 1995 until 2018, including as Vice President, Human Resources at Aramark Headquarters from 2017 to 2018 and Vice President, Human Resources, Aramark Education from 2014 to 2017.</w:t>
      </w:r>
    </w:p>
    <w:p>
      <w:pPr>
        <w:spacing w:after="0" w:line="4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Lauren A. Harrington </w:t>
      </w:r>
      <w:r>
        <w:rPr>
          <w:rFonts w:ascii="Times New Roman" w:cs="Times New Roman" w:eastAsia="Times New Roman" w:hAnsi="Times New Roman"/>
          <w:sz w:val="18"/>
          <w:szCs w:val="18"/>
          <w:color w:val="auto"/>
        </w:rPr>
        <w:t>was appointed Senior Vice President and General Counsel in March 2019. From August 2009 to March 2019, Ms. Harrington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Vice President and Associate General Counsel and from May 2006 to August 2009, she served as Assistant General Counsel. Before joining us, Ms. Harrington was an Associate at WilmerHale LLP.</w:t>
      </w:r>
    </w:p>
    <w:p>
      <w:pPr>
        <w:spacing w:after="0" w:line="4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Marc A. Bruno </w:t>
      </w:r>
      <w:r>
        <w:rPr>
          <w:rFonts w:ascii="Times New Roman" w:cs="Times New Roman" w:eastAsia="Times New Roman" w:hAnsi="Times New Roman"/>
          <w:sz w:val="18"/>
          <w:szCs w:val="18"/>
          <w:color w:val="auto"/>
        </w:rPr>
        <w:t>was appointed Chief Operating Officer, United States Food and Facilities in November 2019. From 2018 to November 2019, Mr. Bruno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Chief Operating Officer, Sports, Leisure, Corrections, Facilities and K-12. From 2014 to 2018, Mr. Bruno served as Chief Operating Officer, Sports, Leisure and Corrections. From 2008 to 2014, he served as President, Sports &amp; Entertainment, and prior to that he served in various other positions within our food and support services business from 1993 to 2008. Mr. Bruno serves on the Board of Directors of United Rentals, Inc., Special Olympics of Pennsylvania and Alex's Lemonade Stand Foundation.</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04" w:lineRule="exact"/>
        <w:rPr>
          <w:sz w:val="20"/>
          <w:szCs w:val="20"/>
          <w:color w:val="auto"/>
        </w:rPr>
      </w:pPr>
    </w:p>
    <w:p>
      <w:pPr>
        <w:ind w:right="1820"/>
        <w:spacing w:after="0" w:line="35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Shares of our common stock began trading on December 12, 2013 and are quoted on the NYSE under the ticker symbol “ARMK.” As of October 25, 2024, there were approximately 912 holders of record of our outstanding common stock. This does not include persons who hold our common stock in nominee or “street name” accounts through brokers or banks.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w:t>
      </w:r>
    </w:p>
    <w:p>
      <w:pPr>
        <w:spacing w:after="0" w:line="92"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7"/>
          <w:szCs w:val="17"/>
          <w:i w:val="1"/>
          <w:iCs w:val="1"/>
          <w:color w:val="auto"/>
        </w:rPr>
        <w:t>This performance graph and related information shall not be deemed “filed” for purposes of Section 18 of the Exchange Act or incorporated by reference into any filing of Aramark under the Securities Act or the Exchange Act, except as shall be expressly set forth by specific reference in such filing.</w:t>
      </w:r>
    </w:p>
    <w:p>
      <w:pPr>
        <w:spacing w:after="0" w:line="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September 27, 2019, the last trading day of fiscal 2019, through September 27, 2024 of the cumulative total return for our common stock, The Standard &amp; Poor’s (“S&amp;P”) 500 Stock Index and The Dow Jones Consumer Non-Cyclical Index ("DJUSCY"). The graph assumes that $100 was invested in our common stock and in each index at the market close on September 27, 2019 and assumes that all dividends were reinvested.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48260</wp:posOffset>
            </wp:positionV>
            <wp:extent cx="4568825" cy="2280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688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14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120" w:type="dxa"/>
            <w:vAlign w:val="bottom"/>
          </w:tcPr>
          <w:p>
            <w:pPr>
              <w:spacing w:after="0"/>
              <w:rPr>
                <w:sz w:val="13"/>
                <w:szCs w:val="13"/>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Aramark</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Consumer Non-Cyclical Index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equity securities during the fiscal year ended September 27, 2024 which have not been previously disclosed in a quarterly report on Form 10-Q or a current report on Form 8-K.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repurchases of equity securities by us in the fourth fiscal quarter ended September 27, 2024.</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0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Aramark's (the "Company," "we," "our" and "us") financial condition and results of operations for the fiscal years ended September 27, 2024, September 29, 2023 and September 30, 2022 should be read in conjunction with our audited consolidated financial statements and the notes to those statements.</w:t>
      </w:r>
    </w:p>
    <w:p>
      <w:pPr>
        <w:spacing w:after="0" w:line="3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set forth under "Risk Factors," "Special Note About Forward-looking Statements" and "Business" sections and elsewhere in this Annual Report on Form 10-K ("Annual Report"). In the following discussion and analysis of financial condition and results of operations, certain financial measures may be considered “non-GAAP financial measures” under the Securities and Exchange Commission ("SEC") rules. These rules require supplemental explanation and reconciliation, which is provided elsewhere in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food and facilities services to education, healthcare, business &amp; industry and sports, leisure &amp; corrections clients. Our largest market is the United States, which is supplemented by an additional 15-country footprint. We also provide our services on a more limited basis in several additional countries and in offshore locations. Through our established brand, broad geographic presence and employees, we anchor our business in our partnerships with thousands of clients. Through these partnerships we serve millions of consumers including students, patients, employees, sports fans and guests worldwide.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in two geographic reportable segments:</w:t>
      </w:r>
    </w:p>
    <w:p>
      <w:pPr>
        <w:spacing w:after="0" w:line="104" w:lineRule="exact"/>
        <w:rPr>
          <w:sz w:val="20"/>
          <w:szCs w:val="20"/>
          <w:color w:val="auto"/>
        </w:rPr>
      </w:pPr>
    </w:p>
    <w:p>
      <w:pPr>
        <w:jc w:val="both"/>
        <w:ind w:left="660" w:right="20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United States ("FSS United States") - Food, refreshment, specialized dietary and support services, including facility maintenance and housekeeping, provided to business, educational and healthcare institutions and in sports, leisure and other facilities within the United States.</w:t>
      </w:r>
    </w:p>
    <w:p>
      <w:pPr>
        <w:spacing w:after="0" w:line="5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International ("FSS International") - Food, refreshment, specialized dietary and support services, including facility maintenance and housekeeping, provided to business, educational and healthcare institutions and in sports, leisure and other facilities outside of the United States with the largest operations within Canada, Chile, China, Germany, Spain and the United Kingdom.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focus on serving clients in five principal sectors: Business &amp; Industry, Education, Healthcare, Sports, Leisure &amp; Corrections and Facilities</w:t>
      </w:r>
    </w:p>
    <w:p>
      <w:pPr>
        <w:spacing w:after="0" w:line="27" w:lineRule="exact"/>
        <w:rPr>
          <w:sz w:val="20"/>
          <w:szCs w:val="20"/>
          <w:color w:val="auto"/>
        </w:rPr>
      </w:pPr>
    </w:p>
    <w:p>
      <w:pPr>
        <w:ind w:right="160" w:firstLine="8"/>
        <w:spacing w:after="0" w:line="260" w:lineRule="auto"/>
        <w:tabs>
          <w:tab w:leader="none" w:pos="1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Our FSS International reportable segment provides a similar range of services as those provided to our FSS United States clients and operates in the same sectors. Administrative expenses not allocated to our reportable segments are presented separately as corporate expenses.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Business Environment</w:t>
      </w:r>
    </w:p>
    <w:p>
      <w:pPr>
        <w:spacing w:after="0" w:line="10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continue to see improving inflation trends where inflationary costs in product, energy and labor have moderated over fiscal 2024, particularly in the United States. In addition, we continue to see elevated market interest rates and significant changes in foreign currencies. We expect these conditions to continue in the near-term, and we regularly evaluate and believe we take appropriate actions to mitigate risk in these areas. These actions include management of operating costs, including supply chain initiatives and pricing actions, and managing interest rate risk through the use of interest rate swaps.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San Antonio Spurs NBA Franchise Equity Investment</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fiscal 2024 and fiscal 2023, we sold our ownership interest in the San Antonio Spurs NBA franchise for $101.2 million and $98.2 million, respectively, in cash in taxable transactions resulting in a pre-tax gain of $25.1 million ($19.6 million gain net of tax) in fiscal 2024 and a pre-tax loss of $1.1 million ($2.2 million loss net of tax) in fiscal 2023. See Note 1 to the audited consolidated financial statements.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and Distribution of Aramark Uniform and Career Apparel</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September 30, 2023, we completed the separation and distribution of our Aramark Uniform and Career Apparel ("Uniform") segment into an independent publicly traded company, Vestis Corporation ("Vestis"). The separation of our Uniform segment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NYSE. The historical results of the Uniform segment have been reflected as discontinued operations in our audited consolidated financial statements for all periods prior to the separation and distribution. Assets and liabilities associated to the Uniform segment are classified as assets and liabilities of discontinued operations in our audited Consolidated Balance Sheet as of September 29, 2023. Additional disclosures regarding the separation and distribution are provided in Note 2 to the audited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AIM Services Co., Ltd Equity Investment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2023, we sold our 50% ownership interest in AIM Services Co., Ltd., a leading Japanese food services company, to Mitsui &amp; Co., Ltd. for</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$535.0 million in cash in a taxable transaction resulting in a pre-tax gain on sale of this equity investment of $377.1 million ($278.7 million gain net of tax) (see Note 1 to the audited consolidated financial statements).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Union Supply</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fiscal 2022, we completed the acquisition of Union Supply Group Inc. ("Union Supply"), a commissary goods and services supplier, for cash consideration of $199.6 million, plus contingent consideration (see Note 3 and Note 17 to the audited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5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Our clients engage us, generally through written contracts, to provide our services at their locations. Depending on the type of client and service, we are paid either by our client or directly by the customer to whom we have been provided access by our client. We typically use either profit and loss contracts or client interest contracts. These contracts differ in their provision for the amount of financial risk we bear and, accordingly, the potential compensation, profits or fees we may receive. Under profit and loss contracts, we receive all of the revenue from, and bear all of the expenses of, the provision of our services at a client location. For fiscal 2024, approximately two-thirds of our revenue was derived from profit and loss contracts. Client interest contracts include management fee contracts, under which our clients reimburse our operating costs and pay us a 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customer satisfaction surveys. For fiscal 2024, approximately one-third of our revenue was derived from client interest contracts.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costs and expenses are comprised of cost of services provided (exclusive of depreciation and amortization), depreciation and amortization and selling and general corporate expenses. Cost of services provided (exclusive of depreciation and amortization) consists of direct expenses associated with our operations, which includes food costs, wages, other labor-related expenses (including workers' compensation, severance, state unemployment insurance and federal or state mandated health benefits and other healthcare costs), insurance, fuel, utilities, clothing and equipment. Direct expense related to food costs within cost of services provided (exclusive of depreciation and amortization) are offset by rebates, vendor allowances and volume discounts. Depreciation and amortization expenses mainly relate to assets used in generating revenue. Selling and general corporate expenses include sales commissions, severance, share-based compensation and other unallocated costs related to administrative functions including finance, legal and human resources.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Interest Expense, net, relates primarily to interest expense on long-term borrowings. Interest Expense, net also includes third-party costs associated with long-term borrowings that were capitalized and are being amortized over the term of the borrowing.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Provision for Income Taxes represents federal, foreign, state and local income taxes. Our effective tax rate differs from the statutory United States income tax rate due to the effect of state and local income taxes, tax rates in foreign jurisdictions, tax credits and certain nondeductible expenses. Our effective tax rate will change from quarter to quarter based on recurring and nonrecurring factors including, but not limited to, the geographical mix of earnings, state and local income taxes, tax audit settlements, share-based award exercise activity and enacted tax legislation, including certain business tax credits. Changes in judgment due to the evaluation of new information resulting in the recognition, derecognition or remeasurement of a tax position taken in a prior annual period are recognized separately in the quarter of the change.</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fiscal year is the fifty-two or fifty-three week period which ends on the Friday nearest to September 30th. The fiscal years ended September 27, 2024, September 29, 2023 and September 30, 2022 were each a fifty-two week period.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an overview of our results on a consolidated and segment basis with the amount of and percentage change between periods for the fiscal years 2024 and 2023 (dollars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gridSpan w:val="7"/>
          </w:tcPr>
          <w:p>
            <w:pPr>
              <w:ind w:left="10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6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1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54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15,975.0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4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40" w:type="dxa"/>
            <w:vAlign w:val="bottom"/>
            <w:tcBorders>
              <w:bottom w:val="single" w:sz="8" w:color="auto"/>
            </w:tcBorders>
          </w:tcPr>
          <w:p>
            <w:pPr>
              <w:spacing w:after="0"/>
              <w:rPr>
                <w:sz w:val="19"/>
                <w:szCs w:val="19"/>
                <w:color w:val="auto"/>
              </w:rPr>
            </w:pPr>
          </w:p>
        </w:tc>
        <w:tc>
          <w:tcPr>
            <w:tcW w:w="16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3"/>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4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Equity Investments, net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w:t>
            </w:r>
          </w:p>
        </w:tc>
        <w:tc>
          <w:tcPr>
            <w:tcW w:w="16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(198.6)</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 from Continuing Operations</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16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(185.2)</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7"/>
          </w:tcPr>
          <w:p>
            <w:pPr>
              <w:ind w:left="9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11,721.4</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66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7"/>
          </w:tcPr>
          <w:p>
            <w:pPr>
              <w:ind w:left="9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by Segment</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4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40" w:type="dxa"/>
            <w:vAlign w:val="bottom"/>
          </w:tcPr>
          <w:p>
            <w:pPr>
              <w:spacing w:after="0"/>
              <w:rPr>
                <w:sz w:val="19"/>
                <w:szCs w:val="19"/>
                <w:color w:val="auto"/>
              </w:rPr>
            </w:pPr>
          </w:p>
        </w:tc>
        <w:tc>
          <w:tcPr>
            <w:tcW w:w="166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a percentage of total revenue, FSS United States represented 72.3% and 72.9% and FSS International represented 27.7% and 27.1% for fiscal 2024 and fiscal 2023,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Overview</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Revenue increased by 8.2% during fiscal 2024 compared to the prior year period, which was primarily attributable to base business growth, including volume growth and contract price increases, and net new business. Foreign currency translation unfavorably impacted revenue during fiscal 2024 by 1.7%.</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cost of services provided (exclusive of depreciation and amortization) by segment and as a percent of revenue for fiscal 2024 and fiscal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r>
      <w:tr>
        <w:trPr>
          <w:trHeight w:val="189"/>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300" w:type="dxa"/>
            <w:vAlign w:val="bottom"/>
          </w:tcPr>
          <w:p>
            <w:pPr>
              <w:spacing w:after="0"/>
              <w:rPr>
                <w:sz w:val="16"/>
                <w:szCs w:val="16"/>
                <w:color w:val="auto"/>
              </w:rPr>
            </w:pPr>
          </w:p>
        </w:tc>
        <w:tc>
          <w:tcPr>
            <w:tcW w:w="232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19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w:t>
            </w: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29"/>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11,432.3</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90.6 %</w:t>
            </w:r>
          </w:p>
        </w:tc>
      </w:tr>
      <w:tr>
        <w:trPr>
          <w:trHeight w:val="229"/>
        </w:trPr>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4,542.7</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4,159.1</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95.4 %</w:t>
            </w:r>
          </w:p>
        </w:tc>
      </w:tr>
      <w:tr>
        <w:trPr>
          <w:trHeight w:val="248"/>
        </w:trPr>
        <w:tc>
          <w:tcPr>
            <w:tcW w:w="5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15,975.0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91.9 %</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attributable to the components in cost of services provided (exclusive of depreciation and amortization) for fiscal 2024 and fiscal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20" w:type="dxa"/>
            <w:vAlign w:val="bottom"/>
            <w:gridSpan w:val="3"/>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23"/>
        </w:trPr>
        <w:tc>
          <w:tcPr>
            <w:tcW w:w="7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 components</w:t>
            </w:r>
          </w:p>
        </w:tc>
        <w:tc>
          <w:tcPr>
            <w:tcW w:w="190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gridSpan w:val="2"/>
            <w:vMerge w:val="continue"/>
          </w:tcPr>
          <w:p>
            <w:pPr>
              <w:spacing w:after="0"/>
              <w:rPr>
                <w:sz w:val="16"/>
                <w:szCs w:val="16"/>
                <w:color w:val="auto"/>
              </w:rPr>
            </w:pP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229"/>
        </w:trPr>
        <w:tc>
          <w:tcPr>
            <w:tcW w:w="7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support service costs</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direct costs</w:t>
            </w:r>
            <w:r>
              <w:rPr>
                <w:rFonts w:ascii="Times New Roman" w:cs="Times New Roman" w:eastAsia="Times New Roman" w:hAnsi="Times New Roman"/>
                <w:sz w:val="23"/>
                <w:szCs w:val="23"/>
                <w:color w:val="auto"/>
                <w:vertAlign w:val="superscript"/>
              </w:rPr>
              <w:t>(2)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340" w:firstLine="8"/>
        <w:spacing w:after="0" w:line="282" w:lineRule="auto"/>
        <w:tabs>
          <w:tab w:leader="none" w:pos="20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costs decreased as a percentage of total cost of services provided (exclusive of depreciation and amortization) during fiscal 2024 compared to the prior year period due to other direct costs increasing at a higher proportion as compared to personnel costs, lower net severance charges ($19.9 million) and moderation of labor inflationary costs.</w:t>
      </w:r>
    </w:p>
    <w:p>
      <w:pPr>
        <w:spacing w:after="0" w:line="53" w:lineRule="exact"/>
        <w:rPr>
          <w:rFonts w:ascii="Times New Roman" w:cs="Times New Roman" w:eastAsia="Times New Roman" w:hAnsi="Times New Roman"/>
          <w:sz w:val="14"/>
          <w:szCs w:val="14"/>
          <w:color w:val="auto"/>
        </w:rPr>
      </w:pPr>
    </w:p>
    <w:p>
      <w:pPr>
        <w:ind w:right="40" w:firstLine="8"/>
        <w:spacing w:after="0" w:line="271" w:lineRule="auto"/>
        <w:tabs>
          <w:tab w:leader="none" w:pos="20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direct costs represented a higher proportion of total cost of services provided (exclusive of depreciation and amortization) during fiscal 2024 compared to the prior year period driven by increased payments made to clients related to business volume growth in the current year. In addition, fiscal 2024 and fiscal 2023 were impacted by non-cash income related to the reduction of contingent consideration liabilities related to acquisition earn outs, net of expense ($8.2 million and $85.7 million, respectively) (see Note 17 to the audited consolidated financial statements).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income increased by $81.5 million during fiscal 2024 compared to the prior year period, which was driven by base business volume growth, cost management, improved supply chain economics and favorable recovery of inflationary costs as compared to the prior year period. The increase in operating income was also attributable to lower net severance charges ($19.9 million), prior year non-cash charges for the impairment of operating lease right-of-use assets and property and equipment related to certain real estate properties ($19.0 million) (see Note 1 to the audited consolidated financial statements) and lower share-based compensation expense ($13.7 million) (see Note 13 to the audited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in operating income more than offset:</w:t>
      </w:r>
    </w:p>
    <w:p>
      <w:pPr>
        <w:spacing w:after="0" w:line="90"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non-cash income from the reduction of the contingent consideration liabilities related to acquisition earn outs, net of expense ($77.5 million) (see Note 17 to the audited consolidated financial statements);</w:t>
      </w:r>
    </w:p>
    <w:p>
      <w:pPr>
        <w:spacing w:after="0" w:line="4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income from proceeds associated with possessory interest at one of the National Park sites ($36.3 million) (see Note 1 to the audited consolidated financial statements);</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20"/>
          <w:szCs w:val="20"/>
          <w:b w:val="1"/>
          <w:bCs w:val="1"/>
          <w:i w:val="1"/>
          <w:iCs w:val="1"/>
          <w:color w:val="212529"/>
        </w:rPr>
      </w:pPr>
      <w:r>
        <w:rPr>
          <w:rFonts w:ascii="Times New Roman" w:cs="Times New Roman" w:eastAsia="Times New Roman" w:hAnsi="Times New Roman"/>
          <w:sz w:val="18"/>
          <w:szCs w:val="18"/>
          <w:color w:val="auto"/>
        </w:rPr>
        <w:t>higher personnel costs from incentive expenses related to the annual bonus;</w:t>
      </w:r>
    </w:p>
    <w:p>
      <w:pPr>
        <w:spacing w:after="0" w:line="80" w:lineRule="exact"/>
        <w:rPr>
          <w:rFonts w:ascii="Times New Roman" w:cs="Times New Roman" w:eastAsia="Times New Roman" w:hAnsi="Times New Roman"/>
          <w:sz w:val="20"/>
          <w:szCs w:val="20"/>
          <w:b w:val="1"/>
          <w:bCs w:val="1"/>
          <w:i w:val="1"/>
          <w:iCs w:val="1"/>
          <w:color w:val="212529"/>
        </w:rPr>
      </w:pPr>
    </w:p>
    <w:p>
      <w:pPr>
        <w:ind w:left="660" w:right="2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related to favorable loss experience under our general liability, automobile liability and workers' compensation liability programs when compared to the prior year ($21.1 million);</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inventory adjustment based on expected usage for certain products within the Corrections business ($18.2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labor related tax credits provided from governmental assistance programs ($12.5 million);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 of foreign currency translation ($12.0 million).</w:t>
      </w:r>
    </w:p>
    <w:p>
      <w:pPr>
        <w:spacing w:after="0" w:line="9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fiscal 2024, we sold our remaining equity investment ownership interest in the San Antonio Spurs NBA franchise in a taxable transaction resulting in a pre-tax gain on sale of this equity investment of $25.1 million, which is included in "Gain on Equity Investments, net" on the Consolidated Statements of Income (see Note 1 to the audited consolidated financial statements).</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fiscal 2023, we recognized a $377.1 million pre-tax gain on the sale of our 50% ownership interest in AIM Services Co., Ltd., which was partially offset by a $1.1 million pre-tax loss from the sale of a portion of our equity investment in the San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Antonio Spurs NBA franchise. The net amount of these transactions is included in "Gain on Equity Investments, net" on the Consolidated Statements of Income (see Note 1 to the audited consolidated financial statements).</w:t>
      </w:r>
    </w:p>
    <w:p>
      <w:pPr>
        <w:spacing w:after="0" w:line="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Interest Expense, net, decreased 16.2% during fiscal 2024 compared to the prior year period. The decrease was primarily due to lower interest expense related to the repayment of the 6.375% Senior Notes due May 1, 2025 ("6.375% 2025 Notes"). Additionally, the decrease was partially offset by the payment of a $23.9 million call premium, $8.3 million of higher non-cash losses for the write-off of unamortized deferred financing costs and transaction costs related to the refinancing and repricing transactions in fiscal 2024 (see Note 6 to the audited consolidated financial statements) and higher borrowings on the Receivables Facility throughout fiscal 2024.</w:t>
      </w:r>
    </w:p>
    <w:p>
      <w:pPr>
        <w:spacing w:after="0" w:line="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fiscal 2024 and fiscal 2023 was recorded at an effective tax rate of 28.2% and 20.7%, respectively. The higher effective tax rate in the current year compared to the prior year was driven by prior year favorable tax effects from the sale of our equity investment in AIM Services Co., Ltd. (see Note 1 to the audited consolidated financial statements) and a higher prior year reversal of a portion of the Union Supply contingent consideration liability (see Note 17 to the audited consolidated financial statements), as the majority of the gains from these transactions were not subject to tax.</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is summarized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4"/>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6"/>
                <w:szCs w:val="16"/>
                <w:color w:val="auto"/>
              </w:rPr>
            </w:pPr>
          </w:p>
        </w:tc>
        <w:tc>
          <w:tcPr>
            <w:tcW w:w="180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r>
      <w:tr>
        <w:trPr>
          <w:trHeight w:val="190"/>
        </w:trPr>
        <w:tc>
          <w:tcPr>
            <w:tcW w:w="59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00" w:type="dxa"/>
            <w:vAlign w:val="bottom"/>
          </w:tcPr>
          <w:p>
            <w:pPr>
              <w:spacing w:after="0"/>
              <w:rPr>
                <w:sz w:val="16"/>
                <w:szCs w:val="16"/>
                <w:color w:val="auto"/>
              </w:rPr>
            </w:pPr>
          </w:p>
        </w:tc>
        <w:tc>
          <w:tcPr>
            <w:tcW w:w="1800" w:type="dxa"/>
            <w:vAlign w:val="bottom"/>
            <w:tcBorders>
              <w:top w:val="single" w:sz="8" w:color="auto"/>
            </w:tcBorders>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&amp; Industry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Healthcare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Facilities &amp; Other</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5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60" w:firstLine="8"/>
        <w:spacing w:after="0" w:line="262" w:lineRule="auto"/>
        <w:tabs>
          <w:tab w:leader="none" w:pos="17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fiscal 2024, management began reporting results for healthcare facility services within "Healthcare," whereas the results were previously reported within "Facilities &amp; Other." As such, the "Healthcare" and "Facilities &amp; Other" results for the fiscal year ended September 29, 2023 were recast to reflect this change.</w:t>
      </w:r>
    </w:p>
    <w:p>
      <w:pPr>
        <w:spacing w:after="0" w:line="65"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Facilities &amp; Other and Healthcare sectors had high-single digit operating income margins, consistent with prior year. The Education sector had high-single digit operating income margins compared to mid-single digit operating income margins in the prior year. The Sports, Leisure &amp; Corrections sector had mid-single digit operating income margins, consistent with prior year. The Business &amp; Industry sector had mid-single digit operating income margins compared to low-single digit operating income margins in the prior year.</w:t>
      </w:r>
    </w:p>
    <w:p>
      <w:pPr>
        <w:spacing w:after="0" w:line="4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FSS United States segment revenue increased by approximately 7.3% during fiscal 2024 compared to the prior year period. The increase was primarily attributable to base business growth, including higher volume within our Business &amp; Industry and Sports, Leisure &amp; Corrections sectors. Additionally, contract price increases, especially within our Higher Education and Corrections businesses, contributed to year-over-year growth. The Facilities &amp; Other sector increase was attributable to base business growth, which was partially offset by lost business occurring late in fiscal 2024. The Healthcare sector decrease was primarily attributable to portfolio optimization occurring late in fiscal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increased by $9.9 million during fiscal 2024 compared to the prior year period. The increase was attributable to:</w:t>
      </w:r>
    </w:p>
    <w:p>
      <w:pPr>
        <w:spacing w:after="0" w:line="10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business volume growth, cost management and improved supply chain economics;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recovery of inflationary costs as compared to prior year period;</w:t>
      </w:r>
    </w:p>
    <w:p>
      <w:pPr>
        <w:spacing w:after="0" w:line="10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non-cash charges for the impairment of operating lease right-of-use assets and property and equipment related to certain real estate properties ($19.0 million) (see Note 1 to the audited consolidated financial statements);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non-cash charges related to information technology assets ($8.2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in operating income more than offset the following:</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non-cash income from the reduction of the contingent consideration liabilities related to acquisition earn outs, net of expense ($77.5 million) (see Note 17 to the audited consolidated financial statements);</w:t>
      </w:r>
    </w:p>
    <w:p>
      <w:pPr>
        <w:spacing w:after="0" w:line="26"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income from proceeds associated with possessory interest at one of the National Park sites ($36.3 million) (see Note 1 to the audited consolidated financial statements);</w:t>
      </w:r>
    </w:p>
    <w:p>
      <w:pPr>
        <w:spacing w:after="0" w:line="40"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related to favorable loss experience under our general liability, automobile liability and workers' compensation liability programs ($21.1 million);</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b w:val="1"/>
          <w:bCs w:val="1"/>
          <w:i w:val="1"/>
          <w:iCs w:val="1"/>
          <w:color w:val="212529"/>
        </w:rPr>
      </w:pPr>
      <w:r>
        <w:rPr>
          <w:rFonts w:ascii="Times New Roman" w:cs="Times New Roman" w:eastAsia="Times New Roman" w:hAnsi="Times New Roman"/>
          <w:sz w:val="18"/>
          <w:szCs w:val="18"/>
          <w:color w:val="auto"/>
        </w:rPr>
        <w:t>higher personnel costs from incentive expenses related to the annual bonus; and</w:t>
      </w:r>
    </w:p>
    <w:p>
      <w:pPr>
        <w:spacing w:after="0" w:line="80" w:lineRule="exact"/>
        <w:rPr>
          <w:rFonts w:ascii="Times New Roman" w:cs="Times New Roman" w:eastAsia="Times New Roman" w:hAnsi="Times New Roman"/>
          <w:sz w:val="20"/>
          <w:szCs w:val="20"/>
          <w:b w:val="1"/>
          <w:bCs w:val="1"/>
          <w:i w:val="1"/>
          <w:iCs w:val="1"/>
          <w:color w:val="212529"/>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inventory adjustment based on expected usage for certain products within the Corrections business ($18.2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FSS International segment revenue increased by approximately 10.6% during fiscal 2024 compared to the prior year period. The increase was primarily attributable to base business growth, including volume growth and contract price increases, and net new business growth. The growth in revenue was offset by the unfavorable impact of foreign currency translation by 6.3%.</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income increased by $72.8 million during fiscal 2024 compared to the prior year period. The increase was mainly attributable to the volume growth in base business, net new business and improved supply chain economics. The increase was also attributable to lower net severance charges ($30.0 million), a prior year non-cash charge for the impairment of certain assets related to a business held-for-sale ($5.2 million) and lower currency translation losses from Argentina hyperinflation ($5.0 million) (see Note 1 to the audited consolidated financial statements). These increases in operating income more than offset the following:</w:t>
      </w:r>
    </w:p>
    <w:p>
      <w:pPr>
        <w:spacing w:after="0" w:line="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labor related tax credits provided from governmental assistance programs ($12.5 million);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impact of foreign currency translation ($11.6 million);</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b w:val="1"/>
          <w:bCs w:val="1"/>
          <w:i w:val="1"/>
          <w:iCs w:val="1"/>
          <w:color w:val="212529"/>
        </w:rPr>
      </w:pPr>
      <w:r>
        <w:rPr>
          <w:rFonts w:ascii="Times New Roman" w:cs="Times New Roman" w:eastAsia="Times New Roman" w:hAnsi="Times New Roman"/>
          <w:sz w:val="18"/>
          <w:szCs w:val="18"/>
          <w:color w:val="auto"/>
        </w:rPr>
        <w:t>decline in profit related to the sale of our 50% ownership interest in AIM Services Co., Ltd.;</w:t>
      </w:r>
    </w:p>
    <w:p>
      <w:pPr>
        <w:spacing w:after="0" w:line="80" w:lineRule="exact"/>
        <w:rPr>
          <w:rFonts w:ascii="Times New Roman" w:cs="Times New Roman" w:eastAsia="Times New Roman" w:hAnsi="Times New Roman"/>
          <w:sz w:val="20"/>
          <w:szCs w:val="20"/>
          <w:b w:val="1"/>
          <w:bCs w:val="1"/>
          <w:i w:val="1"/>
          <w:iCs w:val="1"/>
          <w:color w:val="212529"/>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a ruling on a foreign tax matter ($6.8 million);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personnel costs from incentive expenses related to the annual bonus.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Corporate expenses, those administrative expenses not allocated to the business segments, increased by $1.2 million during fiscal 2024 compared to the prior year period. The increase was attributable to higher expenses related to the separation and distribution of the Uniform segment ($9.1 million) (see Note 2 to the audited consolidated financial statements) and higher personnel costs from incentive expenses related to the annual bonus, partially offset by lower share-based compensation expense ($13.7 million) compared to the prior year period (see Note 13 to the audited consolidated financial statements).</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 Compared to Fiscal 2022</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an overview of our results on a consolidated and segment basis with the amount of and percentage change between periods for the fiscal years 2023 and 2022 (dollars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gridSpan w:val="7"/>
          </w:tcPr>
          <w:p>
            <w:pPr>
              <w:ind w:left="10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6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1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4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2,159.2</w:t>
            </w:r>
          </w:p>
        </w:tc>
        <w:tc>
          <w:tcPr>
            <w:tcW w:w="4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tcBorders>
              <w:bottom w:val="single" w:sz="8" w:color="auto"/>
            </w:tcBorders>
          </w:tcPr>
          <w:p>
            <w:pPr>
              <w:spacing w:after="0"/>
              <w:rPr>
                <w:sz w:val="19"/>
                <w:szCs w:val="19"/>
                <w:color w:val="auto"/>
              </w:rPr>
            </w:pPr>
          </w:p>
        </w:tc>
        <w:tc>
          <w:tcPr>
            <w:tcW w:w="16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23"/>
        </w:trPr>
        <w:tc>
          <w:tcPr>
            <w:tcW w:w="4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4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Equity Investments, net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(376.0)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(376.0)</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40" w:type="dxa"/>
            <w:vAlign w:val="bottom"/>
            <w:tcBorders>
              <w:bottom w:val="single" w:sz="8" w:color="auto"/>
            </w:tcBorders>
          </w:tcPr>
          <w:p>
            <w:pPr>
              <w:spacing w:after="0"/>
              <w:rPr>
                <w:sz w:val="19"/>
                <w:szCs w:val="19"/>
                <w:color w:val="auto"/>
              </w:rPr>
            </w:pPr>
          </w:p>
        </w:tc>
        <w:tc>
          <w:tcPr>
            <w:tcW w:w="16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2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40" w:type="dxa"/>
            <w:vAlign w:val="bottom"/>
            <w:tcBorders>
              <w:bottom w:val="single" w:sz="8" w:color="auto"/>
            </w:tcBorders>
          </w:tcPr>
          <w:p>
            <w:pPr>
              <w:spacing w:after="0"/>
              <w:rPr>
                <w:sz w:val="19"/>
                <w:szCs w:val="19"/>
                <w:color w:val="auto"/>
              </w:rPr>
            </w:pPr>
          </w:p>
        </w:tc>
        <w:tc>
          <w:tcPr>
            <w:tcW w:w="1660" w:type="dxa"/>
            <w:vAlign w:val="bottom"/>
            <w:tcBorders>
              <w:bottom w:val="single" w:sz="8" w:color="CCEEFF"/>
            </w:tcBorders>
            <w:gridSpan w:val="3"/>
          </w:tcPr>
          <w:p>
            <w:pPr>
              <w:jc w:val="right"/>
              <w:ind w:right="26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7"/>
          </w:tcPr>
          <w:p>
            <w:pPr>
              <w:ind w:left="9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9"/>
                <w:szCs w:val="9"/>
                <w:b w:val="1"/>
                <w:bCs w:val="1"/>
                <w:color w:val="auto"/>
              </w:rPr>
              <w:t>(1)</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10,030.8</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66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7"/>
          </w:tcPr>
          <w:p>
            <w:pPr>
              <w:ind w:left="9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by Segment</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49.4 %</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40" w:type="dxa"/>
            <w:vAlign w:val="bottom"/>
          </w:tcPr>
          <w:p>
            <w:pPr>
              <w:spacing w:after="0"/>
              <w:rPr>
                <w:sz w:val="19"/>
                <w:szCs w:val="19"/>
                <w:color w:val="auto"/>
              </w:rPr>
            </w:pPr>
          </w:p>
        </w:tc>
        <w:tc>
          <w:tcPr>
            <w:tcW w:w="166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50.5 %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Not meaningful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As a percentage of total revenue, FSS United States represented 72.9% and 73.3% and FSS International represented 27.1% and 26.7% for fiscal 2023 and fiscal 2022,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Overview</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Revenue increased by 17.5% during fiscal 2023 compared to fiscal 2022, which was primarily attributable to growth in base business, including pricing pass-throughs, and net new business. In addition, the Union Supply acquisition contributed an additional 1.5% of revenue in fiscal year 2023 compared to fiscal year 2022. Foreign currency translation unfavorably impacted revenue during fiscal 2023 by 1.4%.</w:t>
      </w:r>
    </w:p>
    <w:p>
      <w:pPr>
        <w:spacing w:after="0" w:line="4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cost of services provided (exclusive of depreciation and amortization) by segment and as a percent of revenue for fiscal 2023 and fiscal 2022.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r>
      <w:tr>
        <w:trPr>
          <w:trHeight w:val="189"/>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300" w:type="dxa"/>
            <w:vAlign w:val="bottom"/>
          </w:tcPr>
          <w:p>
            <w:pPr>
              <w:spacing w:after="0"/>
              <w:rPr>
                <w:sz w:val="16"/>
                <w:szCs w:val="16"/>
                <w:color w:val="auto"/>
              </w:rPr>
            </w:pPr>
          </w:p>
        </w:tc>
        <w:tc>
          <w:tcPr>
            <w:tcW w:w="232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9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w:t>
            </w: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29"/>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r>
      <w:tr>
        <w:trPr>
          <w:trHeight w:val="230"/>
        </w:trPr>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4,159.1</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3,456.5</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94.5 %</w:t>
            </w:r>
          </w:p>
        </w:tc>
      </w:tr>
      <w:tr>
        <w:trPr>
          <w:trHeight w:val="248"/>
        </w:trPr>
        <w:tc>
          <w:tcPr>
            <w:tcW w:w="5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92.2 %</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attributable to the components in cost of services provided (exclusive of depreciation and amortization) for fiscal 2023 and fiscal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20" w:type="dxa"/>
            <w:vAlign w:val="bottom"/>
            <w:gridSpan w:val="3"/>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23"/>
        </w:trPr>
        <w:tc>
          <w:tcPr>
            <w:tcW w:w="7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 components</w:t>
            </w:r>
          </w:p>
        </w:tc>
        <w:tc>
          <w:tcPr>
            <w:tcW w:w="190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gridSpan w:val="2"/>
            <w:vMerge w:val="continue"/>
          </w:tcPr>
          <w:p>
            <w:pPr>
              <w:spacing w:after="0"/>
              <w:rPr>
                <w:sz w:val="16"/>
                <w:szCs w:val="16"/>
                <w:color w:val="auto"/>
              </w:rPr>
            </w:pP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9"/>
        </w:trPr>
        <w:tc>
          <w:tcPr>
            <w:tcW w:w="740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Food and support service costs</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direct costs</w:t>
            </w:r>
            <w:r>
              <w:rPr>
                <w:rFonts w:ascii="Times New Roman" w:cs="Times New Roman" w:eastAsia="Times New Roman" w:hAnsi="Times New Roman"/>
                <w:sz w:val="23"/>
                <w:szCs w:val="23"/>
                <w:color w:val="auto"/>
                <w:vertAlign w:val="superscript"/>
              </w:rPr>
              <w:t>(3)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400" w:firstLine="8"/>
        <w:spacing w:after="0" w:line="302" w:lineRule="auto"/>
        <w:tabs>
          <w:tab w:leader="none" w:pos="20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support service costs represented a higher proportion of total cost of services provided (exclusive of depreciation and amortization) during fiscal 2023 compared to fiscal 2022 mainly from product cost inflation and volume increases due to revenue growth.</w:t>
      </w:r>
    </w:p>
    <w:p>
      <w:pPr>
        <w:spacing w:after="0" w:line="26" w:lineRule="exact"/>
        <w:rPr>
          <w:rFonts w:ascii="Times New Roman" w:cs="Times New Roman" w:eastAsia="Times New Roman" w:hAnsi="Times New Roman"/>
          <w:sz w:val="14"/>
          <w:szCs w:val="14"/>
          <w:color w:val="auto"/>
        </w:rPr>
      </w:pPr>
    </w:p>
    <w:p>
      <w:pPr>
        <w:ind w:right="220" w:firstLine="8"/>
        <w:spacing w:after="0" w:line="302" w:lineRule="auto"/>
        <w:tabs>
          <w:tab w:leader="none" w:pos="20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costs decreased as a percentage of total cost of services provided (exclusive of depreciation and amortization) during fiscal 2023 compared to fiscal 2022 due to food and support service costs increasing at a higher proportion as compared to personnel costs.</w:t>
      </w:r>
    </w:p>
    <w:p>
      <w:pPr>
        <w:spacing w:after="0" w:line="26" w:lineRule="exact"/>
        <w:rPr>
          <w:rFonts w:ascii="Times New Roman" w:cs="Times New Roman" w:eastAsia="Times New Roman" w:hAnsi="Times New Roman"/>
          <w:sz w:val="14"/>
          <w:szCs w:val="14"/>
          <w:color w:val="auto"/>
        </w:rPr>
      </w:pPr>
    </w:p>
    <w:p>
      <w:pPr>
        <w:ind w:right="80" w:firstLine="8"/>
        <w:spacing w:after="0" w:line="281" w:lineRule="auto"/>
        <w:tabs>
          <w:tab w:leader="none" w:pos="20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direct costs represented a lower proportion of total cost of services provided (exclusive of depreciation and amortization) during fiscal 2023 compared to fiscal 2022 driven by food and support service costs increasing at a higher proportion as compared to other direct costs. Fiscal 2023 and fiscal 2022 were impacted by non-cash income related to the reduction of contingent consideration liabilities related to acquisition earn outs, net of expense ($85.7 million and $15.1 million, respectively) (see Note 17 to the audited consolidated financial statements).</w:t>
      </w:r>
    </w:p>
    <w:p>
      <w:pPr>
        <w:spacing w:after="0" w:line="4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Operating income increased by $209.6 million during fiscal 2023 compared to fiscal 2022, which was driven by base business growth, including volume recovery from COVID-19, and effective cost management. The increase in operating income also benefited from higher non-cash income from the reduction of the contingent consideration liabilities related to acquisition earn outs, net of expense ($70.6 million) (see Note 17 to the audited consolidated financial statements), from higher income related to favorable loss experience under our general liability, automobile liability and workers' compensation liability programs in fiscal 2023 when compared to fiscal 2022 ($19.1 million) and higher income from proceeds associated with possessory interest at one of the National Park sites in fiscal 2023 when compared to fiscal 2022 ($17.3 million) (see Note 1 to the audited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in operating income more than offset:</w:t>
      </w:r>
    </w:p>
    <w:p>
      <w:pPr>
        <w:spacing w:after="0" w:line="10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costs in product, energy and labor;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labor related tax credits provided from governmental assistance programs in fiscal 2022 as compared to fiscal 2023 ($24.1 million);</w:t>
      </w:r>
    </w:p>
    <w:p>
      <w:pPr>
        <w:spacing w:after="0" w:line="10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of operating lease right-of-use assets and property and equipment and other costs related to certain real estate properties ($19.0 million) (see Note 1 to the audited consolidated financial statements);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expenses related to the spin-off of the Uniform segment ($14.8 million);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severance charges ($13.2 million);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 of foreign currency translation ($9.6 million).</w:t>
      </w:r>
    </w:p>
    <w:p>
      <w:pPr>
        <w:spacing w:after="0" w:line="10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During fiscal 2023, we recognized a $377.1 million pre-tax gain on the sale of our 50% ownership interest in AIM Services Co., Ltd., which was partially offset by a $1.1 million pre-tax loss from the sale of a portion of our equity investment in the San Antonio Spurs NBA franchise. The net amount of these transactions is included in "Gain on Equity Investments, net" on the Consolidated Statements of Income (see Note 1 to the audited consolidated financial statements).</w:t>
      </w:r>
    </w:p>
    <w:p>
      <w:pPr>
        <w:spacing w:after="0" w:line="4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Interest Expense, net increased 18.8% during fiscal 2023 compared to fiscal 2022. The increase was primarily due to higher interest rates related to our senior secured term loan facilities, our Receivables Facility and our revolving credit facility.</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fiscal 2023 and fiscal 2022 was recorded at an effective tax rate of 20.7% and 17.9%, respectively. During fiscal 2023 and fiscal 2022, we recorded an income tax benefit of $3.8 million and $8.5 million, respectively, for the reversal of a valuation allowance at a subsidiary in the FSS International segment driven by our ability to utilize deferred tax assets based on future taxable income expected due to business acquisitions. We also recorded a benefit to</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Provision for Income Taxes of $3.8 million during fiscal 2022 due to a state tax law change. The effective tax rate in fiscal 2023 was benefited by the favorable tax effects from the sale of our equity investment in AIM Services Co., Ltd. (see Note 1 to the audited consolidated financial statements) and the reversal of a portion of the Union Supply contingent consideration liability (see Note 17 to the audited consolidated financial statements), as the majority of the gains from these transactions were not subject to tax.</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is summarized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4"/>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6"/>
                <w:szCs w:val="16"/>
                <w:color w:val="auto"/>
              </w:rPr>
            </w:pPr>
          </w:p>
        </w:tc>
        <w:tc>
          <w:tcPr>
            <w:tcW w:w="180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r>
      <w:tr>
        <w:trPr>
          <w:trHeight w:val="190"/>
        </w:trPr>
        <w:tc>
          <w:tcPr>
            <w:tcW w:w="59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800" w:type="dxa"/>
            <w:vAlign w:val="bottom"/>
            <w:tcBorders>
              <w:top w:val="single" w:sz="8" w:color="auto"/>
            </w:tcBorders>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&amp; Industry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5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Healthcare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29.9 %</w:t>
            </w:r>
          </w:p>
        </w:tc>
      </w:tr>
      <w:tr>
        <w:trPr>
          <w:trHeight w:val="229"/>
        </w:trPr>
        <w:tc>
          <w:tcPr>
            <w:tcW w:w="5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Facilities &amp; Other</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23"/>
        </w:trPr>
        <w:tc>
          <w:tcPr>
            <w:tcW w:w="5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0" w:firstLine="8"/>
        <w:spacing w:after="0" w:line="262" w:lineRule="auto"/>
        <w:tabs>
          <w:tab w:leader="none" w:pos="178"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fiscal 2024, management began reporting results for healthcare facility services within "Healthcare," whereas the results were previously reported within "Facilities &amp; Other." As such, the "Healthcare" and "Facilities &amp; Other" results for the fiscal years ended September 29, 2023 and September 30, 2022 were recast to reflect this change.</w:t>
      </w:r>
    </w:p>
    <w:p>
      <w:pPr>
        <w:spacing w:after="0" w:line="6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Healthcare and Facilities &amp; Other sectors had high-single digit operating income margins, consistent in both fiscal 2023 and fiscal 2022. The Education and Sports, Leisure &amp; Corrections sectors had mid-single digit operating income margins, consistent in both fiscal 2023 and fiscal 2022. The Business &amp; Industry sector had low-single digit operating income margins in fiscal 2023 compared to negative low-single digit operating income margins in fiscal 2022. During the COVID-19 pandemic and in following periods, operating income margin in certain sectors within the FSS United States reportable segment have differed from our otherwise historical patterns, particularly in the Business &amp; Industry sector.</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FSS United States segment revenue increased by approximately 16.9% during fiscal 2023 compared to fiscal 2022. The increase was primarily attributable to base business growth, including contract price increases mainly within the Corrections and Higher Education businesses, and net new business growth. The Sports, Leisure &amp; Corrections sector increased due to higher per capita customer spending in stadiums and arenas and the acquisition of Union Supply, which contributed an additional 2.0% of revenue during fiscal 2023 as compared to fiscal 2022. The Business &amp; Industry sector increased due to client personnel continuing to return to office locations.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increased by $214.9 million during fiscal 2023 compared to fiscal 2022. The increase was attributable to:</w:t>
      </w:r>
    </w:p>
    <w:p>
      <w:pPr>
        <w:spacing w:after="0" w:line="9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business growth, including volume recovery from COVID-19, and effective cost management;</w:t>
      </w:r>
    </w:p>
    <w:p>
      <w:pPr>
        <w:spacing w:after="0" w:line="103"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non-cash income from the reduction of the contingent consideration liabilities related to acquisition earn outs, net of expense ($70.6 million) (see Note 17 to the audited consolidated financial statements);</w:t>
      </w:r>
    </w:p>
    <w:p>
      <w:pPr>
        <w:spacing w:after="0" w:line="40"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income related to favorable loss experience under our general liability, automobile liability and workers' compensation liability programs when compared to fiscal 2022 ($19.1 million);</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4"/>
        </w:numPr>
        <w:rPr>
          <w:rFonts w:ascii="Times New Roman" w:cs="Times New Roman" w:eastAsia="Times New Roman" w:hAnsi="Times New Roman"/>
          <w:sz w:val="18"/>
          <w:szCs w:val="18"/>
          <w:i w:val="1"/>
          <w:iCs w:val="1"/>
          <w:u w:val="single" w:color="auto"/>
          <w:color w:val="212529"/>
        </w:rPr>
      </w:pPr>
      <w:r>
        <w:rPr>
          <w:rFonts w:ascii="Times New Roman" w:cs="Times New Roman" w:eastAsia="Times New Roman" w:hAnsi="Times New Roman"/>
          <w:sz w:val="18"/>
          <w:szCs w:val="18"/>
          <w:color w:val="auto"/>
        </w:rPr>
        <w:t>higher income from proceeds associated with possessory interest at one of the National Park sites when compared to fiscal 2022 ($17.3 million) (see Note 1 to the audited consolidated financial statements); and</w:t>
      </w:r>
    </w:p>
    <w:p>
      <w:pPr>
        <w:spacing w:after="0" w:line="40" w:lineRule="exact"/>
        <w:rPr>
          <w:rFonts w:ascii="Times New Roman" w:cs="Times New Roman" w:eastAsia="Times New Roman" w:hAnsi="Times New Roman"/>
          <w:sz w:val="18"/>
          <w:szCs w:val="18"/>
          <w:i w:val="1"/>
          <w:iCs w:val="1"/>
          <w:u w:val="single" w:color="auto"/>
          <w:color w:val="212529"/>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income attributed to the Union Supply acquisition as compared to fiscal 2022 ($10.6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in operating income more than offset the following:</w:t>
      </w:r>
    </w:p>
    <w:p>
      <w:pPr>
        <w:spacing w:after="0" w:line="9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costs in food and labor;</w:t>
      </w:r>
    </w:p>
    <w:p>
      <w:pPr>
        <w:spacing w:after="0" w:line="10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for the impairment of operating lease right-of-use assets and property and equipment related to certain real estate properties ($19.0 million) (see Note 1 to the audited consolidated financial statements);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 for the impairment of computer software assets ($8.2 million).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FSS International segment revenue increased by approximately 19.3% during fiscal 2023 compared to fiscal 2022. The increase was primarily attributable to base business growth, including contract price increases, and net new business growth. The growth in revenue was offset by the unfavorable impact of foreign currency translation by 5.0%.</w:t>
      </w:r>
    </w:p>
    <w:p>
      <w:pPr>
        <w:spacing w:after="0" w:line="54"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Operating income increased by $2.0 million during fiscal 2023 compared to fiscal 2022. The increase was attributable to growth in base and net new business and lower personnel costs from headcount reductions taken during the second quarter of fiscal 2023 and late fiscal 2022. These increases in operating income more than offset the following:</w:t>
      </w:r>
    </w:p>
    <w:p>
      <w:pPr>
        <w:spacing w:after="0" w:line="5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costs in product and labor;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labor related tax credits provided from governmental assistance programs in fiscal 2022 as compared to fiscal 2023 ($24.1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severance charges ($18.0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impact related to a client contract dispute in fiscal 2022 ($9.6 million);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impact of foreign currency translation ($7.8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profit related to the sale of our 50% ownership interest in AIM Services Co., Ltd.;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currency translation losses from Argentina hyperinflation ($7.0 million) (see Note 1 to the audited consolidated financial statements);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for the impairment of certain assets related to a business that was sold ($5.2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Corporate expenses, those administrative expenses not allocated to the business segments, increased by $7.3 million during fiscal 2023 compared to fiscal 2022. The increase in corporate expenses was attributable to higher expenses related to the separation and distribution of the Uniform segment compared to prior year period ($14.8 million). These increases in corporate expenses were partially offset by lower share-based compensation expenses ($6.0 million) when compared to fiscal 2022 (see Note 13 to the audited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cash generated from operating activities, funds from borrowings, investments in marketable securities and existing cash on hand. As of September 27, 2024, we had $672.5 million of cash and cash equivalents, $42.3 million of marketable securities, $1,341.6 million of availability under our senior secured revolving credit facility and $600.0 million of availability under the Receivables Facility. A significant portion of our cash and cash equivalents are held in mature, liquid geographies where we have operations. As of September 27, 2024, there were $733.3 million of outstanding foreign currency borrowings. As of September 27, 2024, the 5.000% Senior Notes due April 1, 2025 and 3.125% Senior Notes due April 1, 2025 mature within one year. We intend to repay, redeem or otherwise refinance the outstanding obligations related to these securities.</w:t>
      </w:r>
    </w:p>
    <w:p>
      <w:pPr>
        <w:spacing w:after="0" w:line="5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August 2, 2024, we entered into Amendment No. 15 to the Credit Agreement, which refinanced and replaced our approximately $1.2 billion multi-currency revolving credit facility and approximately $225 million Term A Loans due April 2026 into an amended $1.4 billion multi-currency revolving credit facility and $500 million Term A Loans, extending the maturity to August 2029. In addition, Amendment No. 15 increases the revolving credit facility capacity by approximately $250 million and reduces the applicable margin. We utilized the net proceeds from the increased principal amount of Term A Loans to reduce the outstanding revolving credit facility balance by approximately $275 million (see Note 6 to the audited consolidated financial statements).</w:t>
      </w:r>
    </w:p>
    <w:p>
      <w:pPr>
        <w:spacing w:after="0" w:line="6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November 5, 2024, the Board of Directors approved a share repurchase program under which we are authorized to repurchase up to $500 million of Aramark's outstanding common stock. The share repurchase program does not have a fixed expiration date.</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marketable securities and availability under our revolving credit facility and Receivables Facility will be adequate to meet anticipated cash requirements for the foreseeable future to fund working capital, capital spending, debt service obligations, refinancings, dividends and other cash needs. We also have flexibility to optimize working capital and defer certain capital 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activity (in millions):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 of Continuing Operations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 of Continuing Operations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(1,561.2)</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to the audited Consolidated Statements of Cash Flows will facilitate understanding of the discussion that follows.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increased by $214.9 million during fiscal 2024 compared to the prior year period. The change was driven by higher net income, inclusive of the add-back of non-cash gains and losses and adjustments to non-operating cash transactions, in fiscal 2024 compared to the prior year period, as discussed in "Results of Operations" above. Additionally, cash provided by operating activities was favorably impacted by the change in operating assets and liabilities compared to the prior year period by $33.9 million, which was primarily due to:</w:t>
      </w:r>
    </w:p>
    <w:p>
      <w:pPr>
        <w:spacing w:after="0" w:line="45" w:lineRule="exact"/>
        <w:rPr>
          <w:sz w:val="20"/>
          <w:szCs w:val="20"/>
          <w:color w:val="auto"/>
        </w:rPr>
      </w:pPr>
    </w:p>
    <w:p>
      <w:pPr>
        <w:ind w:left="660" w:right="1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by $78.1 million, resulting in a lower use of cash during fiscal 2024 compared to the prior year period due to higher revenue growth in the prior year period as compared to fiscal 2024 and timing of collections; and</w:t>
      </w:r>
    </w:p>
    <w:p>
      <w:pPr>
        <w:spacing w:after="0" w:line="53" w:lineRule="exact"/>
        <w:rPr>
          <w:rFonts w:ascii="Times New Roman" w:cs="Times New Roman" w:eastAsia="Times New Roman" w:hAnsi="Times New Roman"/>
          <w:sz w:val="18"/>
          <w:szCs w:val="18"/>
          <w:color w:val="auto"/>
        </w:rPr>
      </w:pPr>
    </w:p>
    <w:p>
      <w:pPr>
        <w:ind w:left="660" w:right="420" w:hanging="328"/>
        <w:spacing w:after="0" w:line="271" w:lineRule="auto"/>
        <w:tabs>
          <w:tab w:leader="none" w:pos="648" w:val="left"/>
        </w:tabs>
        <w:numPr>
          <w:ilvl w:val="0"/>
          <w:numId w:val="27"/>
        </w:numPr>
        <w:rPr>
          <w:rFonts w:ascii="Times New Roman" w:cs="Times New Roman" w:eastAsia="Times New Roman" w:hAnsi="Times New Roman"/>
          <w:sz w:val="20"/>
          <w:szCs w:val="20"/>
          <w:i w:val="1"/>
          <w:iCs w:val="1"/>
          <w:color w:val="212529"/>
        </w:rPr>
      </w:pPr>
      <w:r>
        <w:rPr>
          <w:rFonts w:ascii="Times New Roman" w:cs="Times New Roman" w:eastAsia="Times New Roman" w:hAnsi="Times New Roman"/>
          <w:sz w:val="18"/>
          <w:szCs w:val="18"/>
          <w:color w:val="auto"/>
        </w:rPr>
        <w:t>Inventories by $31.5 million, resulting in a lower use of cash during fiscal 2024 compared to the prior year period due to improved inventory management in the Sports, Leisure &amp; Corrections sector.</w:t>
      </w:r>
    </w:p>
    <w:p>
      <w:pPr>
        <w:spacing w:after="0" w:line="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changes in operating assets and liabilities more than offset accrued expenses by $72.8 million resulting in a lower source of cash during fiscal 2024 compared to the prior year period primarily due to the increase in income tax payments, higher commission payments in our Sports &amp; Entertainment business, timing of interest payments on lower borrowings, lower advances received in our Higher Education business, the timing of insurance and other payments; partially offset by lower payments related to the annual bonus and timing of payroll taxes.</w:t>
      </w:r>
    </w:p>
    <w:p>
      <w:pPr>
        <w:spacing w:after="0" w:line="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fiscal 2024 and fiscal 2023, we received proceeds of $6.5 million and $21.4 million, respectively, related to favorable loss experience in older insurance years under our general liability, automobile liability and workers' compensation programs. "Payments made to clients on contracts" generated a higher use of cash during fiscal 2024 compared to the prior year period primarily due to contract renewals and new business. The "Other operating activities" caption in both periods reflects adjustments to net income in the current year and prior year periods related to non-cash gains and losses and adjustments to non-operating cash transactions.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Investing Activities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net cash flows used in investing activities during fiscal 2024 was primarily impacted by purchases of property and equipment and other ($427.4 million), acquisitions of certain businesses ($148.7 million) and purchases of United States Treasury securities related to our captive insurance subsidiary ($113.3 million), partially offset by proceeds from the maturity of United States Treasury securities related to our captive insurance subsidiary ($186.4 million) and proceeds from sale of equity investments ($101.2 million) (see Note 1 to the audited consolidated financial statements).</w:t>
      </w:r>
    </w:p>
    <w:p>
      <w:pPr>
        <w:spacing w:after="0" w:line="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net cash flows provided by investing activities during fiscal 2023 was primarily impacted by proceeds from the sales of equity investments ($633.2 million) (see Note 1 to the audited consolidated financial statements) and proceeds from the maturity of United States Treasury securities related to our captive insurance subsidiary ($80.0 million), partially offset by purchases of property and equipment and other ($383.5 million), purchases of United States Treasury securities related to our captive insurance subsidiary ($110.0 million) and acquisitions of certain businesses ($50.2 million).</w:t>
      </w:r>
    </w:p>
    <w:p>
      <w:pPr>
        <w:spacing w:after="0" w:line="4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"Other investing activities" caption during fiscal 2023 includes $37.6 million of proceeds received relating to possessory interest at one of the National Park sites within our Sports, Leisure &amp; Corrections sector.</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cash used in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b w:val="1"/>
          <w:bCs w:val="1"/>
          <w:i w:val="1"/>
          <w:iCs w:val="1"/>
          <w:color w:val="212529"/>
        </w:rPr>
      </w:pPr>
      <w:r>
        <w:rPr>
          <w:rFonts w:ascii="Times New Roman" w:cs="Times New Roman" w:eastAsia="Times New Roman" w:hAnsi="Times New Roman"/>
          <w:sz w:val="18"/>
          <w:szCs w:val="18"/>
          <w:color w:val="auto"/>
        </w:rPr>
        <w:t>repayment of the 6.375% 2025 Notes ($1,500.0 million);</w:t>
      </w:r>
    </w:p>
    <w:p>
      <w:pPr>
        <w:spacing w:after="0" w:line="103" w:lineRule="exact"/>
        <w:rPr>
          <w:rFonts w:ascii="Times New Roman" w:cs="Times New Roman" w:eastAsia="Times New Roman" w:hAnsi="Times New Roman"/>
          <w:sz w:val="18"/>
          <w:szCs w:val="18"/>
          <w:b w:val="1"/>
          <w:bCs w:val="1"/>
          <w:i w:val="1"/>
          <w:iCs w:val="1"/>
          <w:color w:val="212529"/>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foreign denominated term loans due 2026 ($259.4 million);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repayments under the revolving credit facility ($166.1 million); and</w:t>
      </w:r>
    </w:p>
    <w:p>
      <w:pPr>
        <w:spacing w:after="0" w:line="103" w:lineRule="exact"/>
        <w:rPr>
          <w:rFonts w:ascii="Times New Roman" w:cs="Times New Roman" w:eastAsia="Times New Roman" w:hAnsi="Times New Roman"/>
          <w:sz w:val="18"/>
          <w:szCs w:val="18"/>
          <w:i w:val="1"/>
          <w:iCs w:val="1"/>
          <w:color w:val="212529"/>
        </w:rPr>
      </w:pPr>
    </w:p>
    <w:p>
      <w:pPr>
        <w:ind w:left="660" w:hanging="328"/>
        <w:spacing w:after="0"/>
        <w:tabs>
          <w:tab w:leader="none" w:pos="660" w:val="left"/>
        </w:tabs>
        <w:numPr>
          <w:ilvl w:val="0"/>
          <w:numId w:val="28"/>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payments of dividends ($99.9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financing activities more than offset proceeds from the issuance of new domestic and foreign term loans due 2029 ($499.1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to the audited consolidated financial statements for additional information on borrowing activities during fiscal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2023, cash provided by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distribution from Vestis prior to the separation and distribution ($1,456.7 million);</w:t>
      </w:r>
    </w:p>
    <w:p>
      <w:pPr>
        <w:spacing w:after="0" w:line="90" w:lineRule="exact"/>
        <w:rPr>
          <w:rFonts w:ascii="Times New Roman" w:cs="Times New Roman" w:eastAsia="Times New Roman" w:hAnsi="Times New Roman"/>
          <w:sz w:val="18"/>
          <w:szCs w:val="18"/>
          <w:i w:val="1"/>
          <w:iCs w:val="1"/>
          <w:color w:val="212529"/>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issuance of new United States Term B-6 Loans due 2030 ($1,089.0 million);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borrowings under the revolving credit facility ($101.4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financing activities more than offset cash used in the following:</w:t>
      </w:r>
    </w:p>
    <w:p>
      <w:pPr>
        <w:spacing w:after="0" w:line="9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repayments of United States Term B-3 Loans due 2025 ($1,664.8 million);</w:t>
      </w:r>
    </w:p>
    <w:p>
      <w:pPr>
        <w:spacing w:after="0" w:line="103" w:lineRule="exact"/>
        <w:rPr>
          <w:rFonts w:ascii="Times New Roman" w:cs="Times New Roman" w:eastAsia="Times New Roman" w:hAnsi="Times New Roman"/>
          <w:sz w:val="18"/>
          <w:szCs w:val="18"/>
          <w:i w:val="1"/>
          <w:iCs w:val="1"/>
          <w:color w:val="212529"/>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dividends ($114.6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borrowing under the Receivables Facility ($104.9 million);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yen denominated term loans due 2026 ($63.0 million).</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"Other financing activities" caption also reflects a use of cash during fiscal 2024 and fiscal 2023, primarily related to taxes paid by us when we withhold shares upon an employee's exercise or vesting of equity awards to cover income taxes. Fiscal 2024 also includes the payment of a call premium on the 6.375% 2025 Notes ($23.9 million) and debt issuance costs mainly related to the refinancing of the revolving credit facility and Term A Loans ($8.5 million). Fiscal 2023 also includes debt issuance costs of $8.2 million related to United States Term B-6 Loans due 2030.</w:t>
      </w:r>
    </w:p>
    <w:p>
      <w:pPr>
        <w:spacing w:after="0" w:line="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intend to continue to pay cash dividends on our common stock, subject to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However, the payment of any future dividends will be at the discretion of our Board of Directors and our Board of Directors may, at any time, determine not to continue to declare quarterly dividends.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 Compared to Fiscal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increased by $47.7 million during fiscal 2023 compared to fiscal 2022. The change was driven by higher net income, inclusive of non-cash adjustments, in fiscal 2023 compared to fiscal 2022, as discussed in "Results of Operations" above. Additionally, cash provided by operating activities in fiscal 2023 was favorably impacted by the change in operating assets and liabilities compared to fiscal 2022 by $36.4 million, which was primarily due to:</w:t>
      </w:r>
    </w:p>
    <w:p>
      <w:pPr>
        <w:spacing w:after="0" w:line="4" w:lineRule="exact"/>
        <w:rPr>
          <w:sz w:val="20"/>
          <w:szCs w:val="20"/>
          <w:color w:val="auto"/>
        </w:rPr>
      </w:pPr>
    </w:p>
    <w:p>
      <w:pPr>
        <w:ind w:left="660" w:right="240" w:hanging="328"/>
        <w:spacing w:after="0" w:line="24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by $232.9 million, resulting in a lower use of cash during fiscal 2023 compared to fiscal 2022 as the prior year period had a higher use of cash from operations returning following the lifting of COVID-19 restrictions. Both periods were impacted by base and new business growth and timing of collections;</w:t>
      </w:r>
    </w:p>
    <w:p>
      <w:pPr>
        <w:spacing w:after="0" w:line="62"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by $46.5 million generating a greater source of cash during fiscal 2023 compared to fiscal 2022 primarily due to timing of deferred income payments, growth in business operations, higher net severance charges recorded in fiscal 2023 and timing of other payments, which more than offset higher interest payments on borrowings; and</w:t>
      </w:r>
    </w:p>
    <w:p>
      <w:pPr>
        <w:spacing w:after="0" w:line="54"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by $42.1 million, resulting in a lower use of cash during fiscal 2023 compared to fiscal 2022 as the prior year period was impacted from operations returning following the lifting of COVID-19 restrictions.</w:t>
      </w:r>
    </w:p>
    <w:p>
      <w:pPr>
        <w:spacing w:after="0" w:line="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changes in operating assets and liabilities more than offset accounts payable by $276.9 million, resulting in a lower source of cash during fiscal 2023 compared to fiscal 2022 from the timing of disbursements.</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fiscal 2023 and fiscal 2022, we received proceeds of $21.4 million and $1.9 million, respectively, related to favorable loss experience in older insurance years under our general liability, automobile liability and workers' compensation programs. "Payments made to clients on contracts" generated a higher use of cash during fiscal 2023 compared to fiscal 2022 primarily due to contract renewals and new business. Fiscal 2022 included $51.8 million of proceeds associated with labor related tax credits from many foreign jurisdictions in which we operate as a form of relief from COVID-19. The "Changes in other assets" caption was driven by higher amortization of client investments due to an increase in investments related to base and new business growth, which more than offset higher cash distributions received from our 50% ownership interest in AIM Services Co., Ltd. in fiscal 2022 compared to fiscal 2023. The "Other operating activities" caption reflects mainly adjustments to net income in the current year and prior year periods related to certain non-cash gains and losses and adjustments to non-operating cash gains and losses.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Investing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cash flows provided by investing activities during fiscal 2023 was primarily impacted by proceeds from the sales of equity investments</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($633.2 million) (see Note 1 to the audited consolidated financial statements) and proceeds from the maturity of United States Treasury securities related to our captive insurance subsidiary ($80.0 million), partially offset by purchases of property and equipment and other ($383.5 million), purchases of United States Treasury securities related to our captive insurance subsidiary ($110.0 million) and acquisitions of certain businesses ($50.2 million).</w:t>
      </w:r>
    </w:p>
    <w:p>
      <w:pPr>
        <w:spacing w:after="0" w:line="6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net cash flows used in investing activities during fiscal 2022 was impacted by purchases of property and equipment and other ($311.9 million), acquisitions of certain businesses, including Union Supply ($199.6 million) and other acquisitions ($123.2 million) (see Note 3 to the audited consolidated financial statements), purchases of marketable securities ($78.2 million) and the acquisition of equity investments ($64.0 million).</w:t>
      </w:r>
    </w:p>
    <w:p>
      <w:pPr>
        <w:spacing w:after="0" w:line="4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"Other investing activities" caption includes $37.6 million and $19.0 million of proceeds received during fiscal 2023 and fiscal 2022, respectively, relating to possessory interest at one of the National Park sites within our Sports, Leisure &amp; Corrections sector.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Financing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2023, cash provided by financing activities was impacted by the following:</w:t>
      </w:r>
    </w:p>
    <w:p>
      <w:pPr>
        <w:spacing w:after="0" w:line="9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distribution from Vestis prior to the separation and distribution ($1,456.7 million);</w:t>
      </w:r>
    </w:p>
    <w:p>
      <w:pPr>
        <w:spacing w:after="0" w:line="103" w:lineRule="exact"/>
        <w:rPr>
          <w:rFonts w:ascii="Times New Roman" w:cs="Times New Roman" w:eastAsia="Times New Roman" w:hAnsi="Times New Roman"/>
          <w:sz w:val="18"/>
          <w:szCs w:val="18"/>
          <w:i w:val="1"/>
          <w:iCs w:val="1"/>
          <w:color w:val="212529"/>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issuance of new United States Term B-6 Loans due 2030 ($1,089.0 million);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borrowings under the revolving credit facility ($101.4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financing activities more than offset cash used in the following:</w:t>
      </w:r>
    </w:p>
    <w:p>
      <w:pPr>
        <w:spacing w:after="0" w:line="104"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repayments of United States Term B-3 Loans due 2025 ($1,664.8 million);</w:t>
      </w:r>
    </w:p>
    <w:p>
      <w:pPr>
        <w:spacing w:after="0" w:line="103" w:lineRule="exact"/>
        <w:rPr>
          <w:rFonts w:ascii="Times New Roman" w:cs="Times New Roman" w:eastAsia="Times New Roman" w:hAnsi="Times New Roman"/>
          <w:sz w:val="18"/>
          <w:szCs w:val="18"/>
          <w:i w:val="1"/>
          <w:iCs w:val="1"/>
          <w:color w:val="212529"/>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dividends ($114.6 million);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borrowing under the Receivables Facility ($104.9 million);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yen denominated term loans due 2026 ($63.0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to the audited consolidated financial statements for additional information on borrowing activities during fiscal 2023.</w:t>
      </w:r>
    </w:p>
    <w:p>
      <w:pPr>
        <w:spacing w:after="0" w:line="9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fiscal 2022, cash used in financing activities was driven by payments of dividends ($113.1 million) and the repayment of 5.000% 2025 Senior Notes and foreign term loans ($66.7 million), partially offset by borrowing under the Receivables Facility ($104.9 million).</w:t>
      </w:r>
    </w:p>
    <w:p>
      <w:pPr>
        <w:spacing w:after="0" w:line="4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"Other financing activities" caption also reflects a use of cash during fiscal 2023 and fiscal 2022, primarily related to taxes paid by us when we withhold shares upon an employee's exercise or vesting of equity awards to cover income taxes. Fiscal 2023 also includes debt issuance costs of $8.2 million related to United States Term B-6 Loans due 2030.</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September 27, 2024, we were in compliance with these covenants.</w:t>
      </w:r>
    </w:p>
    <w:p>
      <w:pPr>
        <w:spacing w:after="0" w:line="67"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These financial ratios, tests and covenants involve the calculation of certain measures that we refer to in this discussion as "Covenant Adjusted EBITDA." Covenant Adjusted EBITDA is not a measurement of financial performance under generally accepted accounting principles in the United States ("U.S. GAAP"). Covenant Adjusted EBITDA is defined as net income of Aramark Services, Inc. ("ASI") and its restricted subsidiaries plus interest expense, net, provision for income taxes, and depreciation and amortization, further adjusted to give effect to adjustments required in calculating covenant ratios and compliance under our Credit Agreement and the indentures governing our senior notes.</w:t>
      </w:r>
    </w:p>
    <w:p>
      <w:pPr>
        <w:spacing w:after="0" w:line="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is a reconciliation of Net income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 The Covenant Adjusted EBITDA for fiscal 2023 includes the reported results of the Uniform segment prior to the spin-off.</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1053"/>
              <w:spacing w:after="0"/>
              <w:rPr>
                <w:sz w:val="20"/>
                <w:szCs w:val="20"/>
                <w:color w:val="auto"/>
              </w:rPr>
            </w:pPr>
            <w:r>
              <w:rPr>
                <w:rFonts w:ascii="Times New Roman" w:cs="Times New Roman" w:eastAsia="Times New Roman" w:hAnsi="Times New Roman"/>
                <w:sz w:val="13"/>
                <w:szCs w:val="13"/>
                <w:b w:val="1"/>
                <w:bCs w:val="1"/>
                <w:color w:val="auto"/>
              </w:rPr>
              <w:t>Twelve Months Ended</w:t>
            </w:r>
          </w:p>
        </w:tc>
      </w:tr>
      <w:tr>
        <w:trPr>
          <w:trHeight w:val="18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27, 2024</w:t>
            </w:r>
          </w:p>
        </w:tc>
        <w:tc>
          <w:tcPr>
            <w:tcW w:w="220" w:type="dxa"/>
            <w:vAlign w:val="bottom"/>
          </w:tcPr>
          <w:p>
            <w:pPr>
              <w:spacing w:after="0"/>
              <w:rPr>
                <w:sz w:val="15"/>
                <w:szCs w:val="15"/>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September 29, 2023</w:t>
            </w:r>
          </w:p>
        </w:tc>
      </w:tr>
      <w:tr>
        <w:trPr>
          <w:trHeight w:val="229"/>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ASI stockholders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r>
      <w:tr>
        <w:trPr>
          <w:trHeight w:val="243"/>
        </w:trPr>
        <w:tc>
          <w:tcPr>
            <w:tcW w:w="77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30"/>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Unusual or non-recurring (gains) and losses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r>
      <w:tr>
        <w:trPr>
          <w:trHeight w:val="229"/>
        </w:trPr>
        <w:tc>
          <w:tcPr>
            <w:tcW w:w="7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 forma EBITDA for certain transactions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77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Other</w:t>
            </w:r>
            <w:r>
              <w:rPr>
                <w:rFonts w:ascii="Times New Roman" w:cs="Times New Roman" w:eastAsia="Times New Roman" w:hAnsi="Times New Roman"/>
                <w:sz w:val="10"/>
                <w:szCs w:val="10"/>
                <w:color w:val="auto"/>
              </w:rPr>
              <w:t>(4)(5)</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Covenant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00" w:right="20" w:hanging="492"/>
        <w:spacing w:after="0" w:line="282" w:lineRule="auto"/>
        <w:tabs>
          <w:tab w:leader="none" w:pos="4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resulting from the application of accounting for stock options, restricted stock units, performance stock units, deferred stock units awards and employee stock purchases (see Note 13 to the audited consolidated financial statements).</w:t>
      </w:r>
    </w:p>
    <w:p>
      <w:pPr>
        <w:spacing w:after="0" w:line="26" w:lineRule="exact"/>
        <w:rPr>
          <w:rFonts w:ascii="Times New Roman" w:cs="Times New Roman" w:eastAsia="Times New Roman" w:hAnsi="Times New Roman"/>
          <w:sz w:val="18"/>
          <w:szCs w:val="18"/>
          <w:color w:val="auto"/>
        </w:rPr>
      </w:pPr>
    </w:p>
    <w:p>
      <w:pPr>
        <w:ind w:left="500" w:right="140" w:hanging="492"/>
        <w:spacing w:after="0" w:line="282" w:lineRule="auto"/>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twelve months ended September 27, 2024 represents the pre-tax gain from the sale of our remaining equity investment in the San Antonio Spurs NBA franchise ($25.1 million) and the non-cash charge for the impairment of</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180"/>
        <w:spacing w:after="0" w:line="261" w:lineRule="auto"/>
        <w:rPr>
          <w:sz w:val="20"/>
          <w:szCs w:val="20"/>
          <w:color w:val="auto"/>
        </w:rPr>
      </w:pPr>
      <w:r>
        <w:rPr>
          <w:rFonts w:ascii="Times New Roman" w:cs="Times New Roman" w:eastAsia="Times New Roman" w:hAnsi="Times New Roman"/>
          <w:sz w:val="18"/>
          <w:szCs w:val="18"/>
          <w:color w:val="auto"/>
        </w:rPr>
        <w:t>certain assets related to a business that was sold ($2.3 million). The twelve months ended September 29, 2023 represents the pre-tax gain from the sale of our equity method investment in AIM Services, Co., Ltd. ($377.1 million), the pre-tax gain from the sale of our equity investment in a foreign company ($51.8 million), the non-cash charge for the impairment of certain assets related to a business that was sold ($5.2 million) and the pre-tax loss from the sale of a portion of our equity investment in the San Antonio Spurs NBA franchise ($1.1 million).</w:t>
      </w:r>
    </w:p>
    <w:p>
      <w:pPr>
        <w:spacing w:after="0" w:line="45" w:lineRule="exact"/>
        <w:rPr>
          <w:sz w:val="20"/>
          <w:szCs w:val="20"/>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annualizing of net EBITDA from certain acquisitions and divestitures made during the period.</w:t>
      </w:r>
    </w:p>
    <w:p>
      <w:pPr>
        <w:spacing w:after="0" w:line="63" w:lineRule="exact"/>
        <w:rPr>
          <w:rFonts w:ascii="Times New Roman" w:cs="Times New Roman" w:eastAsia="Times New Roman" w:hAnsi="Times New Roman"/>
          <w:sz w:val="18"/>
          <w:szCs w:val="18"/>
          <w:color w:val="auto"/>
        </w:rPr>
      </w:pPr>
    </w:p>
    <w:p>
      <w:pPr>
        <w:ind w:left="500" w:right="40" w:hanging="492"/>
        <w:spacing w:after="0" w:line="256" w:lineRule="auto"/>
        <w:tabs>
          <w:tab w:leader="none" w:pos="4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twelve months ended September 27, 2024 includes adjustments to remove the impact attributable to the adoption of certain accounting standards that are made to the calculation in accordance with the Credit Agreement and indentures ($52.2 million), charges related to our spin-off of the Uniform segment ($29.0 million), non-cash adjustments to inventory based on expected usage ($21.7 million), severance charges ($13.0 million), the reversal of contingent consideration liabilities related to acquisition earn outs, net of expense ($8.1 million), charges related to a ruling on a foreign tax matter ($6.8 million), the impact of hyperinflation in Argentina ($5.4 million), non-cash charges related to the impairment of a trade name ($3.3 million), income related to non-United States governmental wage subsidies ($1.1 million) and other miscellaneous expenses.</w:t>
      </w:r>
    </w:p>
    <w:p>
      <w:pPr>
        <w:spacing w:after="0" w:line="65" w:lineRule="exact"/>
        <w:rPr>
          <w:rFonts w:ascii="Times New Roman" w:cs="Times New Roman" w:eastAsia="Times New Roman" w:hAnsi="Times New Roman"/>
          <w:sz w:val="18"/>
          <w:szCs w:val="18"/>
          <w:color w:val="auto"/>
        </w:rPr>
      </w:pPr>
    </w:p>
    <w:p>
      <w:pPr>
        <w:ind w:left="500" w:right="20" w:hanging="492"/>
        <w:spacing w:after="0" w:line="253" w:lineRule="auto"/>
        <w:tabs>
          <w:tab w:leader="none" w:pos="4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twelve months ended September 29, 2023 includes the reversal of contingent consideration liabilities related to acquisition earn outs, net of expense ($85.7 million), charges related to our spin-off of the Uniform segment ($51.1 million), adjustments to remove the impact attributable to the adoption of certain accounting standards that are made to the calculation in accordance with the Credit Agreement and indentures ($47.5 million), net severance charges ($37.5 million), non-cash charges for the impairment of operating lease right-of-use assets and property and equipment related to certain real estate properties ($29.3 million), income related to non-United States governmental wage subsidies ($12.5 million), the impact of hyperinflation in Argentina ($10.4 million), non-cash charges related to information technology assets ($8.2 million), the gain from the sale of land ($6.8 million), net multiemployer pension plan withdrawal charges ($5.9 million), labor charges and other expenses associated with closed or partially closed locations from adverse weather ($5.4 million), legal settlement charges ($2.7 million), non-cash charges for inventory write-downs ($2.6 million), the gain from the change in fair value related to certain gasoline and diesel agreements ($1.9 million) and other miscellaneous expenses.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covenant requirements and actual ratios for the twelve months ended September 27, 2024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95"/>
        </w:trPr>
        <w:tc>
          <w:tcPr>
            <w:tcW w:w="718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Requirements</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Ratios</w:t>
            </w:r>
          </w:p>
        </w:tc>
      </w:tr>
      <w:tr>
        <w:trPr>
          <w:trHeight w:val="228"/>
        </w:trPr>
        <w:tc>
          <w:tcPr>
            <w:tcW w:w="718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Consolidated Secured Debt Ratio</w:t>
            </w:r>
            <w:r>
              <w:rPr>
                <w:rFonts w:ascii="Times New Roman" w:cs="Times New Roman" w:eastAsia="Times New Roman" w:hAnsi="Times New Roman"/>
                <w:sz w:val="23"/>
                <w:szCs w:val="23"/>
                <w:color w:val="auto"/>
                <w:vertAlign w:val="superscript"/>
              </w:rPr>
              <w:t>(1)</w:t>
            </w:r>
          </w:p>
        </w:tc>
        <w:tc>
          <w:tcPr>
            <w:tcW w:w="19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 5.125x</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98"/>
              </w:rPr>
              <w:t>1.99x</w:t>
            </w:r>
          </w:p>
        </w:tc>
      </w:tr>
      <w:tr>
        <w:trPr>
          <w:trHeight w:val="312"/>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Coverage Ratio (Fixed Charge Coverage Ratio)</w:t>
            </w:r>
            <w:r>
              <w:rPr>
                <w:rFonts w:ascii="Times New Roman" w:cs="Times New Roman" w:eastAsia="Times New Roman" w:hAnsi="Times New Roman"/>
                <w:sz w:val="23"/>
                <w:szCs w:val="23"/>
                <w:color w:val="auto"/>
                <w:vertAlign w:val="superscript"/>
              </w:rPr>
              <w:t>(2)</w:t>
            </w:r>
          </w:p>
        </w:tc>
        <w:tc>
          <w:tcPr>
            <w:tcW w:w="20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2.000x</w:t>
            </w:r>
          </w:p>
        </w:tc>
        <w:tc>
          <w:tcPr>
            <w:tcW w:w="19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3.73x</w:t>
            </w:r>
          </w:p>
        </w:tc>
      </w:tr>
    </w:tbl>
    <w:p>
      <w:pPr>
        <w:spacing w:after="0" w:line="88" w:lineRule="exact"/>
        <w:rPr>
          <w:sz w:val="20"/>
          <w:szCs w:val="20"/>
          <w:color w:val="auto"/>
        </w:rPr>
      </w:pPr>
    </w:p>
    <w:p>
      <w:pPr>
        <w:ind w:left="500" w:right="40" w:hanging="492"/>
        <w:spacing w:after="0" w:line="254" w:lineRule="auto"/>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sheets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United States Term B Loans, which lenders do not benefit from the maximum Consolidated Debt Ratio covenant) failed to waive any such default, would also constitute a default under the indentures governing our senior notes.</w:t>
      </w:r>
    </w:p>
    <w:p>
      <w:pPr>
        <w:spacing w:after="0" w:line="56" w:lineRule="exact"/>
        <w:rPr>
          <w:rFonts w:ascii="Times New Roman" w:cs="Times New Roman" w:eastAsia="Times New Roman" w:hAnsi="Times New Roman"/>
          <w:sz w:val="18"/>
          <w:szCs w:val="18"/>
          <w:color w:val="auto"/>
        </w:rPr>
      </w:pPr>
    </w:p>
    <w:p>
      <w:pPr>
        <w:ind w:left="500" w:right="80" w:hanging="492"/>
        <w:spacing w:after="0" w:line="254" w:lineRule="auto"/>
        <w:tabs>
          <w:tab w:leader="none" w:pos="4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and does not result in a default under the Credit Agreement or the indentures governing the senior notes.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the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the Credit Agreement as consolidated interest expense excluding interest income, adjusted for acquisitions and dispositions and for certain non-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540"/>
        <w:spacing w:after="0" w:line="282" w:lineRule="auto"/>
        <w:rPr>
          <w:sz w:val="20"/>
          <w:szCs w:val="20"/>
          <w:color w:val="auto"/>
        </w:rPr>
      </w:pPr>
      <w:r>
        <w:rPr>
          <w:rFonts w:ascii="Times New Roman" w:cs="Times New Roman" w:eastAsia="Times New Roman" w:hAnsi="Times New Roman"/>
          <w:sz w:val="18"/>
          <w:szCs w:val="18"/>
          <w:color w:val="auto"/>
        </w:rPr>
        <w:t>cash or nonrecurring interest expense. The indentures governing our senior notes include a similar requirement which is referred to as a Fixed Charge Coverage Ratio.</w:t>
      </w:r>
    </w:p>
    <w:p>
      <w:pPr>
        <w:spacing w:after="0" w:line="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future obligations for debt repayments, finance leases, estimated interest payments, future minimum rental and similar commitments under noncancelable operating leases as well as contingent obligations related to outstanding letters of credit and guarantees as of September 27, 2024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6"/>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 as of September 27, 2024</w:t>
            </w:r>
          </w:p>
        </w:tc>
        <w:tc>
          <w:tcPr>
            <w:tcW w:w="200" w:type="dxa"/>
            <w:vAlign w:val="bottom"/>
          </w:tcPr>
          <w:p>
            <w:pPr>
              <w:spacing w:after="0"/>
              <w:rPr>
                <w:sz w:val="11"/>
                <w:szCs w:val="11"/>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80" w:type="dxa"/>
            <w:vAlign w:val="bottom"/>
          </w:tcPr>
          <w:p>
            <w:pPr>
              <w:spacing w:after="0"/>
              <w:rPr>
                <w:sz w:val="11"/>
                <w:szCs w:val="11"/>
                <w:color w:val="auto"/>
              </w:rPr>
            </w:pPr>
          </w:p>
        </w:tc>
        <w:tc>
          <w:tcPr>
            <w:tcW w:w="960" w:type="dxa"/>
            <w:vAlign w:val="bottom"/>
          </w:tcPr>
          <w:p>
            <w:pPr>
              <w:jc w:val="center"/>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Long-term borrowings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5,262,913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959,410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2,357,612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1,031,250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34,819</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Estimated interest payments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and other noncancelable commitments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96,428</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164,190</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liabilities</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247,488</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1,738,463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2,769,477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1,611,575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 of Commitment Expiration by Period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8"/>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Commercial Commitments as of September 27, 2024</w:t>
            </w: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00" w:right="440" w:hanging="492"/>
        <w:spacing w:after="0" w:line="282" w:lineRule="auto"/>
        <w:tabs>
          <w:tab w:leader="none" w:pos="4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$22.7 million reduction to long-term borrowings from debt issuance costs, $8.8 million reduction from the discount on the United States Term B-8 Loans due 2030 and $0.4 million reduction from the discount on the United States Term B-4 Loans due 2027.</w:t>
      </w:r>
    </w:p>
    <w:p>
      <w:pPr>
        <w:spacing w:after="0" w:line="40" w:lineRule="exact"/>
        <w:rPr>
          <w:rFonts w:ascii="Times New Roman" w:cs="Times New Roman" w:eastAsia="Times New Roman" w:hAnsi="Times New Roman"/>
          <w:sz w:val="18"/>
          <w:szCs w:val="18"/>
          <w:color w:val="auto"/>
        </w:rPr>
      </w:pPr>
    </w:p>
    <w:p>
      <w:pPr>
        <w:ind w:left="500" w:right="40" w:hanging="492"/>
        <w:spacing w:after="0" w:line="268" w:lineRule="auto"/>
        <w:tabs>
          <w:tab w:leader="none" w:pos="49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represent future interest payments related to our existing debt obligations based on fixed and variable interest rates specified in the associated debt agreements and reflect any current hedging arrangements. Payments related to variable debt are based on applicable rates at September 27, 2024 plus the specified margin in the associated debt agreements for each period presented. The amounts provided relate only to existing debt obligations and do not assume the refinancing or replacement of such debt. The weighted average debt balance for each fiscal year from 2025 through 2030 is $4,835.4 million, $4,316.2 million, $3,854.5 million, $2,272.3 million, $1,284.5 million and $536.6 million, respectively. The weighted average interest rate of our existing debt obligations for each fiscal year from 2025 through 2030 is 2.19%, 2.97%, 3.83%, 5.53%,</w:t>
      </w:r>
    </w:p>
    <w:p>
      <w:pPr>
        <w:spacing w:after="0" w:line="4" w:lineRule="exact"/>
        <w:rPr>
          <w:rFonts w:ascii="Times New Roman" w:cs="Times New Roman" w:eastAsia="Times New Roman" w:hAnsi="Times New Roman"/>
          <w:sz w:val="17"/>
          <w:szCs w:val="17"/>
          <w:color w:val="auto"/>
        </w:rPr>
      </w:pPr>
    </w:p>
    <w:p>
      <w:pPr>
        <w:ind w:left="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6.89% and 6.96%, respectively (see Note 6 to the audited consolidated financial statements for the terms and maturities of existing debt obligations).</w:t>
      </w:r>
    </w:p>
    <w:p>
      <w:pPr>
        <w:spacing w:after="0" w:line="71" w:lineRule="exact"/>
        <w:rPr>
          <w:rFonts w:ascii="Times New Roman" w:cs="Times New Roman" w:eastAsia="Times New Roman" w:hAnsi="Times New Roman"/>
          <w:sz w:val="17"/>
          <w:szCs w:val="17"/>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mainly the commitments for capital projects to help finance improvements or renovations at the facilities in which we operate.</w:t>
      </w:r>
    </w:p>
    <w:p>
      <w:pPr>
        <w:spacing w:after="0" w:line="103"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494" w:val="left"/>
        </w:tabs>
        <w:numPr>
          <w:ilvl w:val="0"/>
          <w:numId w:val="37"/>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Includes certain unfunded employee retirement obligations, contingent consideration obligations related to acquisitions, self-insurance obligations, and other obligations.</w:t>
      </w:r>
    </w:p>
    <w:p>
      <w:pPr>
        <w:spacing w:after="0" w:line="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excluded from the table above uncertain tax liabilities due to the uncertainty of the amount and period of payment. As of September 27, 2024, we have gross uncertain tax liabilities of $70.2 million (see Note 11 to the audited consolidated financial statements).</w:t>
      </w:r>
    </w:p>
    <w:p>
      <w:pPr>
        <w:spacing w:after="0" w:line="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 Receivables Facility agreement with four financial institutions where we sell on a continuous basis an undivided interest in all eligible accounts receivable, as defined in the Receivables Facility. The maximum amount available under the Receivables Facility as of September 27, 2024 is $600.0 million. As of September 27, 2024, there are no outstanding borrowings under the Receivables Facility. Amounts borrowed under the Receivables Facility may fluctuate monthly based on our funding requirements and the level of qualified receivables available to collateralize the Receivables Facility.</w:t>
      </w:r>
    </w:p>
    <w:p>
      <w:pPr>
        <w:spacing w:after="0" w:line="5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Pursuant to the Receivables Facility, we formed ARAMARK Receivables, LLC, a wholly-owned, consolidated, bankruptcy-remote subsidiary. ARAMARK Receivables, LLC was formed for the sole purpose of buying and selling receivables generated by certain of our subsidiaries. Under the Receivables Facility, we and certain of our subsidiaries transfer without recourse all of</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accounts receivable to ARAMARK Receivables, LLC. As collections reduce previously transferred interests, interests in new, eligible receivables are transferred to ARAMARK Receivables, LLC, subject to meeting certain conditions.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Consolidating Information</w:t>
      </w:r>
    </w:p>
    <w:p>
      <w:pPr>
        <w:spacing w:after="0" w:line="10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Pursuant to Regulation S-X Rule 13-01, which simplified certain disclosure requirements for guarantors and issuers of guaranteed securities,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activities do not include the use of unconsolidated special purpose entities and there are no significant business transactions that have not been reflected in the accompanying audited consolidated financial statements. We insure portions of our risk related to general liability, automobile liability, workers’ compensation liability claims as well as certain property damage risks through a wholly owned captive insurance subsidiary (the "Captive") as part of our approach to risk finance.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September 27, 2024. These regulations may have the effect of limiting our ability to access certain cash and cash equivalents held by the Captive for uses other than for the payment of our general liability, automobile liability, workers’ compensation liability, certain property damage and related Captive costs. As of September 27, 2024 and September 29, 2023, cash and cash equivalents at the Captive were $94.7 million and $32.8 million, respectively. The Captive also invests in United States Treasury securities where the amount of these investments as of September 27, 2024 and September 29, 2023 was $42.3 million and $110.7 million, respectively, and recorded in "Prepayments and other current assets" on the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described in the notes to the audited consolidated financial statements included in this Annual Report.</w:t>
      </w:r>
    </w:p>
    <w:p>
      <w:pPr>
        <w:spacing w:after="0" w:line="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Determinations</w:t>
      </w:r>
    </w:p>
    <w:p>
      <w:pPr>
        <w:spacing w:after="0" w:line="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Indefinite lived intangible assets that are not amortized are subject to an impairment test that we conduct annually or more frequently if a change in circumstances or the occurrence of events indicates that potential impairment exists. For goodwill, we perform the assessment of goodwill at the reporting unit level, which is an operating segment or one level below the operating segment. The impairment test may first consider qualitative factors to determine whether it is more likely than not that the fair value of a reporting unit is less than its carrying amount. Examples of qualitative factors include, macroeconomic conditions, industry and market considerations, cost factors, overall financial performance, entity-specific events, events affecting reporting units and sustained changes in our stock price. If results of the qualitative assessment indicate a more likely than not determination or if a qualitative assessment is not performed, a quantitative test is performed by comparing the estimated fair value using a discounted cash flow method or market method for each reporting unit with its estimated net book value.</w:t>
      </w:r>
    </w:p>
    <w:p>
      <w:pPr>
        <w:spacing w:after="0" w:line="7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2024, we performed the annual impairment test for goodwill for each of our reporting units using a quantitative testing approach. Based on the evaluation performed, we determined that the fair value of each of the reporting units significantly exceeded its respective carrying amount, and therefore, we determined that goodwill was not impaired.</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the underlying margin projection assumptions, future growth rates and the discount rate. The</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market based method is dependent on several subjective factors including the determination of market multiples and future cash flows. If our assumptions or estimates in our fair value calculations change or if future cash flows, margin projections or future growth rates vary from what was expected, this may impact our impairment analysis and could reduce the underlying cash flows used to estimate fair values and result in a decline in fair value that may trigger future impairment charges.</w:t>
      </w:r>
    </w:p>
    <w:p>
      <w:pPr>
        <w:spacing w:after="0" w:line="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our other long-lived assets, we are required to test for asset impairment whenever events or circumstances indicate that the carrying value of an asset may not be recoverable. If indicators of impairment are present, we compare the sum of the future expected cash flows from the asset, undiscounted and without interest charges, to the asset’s carrying value. If the sum of the future expected cash flows from the asset is less than the carrying value, an impairment would be recognized for the difference between the estimated fair value and the carrying value of the asset.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future cash flow analyses of various assets, we make assumptions relating to the following:</w:t>
      </w:r>
    </w:p>
    <w:p>
      <w:pPr>
        <w:spacing w:after="0" w:line="104" w:lineRule="exact"/>
        <w:rPr>
          <w:sz w:val="20"/>
          <w:szCs w:val="20"/>
          <w:color w:val="auto"/>
        </w:rPr>
      </w:pPr>
    </w:p>
    <w:p>
      <w:pPr>
        <w:ind w:left="580" w:hanging="248"/>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use of assets and the expected future cash flows resulting directly from such use;</w:t>
      </w:r>
    </w:p>
    <w:p>
      <w:pPr>
        <w:spacing w:after="0" w:line="9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market valuations of businesses similar to Aramark's business segments;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specific economic conditions;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activities and regulatory initiatives; and</w:t>
      </w:r>
    </w:p>
    <w:p>
      <w:pPr>
        <w:spacing w:after="0" w:line="9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customer preferences and behavior patterns.</w:t>
      </w:r>
    </w:p>
    <w:p>
      <w:pPr>
        <w:spacing w:after="0" w:line="10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believe that an accounting estimate relating to asset impairment is a critical accounting estimate because the assumptions underlying future cash flow estimates are subject to change from time to time and the recognition of an impairment could have a significant impact on our Consolidated Statements of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Claims</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ESG-related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 of contractual and other obligations. We consider the measurement of litigation reserves as a critical accounting estimate because of the significant uncertainty in some cases relating to the outcome of potential claims or litigation and the difficulty of predicting the likelihood and range of potential liability involved, coupled with the material impact on our results of operations that could result from litigation or other claims. In determining legal reserves, we consider, among other issues:</w:t>
      </w:r>
    </w:p>
    <w:p>
      <w:pPr>
        <w:spacing w:after="0" w:line="70" w:lineRule="exact"/>
        <w:rPr>
          <w:sz w:val="20"/>
          <w:szCs w:val="20"/>
          <w:color w:val="auto"/>
        </w:rPr>
      </w:pPr>
    </w:p>
    <w:p>
      <w:pPr>
        <w:ind w:left="580" w:hanging="248"/>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of contractual rights and obligations;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government regulatory initiatives, interpretations and investigations;</w:t>
      </w:r>
    </w:p>
    <w:p>
      <w:pPr>
        <w:spacing w:after="0" w:line="9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settlement negotiations;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experience with similar types of claims;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available insurance; and</w:t>
      </w:r>
    </w:p>
    <w:p>
      <w:pPr>
        <w:spacing w:after="0" w:line="9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of counsel.</w:t>
      </w:r>
    </w:p>
    <w:p>
      <w:pPr>
        <w:spacing w:after="0" w:line="10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were involved in a dispute with a client regarding our provision of services pursuant to a contract. During fiscal 2022, we resolved the matter by entering into a settlement agreement with the client whereby our obligations totaled $13.6 million, resulting in a reversal of previously reserved amounts of $5.7 million, which is included in "Cost of services provided (exclusive of depreciation and amortization)" on the Consolidated Statements of Income.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self-insure for obligations related to certain risks that we retain under our casualty program, which includes general liability, automobile liability and workers’ compensation liability, as well as for certain property damage risks and employee healthcare benefit programs. The accounting estimates related to our self-insurance reserves are critical accounting estimates because changes in our claim experience, our ability to settle claims or other estimates and judgments we use could potentially have a material impact on our results of operations. Our reserves for retained costs associated with our casualty program are estimated through actuarial methods, with the assistance of third-party actuaries, using loss development assumptions based on</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claims history. Our casualty program reserves take into account reported claims as well as incurred-but-not-reported losses using loss development factors based upon past experience. In order to determine the loss development factors, we make judgments relating to the nature, frequency, severity, and age of claims, and industry, regulatory and company-specific trends impacting the development of claims. The actual cost to settle our self-insured casualty claim liabilities can differ from our reserve estimates because of a number of uncertainties, including the inherent difficulty in estimating the severity of a claim and the potential amount to defend and settle a claim.</w:t>
      </w:r>
    </w:p>
    <w:p>
      <w:pPr>
        <w:spacing w:after="0" w:line="48" w:lineRule="exact"/>
        <w:rPr>
          <w:sz w:val="20"/>
          <w:szCs w:val="20"/>
          <w:color w:val="auto"/>
        </w:rPr>
      </w:pPr>
    </w:p>
    <w:p>
      <w:pPr>
        <w:ind w:right="1600"/>
        <w:spacing w:after="0" w:line="360" w:lineRule="auto"/>
        <w:rPr>
          <w:sz w:val="20"/>
          <w:szCs w:val="20"/>
          <w:color w:val="auto"/>
        </w:rPr>
      </w:pPr>
      <w:r>
        <w:rPr>
          <w:rFonts w:ascii="Times New Roman" w:cs="Times New Roman" w:eastAsia="Times New Roman" w:hAnsi="Times New Roman"/>
          <w:sz w:val="18"/>
          <w:szCs w:val="18"/>
          <w:color w:val="auto"/>
        </w:rPr>
        <w:t xml:space="preserve">As of September 27, 2024 and September 29, 2023, our self-insurance reserves were $248.6 million and $262.0 million, respectively. </w:t>
      </w:r>
      <w:r>
        <w:rPr>
          <w:rFonts w:ascii="Times New Roman" w:cs="Times New Roman" w:eastAsia="Times New Roman" w:hAnsi="Times New Roman"/>
          <w:sz w:val="18"/>
          <w:szCs w:val="18"/>
          <w:b w:val="1"/>
          <w:bCs w:val="1"/>
          <w:i w:val="1"/>
          <w:iCs w:val="1"/>
          <w:color w:val="auto"/>
        </w:rPr>
        <w:t>Income Taxes</w:t>
      </w:r>
    </w:p>
    <w:p>
      <w:pPr>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United States and in many foreign jurisdictions. Significant judgment is required in determining our provision for income taxes, our deferred tax assets and liabilities and any valuation allowances recorded against our net deferred tax assets. We record valuation allowances for our net deferred tax assets when it is more likely than not that they will not be realized. We monitor the realizability of our deferred tax assets taking into account all relevant factors at each reporting period. In completing our assessment of realizability of our deferred tax assets, we consider our history of income measured at pre-tax income adjusted for permanent book-tax differences on a jurisdictional basis, volatility in actual earnings, and impacts of the timing of reversal of existing temporary differences. We also rely on our assessment of the Company’s projected future results of business operations, including uncertainty in future operating results relative to historical results, volatility in the market price of our common stock and its performance over time, variable macroeconomic conditions impacting our ability to forecast future taxable income, and changes in business that may affect the existence and magnitude of future taxable income. Our valuation allowance assessment is based on our best estimate of future results considering all available information.</w:t>
      </w:r>
    </w:p>
    <w:p>
      <w:pPr>
        <w:spacing w:after="0" w:line="5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September 27, 2024 and September 29, 2023, our valuation allowance reserves recorded against deferred tax assets were $80.6 million and $78.2 million, respectively (see Note 11 to the audited consolidated financial statements).</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See Note 1 to the audited consolidated financial statements for a full description of recent accounting standards updates, including the expected dates of adoption.</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information below summarizes our market risks associated with debt obligations and other significant financial instruments as of September 27, 2024 (see Notes 6 and 7 to the audited consolidated financial statements). Fair values were computed using market quotes, if available, or based on discounted cash flows using market interest rates as of the end of the respective periods. For debt obligations, the table presents principal cash flows and related interest rates by contractual fiscal year of maturity. Variable interest rates disclosed represent the weighted-average rates of the portfolio at September 27, 2024. For interest rate swaps, the table presents the notional amounts and related weighted-average interest rates by fiscal year of maturity. The variable rates presented are the average forward rates for the term of each contract.</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 equivalent in millions)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Expected Fiscal Year of Maturity</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96"/>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27, 2024</w:t>
            </w:r>
          </w:p>
        </w:tc>
        <w:tc>
          <w:tcPr>
            <w:tcW w:w="200" w:type="dxa"/>
            <w:vAlign w:val="bottom"/>
          </w:tcPr>
          <w:p>
            <w:pPr>
              <w:spacing w:after="0"/>
              <w:rPr>
                <w:sz w:val="17"/>
                <w:szCs w:val="17"/>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7"/>
                <w:szCs w:val="17"/>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29"/>
        </w:trPr>
        <w:tc>
          <w:tcPr>
            <w:tcW w:w="1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3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923</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1,153</w:t>
            </w:r>
          </w:p>
        </w:tc>
        <w:tc>
          <w:tcPr>
            <w:tcW w:w="3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2,127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2,097</w:t>
            </w:r>
          </w:p>
        </w:tc>
      </w:tr>
      <w:tr>
        <w:trPr>
          <w:trHeight w:val="229"/>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877</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767</w:t>
            </w:r>
          </w:p>
        </w:tc>
        <w:tc>
          <w:tcPr>
            <w:tcW w:w="3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3,198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3,204</w:t>
            </w:r>
          </w:p>
        </w:tc>
      </w:tr>
      <w:tr>
        <w:trPr>
          <w:trHeight w:val="23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5"/>
        </w:trPr>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Receive variable/pay</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950</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pay rate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receive rate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our gasoline and diesel fuel agreements matured during fiscal 2024.</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Financial Statements and Schedule beginning on page S-1.</w:t>
      </w:r>
    </w:p>
    <w:p>
      <w:pPr>
        <w:spacing w:after="0" w:line="221" w:lineRule="exact"/>
        <w:rPr>
          <w:sz w:val="20"/>
          <w:szCs w:val="20"/>
          <w:color w:val="auto"/>
        </w:rPr>
      </w:pPr>
    </w:p>
    <w:p>
      <w:pPr>
        <w:ind w:right="362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Not applicable.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Management’s Annual Report on Internal Control Over Financial Reporting</w:t>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Internal Control – Integrated Framework (2013) by the Committee of Sponsoring Organizations of the Treadway Commission. Based on that evaluation, our management concluded that our internal control over financial reporting was effective as of September 27, 2024. The effectiveness of our internal control over financial reporting as of September 27, 2024 has been audited by Deloitte &amp; Touche LLP, our independent registered public accounting firm, as stated in their report that is included herein on the following page.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Change in Internal Control over Financial Reporting</w:t>
      </w:r>
    </w:p>
    <w:p>
      <w:pPr>
        <w:spacing w:after="0" w:line="10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our fourth quarter of fiscal 2024 that has materially affected, or is reasonably likely to materially affect, our internal control over financial reporting.</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Aramark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Aramark and subsidiaries (the "Company") as of September 27,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Arial" w:cs="Arial" w:eastAsia="Arial" w:hAnsi="Arial"/>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27,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Arial" w:cs="Arial" w:eastAsia="Arial" w:hAnsi="Arial"/>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COSO.</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September 27, 2024, of the Company and our report dated November 19, 2024, expressed an unqualified opinion on those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2024</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27, 2024, none of our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pacing w:after="0" w:line="172" w:lineRule="exact"/>
        <w:rPr>
          <w:sz w:val="20"/>
          <w:szCs w:val="20"/>
          <w:color w:val="auto"/>
        </w:rPr>
      </w:pPr>
    </w:p>
    <w:p>
      <w:pPr>
        <w:ind w:right="496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75"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about our directors and persons nominated to become directors required by Item 10 will be included under the caption "Proposal No. 1 - Election of Directors" in our Proxy Statement for the 2025 Annual Meeting of Stockholders and is incorporated herein by reference. Information about our executive officers is included under the caption “Information About Our Executive Officers” in Part I of this report and incorporated herein.</w:t>
      </w:r>
    </w:p>
    <w:p>
      <w:pPr>
        <w:spacing w:after="0" w:line="41"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color w:val="auto"/>
        </w:rPr>
        <w:t>Information on beneficial ownership reporting required by Item 10, if any, will be included under the caption "Delinquent Section 16(a) Reports" in our Proxy Statement for the 2025 Annual Meeting of Stockholders and is incorporated herein by reference.</w:t>
      </w:r>
    </w:p>
    <w:p>
      <w:pPr>
        <w:spacing w:after="0" w:line="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about our Securities Trading Policy required by Item 10 will be included under the caption “Securities Trading Policy” in our Proxy Statement for the 2025 Annual Meeting of Stockholders and is incorporated herein by reference.</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Business Conduct Policy that applies to all of our directors, officers and employees, including our principal executive officer, principal financial officer and principal accounting officer, which is available on the Investor Relations section of our website at www.aramark.com. A copy of our Business Conduct Policy may be obtained free of charge by writing to Investor Relations, Aramark, 2400 Market Street, Philadelphia, PA 19103. Our Business Conduct Policy contains a "code of ethics," as defined in Item 406(b) of Regulation S-K. Please note that our website address is provided as an inactive textual reference only. We will make any legally required disclosures regarding amendments to, or waivers of, provisions of our code of ethics on our website.</w:t>
      </w:r>
    </w:p>
    <w:p>
      <w:pPr>
        <w:spacing w:after="0" w:line="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Item 10 will be included under the caption "Board Committees and Meetings" in our Proxy Statement for the 2025 Annual Meeting of Stockholders and is incorporated herein by reference.</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Information required by Item 11 will be included under the caption "Compensation Matters" in our Proxy Statement for the 2025 Annual Meeting of Stockholders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Information required by Item 12 will be included under the captions "Security Ownership of Certain Beneficial Owners and Management" and "Equity Compensation Plan Information" in our Proxy Statement for the 2025 Annual Meeting of Stockholders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Information required by Item 13 will be included under the captions "Certain Relationships and Related Transactions" and "Director Independence and Independence Determinations" in our Proxy Statement for the 2025 Annual Meeting of Stockholders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Information required by Item 14 will be included under the caption "Fees to Independent Registered Public Accounting Firm" in our Proxy Statement for the 2025 Annual Meeting of Stockholders and is incorporated herein by reference.</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06"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and Schedule at page S-1 and the Exhibit Index.</w:t>
      </w:r>
    </w:p>
    <w:p>
      <w:pPr>
        <w:spacing w:after="0" w:line="102"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 Required by Item 601 of Regulation S-K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is incorporated herein by reference.</w:t>
      </w:r>
    </w:p>
    <w:p>
      <w:pPr>
        <w:spacing w:after="0" w:line="88"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and Schedule at page S-1.</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 on November 19, 2024.</w:t>
      </w:r>
    </w:p>
    <w:p>
      <w:pPr>
        <w:spacing w:after="0" w:line="162"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Aramark</w:t>
            </w:r>
          </w:p>
        </w:tc>
        <w:tc>
          <w:tcPr>
            <w:tcW w:w="450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SCHILLING</w:t>
            </w: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T. Schilling</w:t>
            </w:r>
          </w:p>
        </w:tc>
      </w:tr>
      <w:tr>
        <w:trPr>
          <w:trHeight w:val="150"/>
        </w:trPr>
        <w:tc>
          <w:tcPr>
            <w:tcW w:w="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Title:</w:t>
            </w:r>
          </w:p>
        </w:tc>
        <w:tc>
          <w:tcPr>
            <w:tcW w:w="4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Senior Vice President, Controller and Chief Accounting Officer</w:t>
            </w:r>
          </w:p>
        </w:tc>
      </w:tr>
      <w:tr>
        <w:trPr>
          <w:trHeight w:val="190"/>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 Signatory)</w:t>
            </w:r>
          </w:p>
        </w:tc>
      </w:tr>
    </w:tbl>
    <w:p>
      <w:pPr>
        <w:spacing w:after="0" w:line="1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indicated on November 19,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23"/>
        </w:trPr>
        <w:tc>
          <w:tcPr>
            <w:tcW w:w="3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r>
      <w:tr>
        <w:trPr>
          <w:trHeight w:val="30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J. ZILLMER</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r>
      <w:tr>
        <w:trPr>
          <w:trHeight w:val="21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J. Zillmer</w:t>
            </w:r>
          </w:p>
        </w:tc>
        <w:tc>
          <w:tcPr>
            <w:tcW w:w="2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1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J. TARANGELO</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1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James J. Tarangelo</w:t>
            </w:r>
          </w:p>
        </w:tc>
        <w:tc>
          <w:tcPr>
            <w:tcW w:w="2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1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SCHILLING</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Controller and Chief Accounting Officer</w:t>
            </w:r>
          </w:p>
        </w:tc>
      </w:tr>
      <w:tr>
        <w:trPr>
          <w:trHeight w:val="21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T. Schilling</w:t>
            </w:r>
          </w:p>
        </w:tc>
        <w:tc>
          <w:tcPr>
            <w:tcW w:w="2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1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M. CAMERON</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Susan M. Cameron</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GREG CREED</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Greg Creed</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M. DELGHIACCIO</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Brian M. DelGhiaccio</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BRIDGETTE P. HELLER</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Bridgette P. Heller</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M. KEVERIAN</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Kenneth M. Keverian</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M. KING</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Karen M. King</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PATRICIA E. LOPEZ</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Patricia E. Lopez</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I. SADOVE</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Stephen I. Sadove</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G. WILLS</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Kevin G. Wills</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566"/>
        </w:trPr>
        <w:tc>
          <w:tcPr>
            <w:tcW w:w="3820" w:type="dxa"/>
            <w:vAlign w:val="bottom"/>
          </w:tcPr>
          <w:p>
            <w:pPr>
              <w:spacing w:after="0"/>
              <w:rPr>
                <w:sz w:val="24"/>
                <w:szCs w:val="24"/>
                <w:color w:val="auto"/>
              </w:rPr>
            </w:pPr>
          </w:p>
        </w:tc>
        <w:tc>
          <w:tcPr>
            <w:tcW w:w="7420" w:type="dxa"/>
            <w:vAlign w:val="bottom"/>
            <w:gridSpan w:val="2"/>
          </w:tcPr>
          <w:p>
            <w:pPr>
              <w:jc w:val="right"/>
              <w:ind w:right="5431"/>
              <w:spacing w:after="0"/>
              <w:rPr>
                <w:sz w:val="20"/>
                <w:szCs w:val="20"/>
                <w:color w:val="auto"/>
              </w:rPr>
            </w:pPr>
            <w:r>
              <w:rPr>
                <w:rFonts w:ascii="Times New Roman" w:cs="Times New Roman" w:eastAsia="Times New Roman" w:hAnsi="Times New Roman"/>
                <w:sz w:val="18"/>
                <w:szCs w:val="18"/>
                <w:color w:val="auto"/>
              </w:rPr>
              <w:t>51</w:t>
            </w:r>
          </w:p>
        </w:tc>
      </w:tr>
      <w:tr>
        <w:trPr>
          <w:trHeight w:val="466"/>
        </w:trPr>
        <w:tc>
          <w:tcPr>
            <w:tcW w:w="3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SCHEDULE</w:t>
      </w:r>
    </w:p>
    <w:p>
      <w:pPr>
        <w:spacing w:after="0" w:line="3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Report of Deloitte &amp; Touche LLP, Independent Registered Public Accounting Firm (PCA</w:t>
      </w:r>
      <w:r>
        <w:rPr>
          <w:rFonts w:ascii="Times New Roman" w:cs="Times New Roman" w:eastAsia="Times New Roman" w:hAnsi="Times New Roman"/>
          <w:sz w:val="18"/>
          <w:szCs w:val="18"/>
          <w:u w:val="single" w:color="auto"/>
          <w:color w:val="0E32E1"/>
        </w:rPr>
        <w:t>OB ID 34)</w:t>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September 27, 2024 and September 29, 2023</w:t>
      </w:r>
    </w:p>
    <w:p>
      <w:pPr>
        <w:spacing w:after="0" w:line="27" w:lineRule="exact"/>
        <w:rPr>
          <w:sz w:val="20"/>
          <w:szCs w:val="20"/>
          <w:color w:val="auto"/>
        </w:rPr>
      </w:pPr>
    </w:p>
    <w:p>
      <w:pPr>
        <w:ind w:left="80" w:right="680"/>
        <w:spacing w:after="0" w:line="234" w:lineRule="auto"/>
        <w:rPr>
          <w:sz w:val="20"/>
          <w:szCs w:val="20"/>
          <w:color w:val="auto"/>
        </w:rPr>
      </w:pPr>
      <w:r>
        <w:rPr>
          <w:rFonts w:ascii="Times New Roman" w:cs="Times New Roman" w:eastAsia="Times New Roman" w:hAnsi="Times New Roman"/>
          <w:sz w:val="18"/>
          <w:szCs w:val="18"/>
          <w:u w:val="single" w:color="auto"/>
          <w:color w:val="0000FF"/>
        </w:rPr>
        <w:t>Consolidated Statements of Income for the fiscal years ended September 27, 2024, September 29, 2023 and September 30, 2022</w:t>
      </w:r>
    </w:p>
    <w:p>
      <w:pPr>
        <w:spacing w:after="0" w:line="10" w:lineRule="exact"/>
        <w:rPr>
          <w:sz w:val="20"/>
          <w:szCs w:val="20"/>
          <w:color w:val="auto"/>
        </w:rPr>
      </w:pPr>
    </w:p>
    <w:p>
      <w:pPr>
        <w:ind w:left="80" w:right="580"/>
        <w:spacing w:after="0" w:line="237" w:lineRule="auto"/>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for the fiscal years ended September 27, 2024, September 29, 2023 and September 30, 2022</w:t>
      </w:r>
    </w:p>
    <w:p>
      <w:pPr>
        <w:spacing w:after="0" w:line="10" w:lineRule="exact"/>
        <w:rPr>
          <w:sz w:val="20"/>
          <w:szCs w:val="20"/>
          <w:color w:val="auto"/>
        </w:rPr>
      </w:pPr>
    </w:p>
    <w:p>
      <w:pPr>
        <w:ind w:left="80" w:right="640"/>
        <w:spacing w:after="0" w:line="237" w:lineRule="auto"/>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fiscal years ended September 27, 2024, September 29, 2023 and September 30, 2022</w:t>
      </w:r>
    </w:p>
    <w:p>
      <w:pPr>
        <w:spacing w:after="0" w:line="10" w:lineRule="exact"/>
        <w:rPr>
          <w:sz w:val="20"/>
          <w:szCs w:val="20"/>
          <w:color w:val="auto"/>
        </w:rPr>
      </w:pPr>
    </w:p>
    <w:p>
      <w:pPr>
        <w:ind w:left="80" w:right="800"/>
        <w:spacing w:after="0" w:line="237" w:lineRule="auto"/>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for the fiscal years ended September 27, 2024, September 29, 2023 and September 30, 2022</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7" w:lineRule="exact"/>
        <w:rPr>
          <w:sz w:val="20"/>
          <w:szCs w:val="20"/>
          <w:color w:val="auto"/>
        </w:rPr>
      </w:pPr>
    </w:p>
    <w:p>
      <w:pPr>
        <w:ind w:left="80" w:right="760"/>
        <w:spacing w:after="0" w:line="234" w:lineRule="auto"/>
        <w:rPr>
          <w:sz w:val="20"/>
          <w:szCs w:val="20"/>
          <w:color w:val="auto"/>
        </w:rPr>
      </w:pPr>
      <w:r>
        <w:rPr>
          <w:rFonts w:ascii="Times New Roman" w:cs="Times New Roman" w:eastAsia="Times New Roman" w:hAnsi="Times New Roman"/>
          <w:sz w:val="18"/>
          <w:szCs w:val="18"/>
          <w:u w:val="single" w:color="auto"/>
          <w:color w:val="0000FF"/>
        </w:rPr>
        <w:t>Schedule II—Valuation and Qualifying Accounts and Reserves for the fiscal years ended September 27, 2024, September 29, 2023 and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19685</wp:posOffset>
            </wp:positionV>
            <wp:extent cx="8915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S-4</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S-5</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S-6</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S-7</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S-10</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u w:val="single" w:color="auto"/>
          <w:color w:val="0000FF"/>
        </w:rPr>
        <w:t>S-50</w:t>
      </w:r>
    </w:p>
    <w:p>
      <w:pPr>
        <w:spacing w:after="0" w:line="195" w:lineRule="exact"/>
        <w:rPr>
          <w:sz w:val="20"/>
          <w:szCs w:val="20"/>
          <w:color w:val="auto"/>
        </w:rPr>
      </w:pPr>
    </w:p>
    <w:p>
      <w:pPr>
        <w:sectPr>
          <w:pgSz w:w="11900" w:h="16838" w:orient="portrait"/>
          <w:cols w:equalWidth="0" w:num="2">
            <w:col w:w="9580" w:space="720"/>
            <w:col w:w="860"/>
          </w:cols>
          <w:pgMar w:left="320" w:top="175" w:right="419" w:bottom="1440" w:gutter="0" w:footer="0" w:header="0"/>
        </w:sect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the information required to be set forth therein is included in the consolidated financial statements or in the notes thereto.</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Aramark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Aramark and subsidiaries (the “Company”) as of September 27, 2024 and September 29, 2023, the related consolidated statements of income, comprehensive income, cash flows, and stockholders’ equity for each of the three years in the period ended September 27, 2024, and the related notes and financial statement schedule II (collectively referred to as the “financial statements”). In our opinion, the financial statements present fairly, in all material respects, the financial position of the Company as of September 27, 2024 and September 29, 2023, and the results of its operations and its cash flows for each of the three years in the period ended September 27, 2024, in conformity with accounting principles generally accepted in the United States of America.</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September 27,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November 19, 2024, expressed an unqualified opinion on the Company’s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44" w:lineRule="exact"/>
        <w:rPr>
          <w:sz w:val="20"/>
          <w:szCs w:val="20"/>
          <w:color w:val="auto"/>
        </w:rPr>
      </w:pPr>
    </w:p>
    <w:p>
      <w:pPr>
        <w:ind w:right="5380"/>
        <w:spacing w:after="0" w:line="3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 FSS US Reporting Unit - Refer to Note 5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estimated fair value of each reporting unit to its carrying amount annually in the fourth quarter of each year as of the end of the fiscal month of August or more frequently if a change in circumstances or the occurrence of events indicates that potential impairment exists. During the fourth quarter, the Company performed a quantitative test to determine the fair value of each reporting unit using discounted cash flow method or market method, which required management to make assumptions and estimates that are subject to risk and uncertainty related to future growth rates, margin projections, timing of future cash flows, the discount rate, and the determination of market multiples. Changes in these assumptions or estimates may impact the impairment analysis and could reduce the underlying cash flows used to estimate fair values and result in an impairment charge. The fair value of the FSS United States (FSS US) reporting unit exceeded its carrying amount, and therefore, the Company determined that its goodwill was not impaired.</w:t>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identified the valuation of goodwill for the FSS US reporting unit as a critical audit matter because of the significant judgments made by management to estimate its fair value. Auditing the discounted cash flow calculations for this reporting unit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involved a high degree of auditor judgment and an increased effort, which included the involvement of our fair value specialists, as it related to evaluating management’s assumptions and estimates related to future growth rates, margin projections, timing of future cash flows, the discount rate and the determination of market multiples.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assumptions and estimates of future growth rates, margin projections, timing of future cash flows, the discount rate and the determination of market multiples used by management to estimate the fair value of the FSS US reporting unit included the following, among others:</w:t>
      </w:r>
    </w:p>
    <w:p>
      <w:pPr>
        <w:spacing w:after="0" w:line="40" w:lineRule="exact"/>
        <w:rPr>
          <w:sz w:val="20"/>
          <w:szCs w:val="20"/>
          <w:color w:val="auto"/>
        </w:rPr>
      </w:pPr>
    </w:p>
    <w:p>
      <w:pPr>
        <w:ind w:left="660" w:right="10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management’s goodwill impairment evaluation, including those over the determination of the fair value of the FSS US reporting unit, including controls related to management’s assumptions and estimates of future growth rates, margin projections, timing of future cash flows, the discount rate and the determination of market multiples.</w:t>
      </w:r>
    </w:p>
    <w:p>
      <w:pPr>
        <w:spacing w:after="0" w:line="4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FSS US reporting unit growth rates, margin projections and timing of future cash flows by comparing actual results to management’s historical forecasts.</w:t>
      </w:r>
    </w:p>
    <w:p>
      <w:pPr>
        <w:spacing w:after="0" w:line="4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FSS US reporting unit growth rates, margin projections and timing of future cash flows by comparing the forecasts to:</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results.</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information included in analyst and industry reports for the Company and certain of its peer companies.</w:t>
      </w:r>
    </w:p>
    <w:p>
      <w:pPr>
        <w:spacing w:after="0" w:line="10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(1) the valuation methodology used and (2) the projections of future growth rates, the discount rate and the determination of market multiples by testing the underlying source information, and for certain assumptions by developing a range of independent estimates and comparing those to the rate selected by management.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27, 2024 AND SEPTEMBER 29, 2023</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220" w:type="dxa"/>
            <w:vAlign w:val="bottom"/>
          </w:tcPr>
          <w:p>
            <w:pPr>
              <w:spacing w:after="0"/>
              <w:rPr>
                <w:sz w:val="16"/>
                <w:szCs w:val="16"/>
                <w:color w:val="auto"/>
              </w:rPr>
            </w:pPr>
          </w:p>
        </w:tc>
        <w:tc>
          <w:tcPr>
            <w:tcW w:w="17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23"/>
        </w:trPr>
        <w:tc>
          <w:tcPr>
            <w:tcW w:w="7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180" w:type="dxa"/>
            <w:vAlign w:val="bottom"/>
            <w:shd w:val="clear" w:color="auto" w:fill="CCEEFF"/>
          </w:tcPr>
          <w:p>
            <w:pPr>
              <w:ind w:left="3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1,927,088</w:t>
            </w:r>
          </w:p>
        </w:tc>
        <w:tc>
          <w:tcPr>
            <w:tcW w:w="0" w:type="dxa"/>
            <w:vAlign w:val="bottom"/>
          </w:tcPr>
          <w:p>
            <w:pPr>
              <w:spacing w:after="0"/>
              <w:rPr>
                <w:sz w:val="1"/>
                <w:szCs w:val="1"/>
                <w:color w:val="auto"/>
              </w:rPr>
            </w:pPr>
          </w:p>
        </w:tc>
      </w:tr>
      <w:tr>
        <w:trPr>
          <w:trHeight w:val="195"/>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Receivables (less allowances: $34,259 and $31,506)</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2,096,928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1,970,782</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403,707</w:t>
            </w:r>
          </w:p>
        </w:tc>
        <w:tc>
          <w:tcPr>
            <w:tcW w:w="0" w:type="dxa"/>
            <w:vAlign w:val="bottom"/>
          </w:tcPr>
          <w:p>
            <w:pPr>
              <w:spacing w:after="0"/>
              <w:rPr>
                <w:sz w:val="1"/>
                <w:szCs w:val="1"/>
                <w:color w:val="auto"/>
              </w:rPr>
            </w:pPr>
          </w:p>
        </w:tc>
      </w:tr>
      <w:tr>
        <w:trPr>
          <w:trHeight w:val="195"/>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297,519</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620,931</w:t>
            </w:r>
          </w:p>
        </w:tc>
        <w:tc>
          <w:tcPr>
            <w:tcW w:w="0" w:type="dxa"/>
            <w:vAlign w:val="bottom"/>
          </w:tcPr>
          <w:p>
            <w:pPr>
              <w:spacing w:after="0"/>
              <w:rPr>
                <w:sz w:val="1"/>
                <w:szCs w:val="1"/>
                <w:color w:val="auto"/>
              </w:rPr>
            </w:pPr>
          </w:p>
        </w:tc>
      </w:tr>
      <w:tr>
        <w:trPr>
          <w:trHeight w:val="189"/>
        </w:trPr>
        <w:tc>
          <w:tcPr>
            <w:tcW w:w="71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3,406,562</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5,220,027</w:t>
            </w:r>
          </w:p>
        </w:tc>
        <w:tc>
          <w:tcPr>
            <w:tcW w:w="0" w:type="dxa"/>
            <w:vAlign w:val="bottom"/>
          </w:tcPr>
          <w:p>
            <w:pPr>
              <w:spacing w:after="0"/>
              <w:rPr>
                <w:sz w:val="1"/>
                <w:szCs w:val="1"/>
                <w:color w:val="auto"/>
              </w:rPr>
            </w:pPr>
          </w:p>
        </w:tc>
      </w:tr>
      <w:tr>
        <w:trPr>
          <w:trHeight w:val="18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Land, buildings and improvements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559,201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500,886</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Service equipment and fixtures</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3,754,357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3,575,516</w:t>
            </w:r>
          </w:p>
        </w:tc>
        <w:tc>
          <w:tcPr>
            <w:tcW w:w="0" w:type="dxa"/>
            <w:vAlign w:val="bottom"/>
          </w:tcPr>
          <w:p>
            <w:pPr>
              <w:spacing w:after="0"/>
              <w:rPr>
                <w:sz w:val="1"/>
                <w:szCs w:val="1"/>
                <w:color w:val="auto"/>
              </w:rPr>
            </w:pPr>
          </w:p>
        </w:tc>
      </w:tr>
      <w:tr>
        <w:trPr>
          <w:trHeight w:val="195"/>
        </w:trPr>
        <w:tc>
          <w:tcPr>
            <w:tcW w:w="7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4,313,558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4,076,402</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Less - Accumulated depreciation</w:t>
            </w: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(2,740,365)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(2,650,429)</w:t>
            </w:r>
          </w:p>
        </w:tc>
        <w:tc>
          <w:tcPr>
            <w:tcW w:w="0" w:type="dxa"/>
            <w:vAlign w:val="bottom"/>
          </w:tcPr>
          <w:p>
            <w:pPr>
              <w:spacing w:after="0"/>
              <w:rPr>
                <w:sz w:val="1"/>
                <w:szCs w:val="1"/>
                <w:color w:val="auto"/>
              </w:rPr>
            </w:pPr>
          </w:p>
        </w:tc>
      </w:tr>
      <w:tr>
        <w:trPr>
          <w:trHeight w:val="190"/>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1,573,193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1,425,973</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4,677,201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4,615,986</w:t>
            </w: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1,804,602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1,804,473</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572,268</w:t>
            </w: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574,154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728,678</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Assets of Discontinued Operations</w:t>
            </w:r>
          </w:p>
        </w:tc>
        <w:tc>
          <w:tcPr>
            <w:tcW w:w="2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2,503,836</w:t>
            </w:r>
          </w:p>
        </w:tc>
        <w:tc>
          <w:tcPr>
            <w:tcW w:w="0" w:type="dxa"/>
            <w:vAlign w:val="bottom"/>
          </w:tcPr>
          <w:p>
            <w:pPr>
              <w:spacing w:after="0"/>
              <w:rPr>
                <w:sz w:val="1"/>
                <w:szCs w:val="1"/>
                <w:color w:val="auto"/>
              </w:rPr>
            </w:pPr>
          </w:p>
        </w:tc>
      </w:tr>
      <w:tr>
        <w:trPr>
          <w:trHeight w:val="196"/>
        </w:trPr>
        <w:tc>
          <w:tcPr>
            <w:tcW w:w="7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12,674,371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16,871,241</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Current maturities of long-term borrowings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1,543,032</w:t>
            </w:r>
          </w:p>
        </w:tc>
        <w:tc>
          <w:tcPr>
            <w:tcW w:w="0" w:type="dxa"/>
            <w:vAlign w:val="bottom"/>
          </w:tcPr>
          <w:p>
            <w:pPr>
              <w:spacing w:after="0"/>
              <w:rPr>
                <w:sz w:val="1"/>
                <w:szCs w:val="1"/>
                <w:color w:val="auto"/>
              </w:rPr>
            </w:pPr>
          </w:p>
        </w:tc>
      </w:tr>
      <w:tr>
        <w:trPr>
          <w:trHeight w:val="195"/>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51,271</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1,394,007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1,271,859</w:t>
            </w:r>
          </w:p>
        </w:tc>
        <w:tc>
          <w:tcPr>
            <w:tcW w:w="0" w:type="dxa"/>
            <w:vAlign w:val="bottom"/>
          </w:tcPr>
          <w:p>
            <w:pPr>
              <w:spacing w:after="0"/>
              <w:rPr>
                <w:sz w:val="1"/>
                <w:szCs w:val="1"/>
                <w:color w:val="auto"/>
              </w:rPr>
            </w:pPr>
          </w:p>
        </w:tc>
      </w:tr>
      <w:tr>
        <w:trPr>
          <w:trHeight w:val="195"/>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518,912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479,827</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1,282,842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1,288,454</w:t>
            </w:r>
          </w:p>
        </w:tc>
        <w:tc>
          <w:tcPr>
            <w:tcW w:w="0" w:type="dxa"/>
            <w:vAlign w:val="bottom"/>
          </w:tcPr>
          <w:p>
            <w:pPr>
              <w:spacing w:after="0"/>
              <w:rPr>
                <w:sz w:val="1"/>
                <w:szCs w:val="1"/>
                <w:color w:val="auto"/>
              </w:rPr>
            </w:pPr>
          </w:p>
        </w:tc>
      </w:tr>
      <w:tr>
        <w:trPr>
          <w:trHeight w:val="196"/>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200" w:type="dxa"/>
            <w:vAlign w:val="bottom"/>
          </w:tcPr>
          <w:p>
            <w:pPr>
              <w:spacing w:after="0"/>
              <w:rPr>
                <w:sz w:val="17"/>
                <w:szCs w:val="17"/>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395,524</w:t>
            </w:r>
          </w:p>
        </w:tc>
        <w:tc>
          <w:tcPr>
            <w:tcW w:w="0" w:type="dxa"/>
            <w:vAlign w:val="bottom"/>
          </w:tcPr>
          <w:p>
            <w:pPr>
              <w:spacing w:after="0"/>
              <w:rPr>
                <w:sz w:val="1"/>
                <w:szCs w:val="1"/>
                <w:color w:val="auto"/>
              </w:rPr>
            </w:pPr>
          </w:p>
        </w:tc>
      </w:tr>
      <w:tr>
        <w:trPr>
          <w:trHeight w:val="203"/>
        </w:trPr>
        <w:tc>
          <w:tcPr>
            <w:tcW w:w="7180" w:type="dxa"/>
            <w:vAlign w:val="bottom"/>
            <w:tcBorders>
              <w:top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4,214,210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5,029,967</w:t>
            </w:r>
          </w:p>
        </w:tc>
        <w:tc>
          <w:tcPr>
            <w:tcW w:w="0" w:type="dxa"/>
            <w:vAlign w:val="bottom"/>
          </w:tcPr>
          <w:p>
            <w:pPr>
              <w:spacing w:after="0"/>
              <w:rPr>
                <w:sz w:val="1"/>
                <w:szCs w:val="1"/>
                <w:color w:val="auto"/>
              </w:rPr>
            </w:pPr>
          </w:p>
        </w:tc>
      </w:tr>
      <w:tr>
        <w:trPr>
          <w:trHeight w:val="189"/>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Long-Term Borrowings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4,307,171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5,098,662</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245,871</w:t>
            </w: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 (see Note 11)</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410,935</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503,129</w:t>
            </w: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Noncurrent Liabilities of Discontinued Operations</w:t>
            </w:r>
          </w:p>
        </w:tc>
        <w:tc>
          <w:tcPr>
            <w:tcW w:w="200" w:type="dxa"/>
            <w:vAlign w:val="bottom"/>
          </w:tcPr>
          <w:p>
            <w:pPr>
              <w:spacing w:after="0"/>
              <w:rPr>
                <w:sz w:val="16"/>
                <w:szCs w:val="16"/>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1,861,735</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(see Note 15)</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180" w:type="dxa"/>
            <w:vAlign w:val="bottom"/>
          </w:tcPr>
          <w:p>
            <w:pPr>
              <w:ind w:left="440"/>
              <w:spacing w:after="0" w:line="139" w:lineRule="exact"/>
              <w:rPr>
                <w:sz w:val="20"/>
                <w:szCs w:val="20"/>
                <w:color w:val="auto"/>
              </w:rPr>
            </w:pPr>
            <w:r>
              <w:rPr>
                <w:rFonts w:ascii="Times New Roman" w:cs="Times New Roman" w:eastAsia="Times New Roman" w:hAnsi="Times New Roman"/>
                <w:sz w:val="14"/>
                <w:szCs w:val="14"/>
                <w:color w:val="auto"/>
              </w:rPr>
              <w:t>Common stock, par value $0.01 (authorized: 600,000,000 shares; issued: 304,285,195 shares and 301,069,012</w:t>
            </w:r>
          </w:p>
        </w:tc>
        <w:tc>
          <w:tcPr>
            <w:tcW w:w="20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0" w:type="dxa"/>
            <w:vAlign w:val="bottom"/>
          </w:tcPr>
          <w:p>
            <w:pPr>
              <w:spacing w:after="0"/>
              <w:rPr>
                <w:sz w:val="1"/>
                <w:szCs w:val="1"/>
                <w:color w:val="auto"/>
              </w:rPr>
            </w:pPr>
          </w:p>
        </w:tc>
      </w:tr>
      <w:tr>
        <w:trPr>
          <w:trHeight w:val="193"/>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shares; and outstanding: 263,939,983 shares and 261,450,373 shares)</w:t>
            </w:r>
          </w:p>
        </w:tc>
        <w:tc>
          <w:tcPr>
            <w:tcW w:w="2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Capital surplus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3,931,932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3,825,620</w:t>
            </w:r>
          </w:p>
        </w:tc>
        <w:tc>
          <w:tcPr>
            <w:tcW w:w="0" w:type="dxa"/>
            <w:vAlign w:val="bottom"/>
          </w:tcPr>
          <w:p>
            <w:pPr>
              <w:spacing w:after="0"/>
              <w:rPr>
                <w:sz w:val="1"/>
                <w:szCs w:val="1"/>
                <w:color w:val="auto"/>
              </w:rPr>
            </w:pPr>
          </w:p>
        </w:tc>
      </w:tr>
      <w:tr>
        <w:trPr>
          <w:trHeight w:val="195"/>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964,158</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(98,237)</w:t>
            </w: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Treasury stock (shares held in treasury: 40,345,212 shares and 39,618,639 shares)</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(1,003,253)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(981,834)</w:t>
            </w: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3,038,974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3,712,718</w:t>
            </w:r>
          </w:p>
        </w:tc>
        <w:tc>
          <w:tcPr>
            <w:tcW w:w="0" w:type="dxa"/>
            <w:vAlign w:val="bottom"/>
          </w:tcPr>
          <w:p>
            <w:pPr>
              <w:spacing w:after="0"/>
              <w:rPr>
                <w:sz w:val="1"/>
                <w:szCs w:val="1"/>
                <w:color w:val="auto"/>
              </w:rPr>
            </w:pPr>
          </w:p>
        </w:tc>
      </w:tr>
      <w:tr>
        <w:trPr>
          <w:trHeight w:val="196"/>
        </w:trPr>
        <w:tc>
          <w:tcPr>
            <w:tcW w:w="718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12,674,371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16,871,241</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w:t>
      </w:r>
      <w:r>
        <w:rPr>
          <w:rFonts w:ascii="Times New Roman" w:cs="Times New Roman" w:eastAsia="Times New Roman" w:hAnsi="Times New Roman"/>
          <w:sz w:val="17"/>
          <w:szCs w:val="17"/>
          <w:color w:val="auto"/>
        </w:rPr>
        <w:t>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27, 2024, SEPTEMBER 29, 2023 AND SEPTEMBER 30, 2022</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57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0"/>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16"/>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17,400,701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16,083,212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13,687,269</w:t>
            </w:r>
          </w:p>
        </w:tc>
      </w:tr>
      <w:tr>
        <w:trPr>
          <w:trHeight w:val="19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9"/>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15,975,017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14,774,664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12,615,547</w:t>
            </w:r>
          </w:p>
        </w:tc>
      </w:tr>
      <w:tr>
        <w:trPr>
          <w:trHeight w:val="213"/>
        </w:trPr>
        <w:tc>
          <w:tcPr>
            <w:tcW w:w="5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397,975</w:t>
            </w:r>
          </w:p>
        </w:tc>
      </w:tr>
      <w:tr>
        <w:trPr>
          <w:trHeight w:val="216"/>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258,355</w:t>
            </w:r>
          </w:p>
        </w:tc>
      </w:tr>
      <w:tr>
        <w:trPr>
          <w:trHeight w:val="210"/>
        </w:trPr>
        <w:tc>
          <w:tcPr>
            <w:tcW w:w="5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16,694,191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15,458,184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13,271,877</w:t>
            </w:r>
          </w:p>
        </w:tc>
      </w:tr>
      <w:tr>
        <w:trPr>
          <w:trHeight w:val="212"/>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415,392</w:t>
            </w:r>
          </w:p>
        </w:tc>
      </w:tr>
      <w:tr>
        <w:trPr>
          <w:trHeight w:val="21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Gain on Equity Investments, net (see Note 1)</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368,178</w:t>
            </w:r>
          </w:p>
        </w:tc>
      </w:tr>
      <w:tr>
        <w:trPr>
          <w:trHeight w:val="207"/>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47,214</w:t>
            </w:r>
          </w:p>
        </w:tc>
      </w:tr>
      <w:tr>
        <w:trPr>
          <w:trHeight w:val="21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 from Continuing Operations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8,433</w:t>
            </w:r>
          </w:p>
        </w:tc>
      </w:tr>
      <w:tr>
        <w:trPr>
          <w:trHeight w:val="207"/>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38,781</w:t>
            </w:r>
          </w:p>
        </w:tc>
      </w:tr>
      <w:tr>
        <w:trPr>
          <w:trHeight w:val="21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07"/>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income from Continuing Operations attributable to Aramark stockholders</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39,088</w:t>
            </w: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155,396</w:t>
            </w:r>
          </w:p>
        </w:tc>
      </w:tr>
      <w:tr>
        <w:trPr>
          <w:trHeight w:val="212"/>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attributable to Aramark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262,522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674,108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194,484</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5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share attributable to Aramark stockholders: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13"/>
        </w:trPr>
        <w:tc>
          <w:tcPr>
            <w:tcW w:w="5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r>
      <w:tr>
        <w:trPr>
          <w:trHeight w:val="235"/>
        </w:trPr>
        <w:tc>
          <w:tcPr>
            <w:tcW w:w="57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Basic earnings per share attributable to Aramark stockholders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earnings per share attributable to Aramark stockholders: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5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19"/>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r>
      <w:tr>
        <w:trPr>
          <w:trHeight w:val="207"/>
        </w:trPr>
        <w:tc>
          <w:tcPr>
            <w:tcW w:w="5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Diluted earnings per share attributable to Aramark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0.75</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0"/>
        </w:trPr>
        <w:tc>
          <w:tcPr>
            <w:tcW w:w="5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1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257,314</w:t>
            </w:r>
          </w:p>
        </w:tc>
      </w:tr>
      <w:tr>
        <w:trPr>
          <w:trHeight w:val="210"/>
        </w:trPr>
        <w:tc>
          <w:tcPr>
            <w:tcW w:w="5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259,074</w:t>
            </w:r>
          </w:p>
        </w:tc>
      </w:tr>
    </w:tbl>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7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27, 2024, SEPTEMBER 29, 2023 AND SEPTEMBER 30, 2022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60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38,781</w:t>
            </w:r>
          </w:p>
        </w:tc>
      </w:tr>
      <w:tr>
        <w:trPr>
          <w:trHeight w:val="229"/>
        </w:trPr>
        <w:tc>
          <w:tcPr>
            <w:tcW w:w="6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155,396</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194,177</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Pension plan adjustments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17,113</w:t>
            </w:r>
          </w:p>
        </w:tc>
      </w:tr>
      <w:tr>
        <w:trPr>
          <w:trHeight w:val="230"/>
        </w:trPr>
        <w:tc>
          <w:tcPr>
            <w:tcW w:w="6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(86,376)</w:t>
            </w:r>
          </w:p>
        </w:tc>
      </w:tr>
      <w:tr>
        <w:trPr>
          <w:trHeight w:val="229"/>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flow hedges: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6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Unrealized (loss) gain arising during the period</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143,276</w:t>
            </w:r>
          </w:p>
        </w:tc>
      </w:tr>
      <w:tr>
        <w:trPr>
          <w:trHeight w:val="229"/>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20,698</w:t>
            </w:r>
          </w:p>
        </w:tc>
      </w:tr>
      <w:tr>
        <w:trPr>
          <w:trHeight w:val="229"/>
        </w:trPr>
        <w:tc>
          <w:tcPr>
            <w:tcW w:w="6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 of equity investee's comprehensive income</w:t>
            </w: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96,440</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290,617</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290,924</w:t>
            </w:r>
          </w:p>
        </w:tc>
      </w:tr>
      <w:tr>
        <w:trPr>
          <w:trHeight w:val="21"/>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27, 2024, SEPTEMBER 29, 2023 AND SEPTEMBER 30,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71"/>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27, 2024</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September 29, 2023</w:t>
            </w:r>
          </w:p>
        </w:tc>
        <w:tc>
          <w:tcPr>
            <w:tcW w:w="200" w:type="dxa"/>
            <w:vAlign w:val="bottom"/>
          </w:tcPr>
          <w:p>
            <w:pPr>
              <w:spacing w:after="0"/>
              <w:rPr>
                <w:sz w:val="14"/>
                <w:szCs w:val="14"/>
                <w:color w:val="auto"/>
              </w:rPr>
            </w:pPr>
          </w:p>
        </w:tc>
        <w:tc>
          <w:tcPr>
            <w:tcW w:w="14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September 30, 2022</w:t>
            </w:r>
          </w:p>
        </w:tc>
      </w:tr>
      <w:tr>
        <w:trPr>
          <w:trHeight w:val="160"/>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 of Continuing Operations:</w:t>
            </w:r>
          </w:p>
        </w:tc>
        <w:tc>
          <w:tcPr>
            <w:tcW w:w="2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r>
      <w:tr>
        <w:trPr>
          <w:trHeight w:val="170"/>
        </w:trPr>
        <w:tc>
          <w:tcPr>
            <w:tcW w:w="6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Net income from Continuing Operations</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261,893</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447,098</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38,781</w:t>
            </w:r>
          </w:p>
        </w:tc>
      </w:tr>
      <w:tr>
        <w:trPr>
          <w:trHeight w:val="127"/>
        </w:trPr>
        <w:tc>
          <w:tcPr>
            <w:tcW w:w="6020" w:type="dxa"/>
            <w:vAlign w:val="bottom"/>
            <w:shd w:val="clear" w:color="auto" w:fill="CCEEFF"/>
          </w:tcPr>
          <w:p>
            <w:pPr>
              <w:ind w:left="460"/>
              <w:spacing w:after="0" w:line="128" w:lineRule="exact"/>
              <w:rPr>
                <w:sz w:val="20"/>
                <w:szCs w:val="20"/>
                <w:color w:val="auto"/>
              </w:rPr>
            </w:pPr>
            <w:r>
              <w:rPr>
                <w:rFonts w:ascii="Times New Roman" w:cs="Times New Roman" w:eastAsia="Times New Roman" w:hAnsi="Times New Roman"/>
                <w:sz w:val="13"/>
                <w:szCs w:val="13"/>
                <w:color w:val="auto"/>
              </w:rPr>
              <w:t>Adjustments to reconcile Net income from Continuing Operations to Net cash provided by operating</w:t>
            </w:r>
          </w:p>
        </w:tc>
        <w:tc>
          <w:tcPr>
            <w:tcW w:w="2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169"/>
        </w:trPr>
        <w:tc>
          <w:tcPr>
            <w:tcW w:w="6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activities of Continuing Operations:</w:t>
            </w:r>
          </w:p>
        </w:tc>
        <w:tc>
          <w:tcPr>
            <w:tcW w:w="2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70"/>
        </w:trPr>
        <w:tc>
          <w:tcPr>
            <w:tcW w:w="6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435,547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409,857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397,975</w:t>
            </w:r>
          </w:p>
        </w:tc>
      </w:tr>
      <w:tr>
        <w:trPr>
          <w:trHeight w:val="181"/>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Asset write-downs</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18,186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Reduction of contingent consideration liability (see Note 17)</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(20,749)</w:t>
            </w:r>
          </w:p>
        </w:tc>
      </w:tr>
      <w:tr>
        <w:trPr>
          <w:trHeight w:val="181"/>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Gain on equity investments, net (see Note 1)</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(375,972)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Deferred income taxes</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15,908</w:t>
            </w:r>
          </w:p>
        </w:tc>
      </w:tr>
      <w:tr>
        <w:trPr>
          <w:trHeight w:val="181"/>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62,552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82,299</w:t>
            </w:r>
          </w:p>
        </w:tc>
      </w:tr>
      <w:tr>
        <w:trPr>
          <w:trHeight w:val="170"/>
        </w:trPr>
        <w:tc>
          <w:tcPr>
            <w:tcW w:w="6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1"/>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Receivables, net</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(99,788)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(177,873)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(410,803)</w:t>
            </w:r>
          </w:p>
        </w:tc>
      </w:tr>
      <w:tr>
        <w:trPr>
          <w:trHeight w:val="170"/>
        </w:trPr>
        <w:tc>
          <w:tcPr>
            <w:tcW w:w="6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Inventories</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(77,430)</w:t>
            </w:r>
          </w:p>
        </w:tc>
      </w:tr>
      <w:tr>
        <w:trPr>
          <w:trHeight w:val="181"/>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w:t>
            </w:r>
          </w:p>
        </w:tc>
      </w:tr>
      <w:tr>
        <w:trPr>
          <w:trHeight w:val="170"/>
        </w:trPr>
        <w:tc>
          <w:tcPr>
            <w:tcW w:w="60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Accounts payable</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105,868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392,343</w:t>
            </w:r>
          </w:p>
        </w:tc>
      </w:tr>
      <w:tr>
        <w:trPr>
          <w:trHeight w:val="181"/>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Accrued expenses</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40,742</w:t>
            </w:r>
          </w:p>
        </w:tc>
      </w:tr>
      <w:tr>
        <w:trPr>
          <w:trHeight w:val="170"/>
        </w:trPr>
        <w:tc>
          <w:tcPr>
            <w:tcW w:w="6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Payments made to clients on contracts</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(139,003)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(56,865)</w:t>
            </w:r>
          </w:p>
        </w:tc>
      </w:tr>
      <w:tr>
        <w:trPr>
          <w:trHeight w:val="181"/>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Changes in other noncurrent liabilities</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17,097</w:t>
            </w:r>
          </w:p>
        </w:tc>
      </w:tr>
      <w:tr>
        <w:trPr>
          <w:trHeight w:val="170"/>
        </w:trPr>
        <w:tc>
          <w:tcPr>
            <w:tcW w:w="6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Changes in other assets</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58,929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35,278</w:t>
            </w:r>
          </w:p>
        </w:tc>
      </w:tr>
      <w:tr>
        <w:trPr>
          <w:trHeight w:val="181"/>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Other operating activities</w:t>
            </w:r>
          </w:p>
        </w:tc>
        <w:tc>
          <w:tcPr>
            <w:tcW w:w="2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56,722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10,534</w:t>
            </w:r>
          </w:p>
        </w:tc>
      </w:tr>
      <w:tr>
        <w:trPr>
          <w:trHeight w:val="163"/>
        </w:trPr>
        <w:tc>
          <w:tcPr>
            <w:tcW w:w="602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Net cash provided by operating activities of Continuing Operations</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726,514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511,647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463,913</w:t>
            </w:r>
          </w:p>
        </w:tc>
      </w:tr>
      <w:tr>
        <w:trPr>
          <w:trHeight w:val="16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 of Continuing Operations:</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70"/>
        </w:trPr>
        <w:tc>
          <w:tcPr>
            <w:tcW w:w="6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Purchases of property and equipment and other</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(427,425)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(383,536)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(311,948)</w:t>
            </w:r>
          </w:p>
        </w:tc>
      </w:tr>
      <w:tr>
        <w:trPr>
          <w:trHeight w:val="181"/>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Disposals of property and equipment</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16,326</w:t>
            </w:r>
          </w:p>
        </w:tc>
      </w:tr>
      <w:tr>
        <w:trPr>
          <w:trHeight w:val="170"/>
        </w:trPr>
        <w:tc>
          <w:tcPr>
            <w:tcW w:w="6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(113,303)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(78,220)</w:t>
            </w:r>
          </w:p>
        </w:tc>
      </w:tr>
      <w:tr>
        <w:trPr>
          <w:trHeight w:val="181"/>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Proceeds from marketable securities</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186,371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Acquisition of certain businesses, net of cash acquired</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(322,822)</w:t>
            </w:r>
          </w:p>
        </w:tc>
      </w:tr>
      <w:tr>
        <w:trPr>
          <w:trHeight w:val="181"/>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Acquisition of certain equity investments</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(64,000)</w:t>
            </w:r>
          </w:p>
        </w:tc>
      </w:tr>
      <w:tr>
        <w:trPr>
          <w:trHeight w:val="170"/>
        </w:trPr>
        <w:tc>
          <w:tcPr>
            <w:tcW w:w="6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Proceeds from sale of equity investments</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101,198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633,179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2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(3,757)</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40,147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15,510</w:t>
            </w:r>
          </w:p>
        </w:tc>
      </w:tr>
      <w:tr>
        <w:trPr>
          <w:trHeight w:val="163"/>
        </w:trPr>
        <w:tc>
          <w:tcPr>
            <w:tcW w:w="602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Net cash (used in) provided by investing activities of Continuing Operations</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(415,862)</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223,658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(745,154)</w:t>
            </w:r>
          </w:p>
        </w:tc>
      </w:tr>
      <w:tr>
        <w:trPr>
          <w:trHeight w:val="16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 of Continuing Operations:</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70"/>
        </w:trPr>
        <w:tc>
          <w:tcPr>
            <w:tcW w:w="6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Proceeds from long-term borrowings</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571,288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1,286,526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100,051</w:t>
            </w:r>
          </w:p>
        </w:tc>
      </w:tr>
      <w:tr>
        <w:trPr>
          <w:trHeight w:val="181"/>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Payments of long-term borrowings</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(2,003,566)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(1,902,245)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(124,297)</w:t>
            </w:r>
          </w:p>
        </w:tc>
      </w:tr>
      <w:tr>
        <w:trPr>
          <w:trHeight w:val="170"/>
        </w:trPr>
        <w:tc>
          <w:tcPr>
            <w:tcW w:w="6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Net change in funding under the Receivables Facility</w:t>
            </w:r>
          </w:p>
        </w:tc>
        <w:tc>
          <w:tcPr>
            <w:tcW w:w="20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104,935</w:t>
            </w:r>
          </w:p>
        </w:tc>
      </w:tr>
      <w:tr>
        <w:trPr>
          <w:trHeight w:val="181"/>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Payments of dividends</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(99,901)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(113,120)</w:t>
            </w:r>
          </w:p>
        </w:tc>
      </w:tr>
      <w:tr>
        <w:trPr>
          <w:trHeight w:val="170"/>
        </w:trPr>
        <w:tc>
          <w:tcPr>
            <w:tcW w:w="6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Distribution from Vestis</w:t>
            </w:r>
          </w:p>
        </w:tc>
        <w:tc>
          <w:tcPr>
            <w:tcW w:w="20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1,456,701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36,573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42,954</w:t>
            </w:r>
          </w:p>
        </w:tc>
      </w:tr>
      <w:tr>
        <w:trPr>
          <w:trHeight w:val="170"/>
        </w:trPr>
        <w:tc>
          <w:tcPr>
            <w:tcW w:w="6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(65,590)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(7,408)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(45,107)</w:t>
            </w:r>
          </w:p>
        </w:tc>
      </w:tr>
      <w:tr>
        <w:trPr>
          <w:trHeight w:val="17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provided by financing activities of Continuing Operations</w:t>
            </w:r>
          </w:p>
        </w:tc>
        <w:tc>
          <w:tcPr>
            <w:tcW w:w="2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(1,561,196)</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659,627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(34,584)</w:t>
            </w:r>
          </w:p>
        </w:tc>
      </w:tr>
      <w:tr>
        <w:trPr>
          <w:trHeight w:val="150"/>
        </w:trPr>
        <w:tc>
          <w:tcPr>
            <w:tcW w:w="60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Discontinued Operations:</w:t>
            </w: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1"/>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230,586</w:t>
            </w:r>
          </w:p>
        </w:tc>
      </w:tr>
      <w:tr>
        <w:trPr>
          <w:trHeight w:val="170"/>
        </w:trPr>
        <w:tc>
          <w:tcPr>
            <w:tcW w:w="6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0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(86,133)</w:t>
            </w:r>
          </w:p>
        </w:tc>
      </w:tr>
      <w:tr>
        <w:trPr>
          <w:trHeight w:val="181"/>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(21,673)</w:t>
            </w:r>
          </w:p>
        </w:tc>
      </w:tr>
      <w:tr>
        <w:trPr>
          <w:trHeight w:val="163"/>
        </w:trPr>
        <w:tc>
          <w:tcPr>
            <w:tcW w:w="602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Net cash provided by Discontinued Operations</w:t>
            </w:r>
          </w:p>
        </w:tc>
        <w:tc>
          <w:tcPr>
            <w:tcW w:w="20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243,358</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122,780</w:t>
            </w:r>
          </w:p>
        </w:tc>
      </w:tr>
      <w:tr>
        <w:trPr>
          <w:trHeight w:val="17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foreign exchange rates on cash and cash equivalents and restricted cash</w:t>
            </w:r>
          </w:p>
        </w:tc>
        <w:tc>
          <w:tcPr>
            <w:tcW w:w="2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(28,657)</w:t>
            </w:r>
          </w:p>
        </w:tc>
      </w:tr>
      <w:tr>
        <w:trPr>
          <w:trHeight w:val="163"/>
        </w:trPr>
        <w:tc>
          <w:tcPr>
            <w:tcW w:w="60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(Decrease) increase in cash and cash equivalents and restricted cash</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(1,239,754)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1,642,987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(221,702)</w:t>
            </w:r>
          </w:p>
        </w:tc>
      </w:tr>
      <w:tr>
        <w:trPr>
          <w:trHeight w:val="181"/>
        </w:trPr>
        <w:tc>
          <w:tcPr>
            <w:tcW w:w="60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Cash and cash equivalents and restricted cash, beginning of period</w:t>
            </w:r>
            <w:r>
              <w:rPr>
                <w:rFonts w:ascii="Times New Roman" w:cs="Times New Roman" w:eastAsia="Times New Roman" w:hAnsi="Times New Roman"/>
                <w:sz w:val="16"/>
                <w:szCs w:val="16"/>
                <w:color w:val="auto"/>
                <w:vertAlign w:val="superscript"/>
              </w:rPr>
              <w:t>(1)</w:t>
            </w:r>
          </w:p>
        </w:tc>
        <w:tc>
          <w:tcPr>
            <w:tcW w:w="2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1,972,367</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365,431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587,133</w:t>
            </w:r>
          </w:p>
        </w:tc>
      </w:tr>
      <w:tr>
        <w:trPr>
          <w:trHeight w:val="163"/>
        </w:trPr>
        <w:tc>
          <w:tcPr>
            <w:tcW w:w="60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and cash equivalents and restricted cash, end of period</w:t>
            </w: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732,613</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2,008,418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365,431</w:t>
            </w:r>
          </w:p>
        </w:tc>
      </w:tr>
      <w:tr>
        <w:trPr>
          <w:trHeight w:val="26"/>
        </w:trPr>
        <w:tc>
          <w:tcPr>
            <w:tcW w:w="6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20" w:right="60" w:firstLine="6"/>
        <w:spacing w:after="0" w:line="235" w:lineRule="auto"/>
        <w:tabs>
          <w:tab w:leader="none" w:pos="173"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a result of the separation and distribution of the Uniform segment, "Cash and cash equivalents and restricted cash, beginning of period" for fiscal 2024 excludes the fiscal 2023 "Cash and cash equivalents in Current assets of discontinued operations" of $36.1 million.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27, 2024</w:t>
            </w: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29, 2023</w:t>
            </w:r>
          </w:p>
        </w:tc>
        <w:tc>
          <w:tcPr>
            <w:tcW w:w="200" w:type="dxa"/>
            <w:vAlign w:val="bottom"/>
          </w:tcPr>
          <w:p>
            <w:pPr>
              <w:spacing w:after="0"/>
              <w:rPr>
                <w:sz w:val="18"/>
                <w:szCs w:val="18"/>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September 30, 2022</w:t>
            </w:r>
          </w:p>
        </w:tc>
      </w:tr>
      <w:tr>
        <w:trPr>
          <w:trHeight w:val="20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672,483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1,927,088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305,716</w:t>
            </w:r>
          </w:p>
        </w:tc>
      </w:tr>
      <w:tr>
        <w:trPr>
          <w:trHeight w:val="195"/>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 Prepayments and other current assets</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35,979</w:t>
            </w: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in Current assets of discontinued operations</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23,736</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 and restricted cash</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732,613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2,008,418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365,431</w:t>
            </w:r>
          </w:p>
        </w:tc>
      </w:tr>
      <w:tr>
        <w:trPr>
          <w:trHeight w:val="27"/>
        </w:trPr>
        <w:tc>
          <w:tcPr>
            <w:tcW w:w="6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27, 2024, SEPTEMBER 29, 2023 AND SEPTEMBER 30, 2022</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8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4"/>
                <w:szCs w:val="14"/>
                <w:color w:val="auto"/>
              </w:rPr>
            </w:pP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October 1, 2021</w:t>
            </w:r>
          </w:p>
        </w:tc>
        <w:tc>
          <w:tcPr>
            <w:tcW w:w="16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2,722,872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3,533,054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center"/>
              <w:ind w:left="131"/>
              <w:spacing w:after="0" w:line="198" w:lineRule="exact"/>
              <w:rPr>
                <w:sz w:val="20"/>
                <w:szCs w:val="20"/>
                <w:color w:val="auto"/>
              </w:rPr>
            </w:pPr>
            <w:r>
              <w:rPr>
                <w:rFonts w:ascii="Times New Roman" w:cs="Times New Roman" w:eastAsia="Times New Roman" w:hAnsi="Times New Roman"/>
                <w:sz w:val="18"/>
                <w:szCs w:val="18"/>
                <w:color w:val="auto"/>
                <w:w w:val="99"/>
              </w:rPr>
              <w:t>327,557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(208,011)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(932,671)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440"/>
              <w:spacing w:after="0" w:line="171"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194,484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52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44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(17,844)</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Dividends declared ($0.44 per share)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(115,257)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3,029,640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3,681,966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8"/>
                <w:szCs w:val="18"/>
                <w:color w:val="auto"/>
                <w:w w:val="99"/>
              </w:rPr>
              <w:t>406,784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(950,515)</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20" w:type="dxa"/>
            <w:vAlign w:val="bottom"/>
            <w:shd w:val="clear" w:color="auto" w:fill="CCEEFF"/>
          </w:tcPr>
          <w:p>
            <w:pPr>
              <w:ind w:left="440"/>
              <w:spacing w:after="0" w:line="151" w:lineRule="exact"/>
              <w:rPr>
                <w:sz w:val="20"/>
                <w:szCs w:val="20"/>
                <w:color w:val="auto"/>
              </w:rPr>
            </w:pPr>
            <w:r>
              <w:rPr>
                <w:rFonts w:ascii="Times New Roman" w:cs="Times New Roman" w:eastAsia="Times New Roman" w:hAnsi="Times New Roman"/>
                <w:sz w:val="17"/>
                <w:szCs w:val="17"/>
                <w:color w:val="auto"/>
              </w:rPr>
              <w:t>Net income attributable to Aramark</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674,108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ind w:left="440"/>
              <w:spacing w:after="0" w:line="184"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44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(31,319)</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Dividends declared ($0.44 per share)</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8"/>
                <w:szCs w:val="18"/>
                <w:color w:val="auto"/>
                <w:w w:val="99"/>
              </w:rPr>
              <w:t>(116,734)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29,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964,158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440"/>
              <w:spacing w:after="0" w:line="171"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262,522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52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(21,419)</w:t>
            </w:r>
          </w:p>
        </w:tc>
        <w:tc>
          <w:tcPr>
            <w:tcW w:w="0" w:type="dxa"/>
            <w:vAlign w:val="bottom"/>
          </w:tcPr>
          <w:p>
            <w:pPr>
              <w:spacing w:after="0"/>
              <w:rPr>
                <w:sz w:val="1"/>
                <w:szCs w:val="1"/>
                <w:color w:val="auto"/>
              </w:rPr>
            </w:pPr>
          </w:p>
        </w:tc>
      </w:tr>
      <w:tr>
        <w:trPr>
          <w:trHeight w:val="184"/>
        </w:trPr>
        <w:tc>
          <w:tcPr>
            <w:tcW w:w="352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Separation of Uniform Segment (see Note</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(885,104)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Dividends declared ($0.38 per share)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(101,867)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27,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3,038,974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3,931,932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8"/>
                <w:szCs w:val="18"/>
                <w:color w:val="auto"/>
                <w:w w:val="99"/>
              </w:rPr>
              <w:t>239,709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(1,003,253)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80" w:firstLine="8"/>
        <w:spacing w:after="0" w:line="262" w:lineRule="auto"/>
        <w:tabs>
          <w:tab w:leader="none" w:pos="178"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Share-based compensation expense for the fiscal years ended September 29, 2023 and September 30, 2022, is inclusive of $10.6 million and $13.2 million, respectively, of share-based compensation expense reported within Discontinued Operations.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BASIS OF PRESENTATION AND SUMMARY OF SIGNIFICANT ACCOUNTING POLICIES:</w:t>
      </w:r>
    </w:p>
    <w:p>
      <w:pPr>
        <w:spacing w:after="0" w:line="108"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Aramark (the "Company") is a leading global provider of food and facilities services to education, healthcare, business &amp; industry, and sports, leisure &amp; corrections clients. The Company's largest market is the United States, which is supplemented by an additional 15-country footprint. The Company also provides services on a more limited basis in several additional countries and in offshore locations. The Company operates its business in two reportable segments that share many of the same operating characteristics:</w:t>
      </w:r>
    </w:p>
    <w:p>
      <w:pPr>
        <w:spacing w:after="0" w:line="58" w:lineRule="exact"/>
        <w:rPr>
          <w:sz w:val="20"/>
          <w:szCs w:val="20"/>
          <w:color w:val="auto"/>
        </w:rPr>
      </w:pPr>
    </w:p>
    <w:p>
      <w:pPr>
        <w:jc w:val="both"/>
        <w:ind w:left="660" w:right="22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United States ("FSS United States") - Food, refreshment, specialized dietary and support services, including facility maintenance and housekeeping, provided to business, educational and healthcare institutions and in sports, leisure and other facilities within the United States.</w:t>
      </w:r>
    </w:p>
    <w:p>
      <w:pPr>
        <w:spacing w:after="0" w:line="4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International ("FSS International") - Food, refreshment, specialized dietary and support services, including facility maintenance and housekeeping, provided to business, educational and healthcare institutions and in sports, leisure and other facilities outside of the United States with the largest operations within Canada, Chile, China, Germany, Spain and the United Kingdom.</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all of its subsidiaries in which a controlling financial interest is maintained in accordance with generally accepted accounting principles in the United States ("U.S. GAAP"). All significant intercompany transactions and accounts have been eliminated.</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September 30, 2023, the Company completed the separation and distribution of its Aramark Uniform and Career Apparel ("Uniform") segment into an independent publicly traded company, Vestis Corporation ("Vestis"), and the historical results of the Uniform segment have been reflected as discontinued operations in the Company's consolidated financial statements for all periods prior to the separation and distribution. Assets and liabilities associated with the Uniform segment are classified as assets and liabilities of discontinued operations in the Company's Consolidated Balance Sheet as of September 29, 2023. Additional disclosures regarding the separation and distribution are provided in Note 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08"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The Company's fiscal year is the fifty-two or fifty-three week period which ends on the Friday nearest September 30th. The fiscal years ended September 27, 2024, September 29, 2023 and September 30, 2022 were each fifty-two week periods.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Standards (from most to least recent date of issuance)</w:t>
      </w:r>
    </w:p>
    <w:p>
      <w:pPr>
        <w:spacing w:after="0" w:line="10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w:t>
      </w:r>
      <w:r>
        <w:rPr>
          <w:rFonts w:ascii="Times New Roman" w:cs="Times New Roman" w:eastAsia="Times New Roman" w:hAnsi="Times New Roman"/>
          <w:sz w:val="18"/>
          <w:szCs w:val="18"/>
          <w:i w:val="1"/>
          <w:iCs w:val="1"/>
          <w:color w:val="auto"/>
        </w:rPr>
        <w:t>Accounting Standard Update ("ASU") 2022-04 Liabilities - Supplier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Finance Programs (Subtopic 405-50) </w:t>
      </w:r>
      <w:r>
        <w:rPr>
          <w:rFonts w:ascii="Times New Roman" w:cs="Times New Roman" w:eastAsia="Times New Roman" w:hAnsi="Times New Roman"/>
          <w:sz w:val="18"/>
          <w:szCs w:val="18"/>
          <w:color w:val="auto"/>
        </w:rPr>
        <w:t>to enhance the transparency of supplier finance programs, which may be referred to as reverse factoring, payables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or structured payables arrangements. The guidance requires that a buyer in a supplier finance program disclose the program's nature, activity and potential magnitude. The guidance was effective for the Company in the first quarter of fiscal 2024. The Company reviewed existing supplier finance agreements and enhanced disclosures with qualitative and quantitative information about its supplier finance program, but the adoption of this guidance did not have a material impact on the consolidated financial statements.</w:t>
      </w:r>
    </w:p>
    <w:p>
      <w:pPr>
        <w:spacing w:after="0" w:line="2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w:t>
      </w:r>
      <w:r>
        <w:rPr>
          <w:rFonts w:ascii="Times New Roman" w:cs="Times New Roman" w:eastAsia="Times New Roman" w:hAnsi="Times New Roman"/>
          <w:sz w:val="18"/>
          <w:szCs w:val="18"/>
          <w:i w:val="1"/>
          <w:iCs w:val="1"/>
          <w:color w:val="auto"/>
        </w:rPr>
        <w:t>ASU 2021-08 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which required that an entity (acquirer) recognize and measure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in accordance with Accounting Standards Codification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 if it had originated the contracts. The guidance was effective for the Company in the first quarter of fiscal 2024. The adoption of this guidance did not have a material impact on the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Not Yet Adopted (from most to least recent date of issuance)</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SEC adopted final climate-related disclosure rules under SEC Release Nos. 33-11275 and 34-99678, </w:t>
      </w:r>
      <w:r>
        <w:rPr>
          <w:rFonts w:ascii="Times New Roman" w:cs="Times New Roman" w:eastAsia="Times New Roman" w:hAnsi="Times New Roman"/>
          <w:sz w:val="18"/>
          <w:szCs w:val="18"/>
          <w:i w:val="1"/>
          <w:iCs w:val="1"/>
          <w:color w:val="auto"/>
        </w:rPr>
        <w:t>The Enhancement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Standardization of Climate-Related Disclosures for Investors</w:t>
      </w:r>
      <w:r>
        <w:rPr>
          <w:rFonts w:ascii="Times New Roman" w:cs="Times New Roman" w:eastAsia="Times New Roman" w:hAnsi="Times New Roman"/>
          <w:sz w:val="18"/>
          <w:szCs w:val="18"/>
          <w:color w:val="auto"/>
        </w:rPr>
        <w:t>. The rules require disclosure of governance, risk management and strategy related to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climate-related risks as well as disclosure of material greenhouse gas emissions in registration statements and annual reports. In addition, the rules require presentation of certain material climate-related disclosures in the annual consolidated financial statements. On April 4, 2024, the SEC voluntarily stayed the effective date of the final rules pending completion of judicial review following legal challenges. The disclosure requirements will apply to the Company's fiscal year reporting beginning October 4, 2025, pending resolution of the stay. The Company is currently evaluating the impact of the rules on the Company’s disclosures.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xml:space="preserve"> to enhance the transparency and decision usefulness of income tax disclosures. The guidance will require improvements to income tax disclosures primarily related to the rate reconciliation and income taxes paid information. The guidance is effective for the Company's annual disclosures for fiscal 2026 and early adoption is permitted. The Company is currently evaluating the impact of this standard.</w:t>
      </w:r>
    </w:p>
    <w:p>
      <w:pPr>
        <w:spacing w:after="0" w:line="18"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2023-07 Segment Reporting (Topic 280): Improvements to Reportable Segment Disclosures</w:t>
      </w:r>
      <w:r>
        <w:rPr>
          <w:rFonts w:ascii="Times New Roman" w:cs="Times New Roman" w:eastAsia="Times New Roman" w:hAnsi="Times New Roman"/>
          <w:sz w:val="18"/>
          <w:szCs w:val="18"/>
          <w:color w:val="auto"/>
        </w:rPr>
        <w:t xml:space="preserve"> to enhance the reportable segment disclosures. The guidance will require additional disclosures about significant segment expenses. The guidance is effective for the Company's annual disclosures for fiscal 2025 and early adoption is permitted. The Company is currently evaluating the impact of this standard.</w:t>
      </w:r>
    </w:p>
    <w:p>
      <w:pPr>
        <w:spacing w:after="0" w:line="4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new accounting pronouncements recently issued or newly effective were not applicable to the Company, did not have a material impact on the consolidated financial statements or are not expected to have a material impact on the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upon the transfer of control of the promised product or service to customers in an amount that reflects the consideration the Company expects to be entitled to in exchange for those goods and services. In each of the Company's operating segments, revenue is recognized over time in the period in which services are provided pursuant to the terms of the Company's contractual relationships with its clients. The Company generally records revenue on contracts (both profit and loss contracts and client interest contracts) on a gross basis as the Company is the primary obligor and service provider. See Note 9 for additional information on revenue recognition.</w:t>
      </w:r>
    </w:p>
    <w:p>
      <w:pPr>
        <w:spacing w:after="0" w:line="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Certain profit and loss contracts include payments to the client, typically calculated as a fixed or variable percentage of various categories of revenue and income. In some cases these contracts require minimum guaranteed payments that are contingent on certain future events. These expenses are currently recorded in "Cost of services provided (exclusive of depreciation and amortization)."</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Revenue from client interest contracts is generally comprised of amounts billed to clients for food, labor and other costs that the Company incurs, controls and pays for. Revenue from these contracts also includes any associated management fees, client subsidies or incentive fees based upon the Company's performance under the contract. Revenue from direct marketing activities is recognized at a point in time upon shipment. All revenue related taxes are presented on a net basis.</w:t>
      </w:r>
    </w:p>
    <w:p>
      <w:pPr>
        <w:spacing w:after="0" w:line="5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records an accounts receivable balance when revenue is recognized prior to or at the time of invoicing the customer. The majority of the Company’s receivables balances are based on contracts with customers.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and reserves for its credit loss exposure based on historical experience, current conditions and reasonable and supportable forecasts that affect the collectability of the reported amount in estimating credit losses. Credit loss expense is classified within "Cost of services provided (exclusive of depreciation and amortization)."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Consideration</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Consideration received from vendors includes rebates, allowances and volume discounts and are accounted for as an adjustment to the cost of the vendors' products or services and are reported as a reduction of "Cost of services provided (exclusive of depreciation and amortization)," "Inventory," or "Property and equipment, net." Income from rebates, allowances and volume discounts is recognized based on actual purchases in the fiscal period relative to total actual purchases to be made for the contractual rebate period agreed to with the vendor. Rebates, allowances and volume discounts related to “Inventory” held at the balance sheet date are deducted from the carrying value of these inventories. Rebates, allowances and volume discounts related to "Property and equipment, net" are deducted from the costs capitalized.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materially differ from those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Comprehensive income includes all changes to stockholders' equity during a period, except those resulting from investments by and distributions to stockholders. Components of comprehensive income include net income, changes in foreign currency translation adjustments (net of tax), pension plan adjustments (net of tax), changes in the fair value of cash flow hedges (net of tax) and changes to the share of any equity investees' comprehensive income (net of tax).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the components of comprehensive income is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20" w:type="dxa"/>
            <w:vAlign w:val="bottom"/>
          </w:tcPr>
          <w:p>
            <w:pPr>
              <w:spacing w:after="0"/>
              <w:rPr>
                <w:sz w:val="18"/>
                <w:szCs w:val="18"/>
                <w:color w:val="auto"/>
              </w:rPr>
            </w:pPr>
          </w:p>
        </w:tc>
        <w:tc>
          <w:tcPr>
            <w:tcW w:w="306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29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292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02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Pre-Tax</w:t>
            </w:r>
          </w:p>
        </w:tc>
        <w:tc>
          <w:tcPr>
            <w:tcW w:w="8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6"/>
              </w:rPr>
              <w:t>After-Tax</w:t>
            </w:r>
          </w:p>
        </w:tc>
        <w:tc>
          <w:tcPr>
            <w:tcW w:w="100" w:type="dxa"/>
            <w:vAlign w:val="bottom"/>
          </w:tcPr>
          <w:p>
            <w:pPr>
              <w:spacing w:after="0"/>
              <w:rPr>
                <w:sz w:val="13"/>
                <w:szCs w:val="13"/>
                <w:color w:val="auto"/>
              </w:rPr>
            </w:pPr>
          </w:p>
        </w:tc>
        <w:tc>
          <w:tcPr>
            <w:tcW w:w="96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Pre-Tax</w:t>
            </w:r>
          </w:p>
        </w:tc>
        <w:tc>
          <w:tcPr>
            <w:tcW w:w="100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8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6"/>
              </w:rPr>
              <w:t>After-Tax</w:t>
            </w:r>
          </w:p>
        </w:tc>
        <w:tc>
          <w:tcPr>
            <w:tcW w:w="120" w:type="dxa"/>
            <w:vAlign w:val="bottom"/>
          </w:tcPr>
          <w:p>
            <w:pPr>
              <w:spacing w:after="0"/>
              <w:rPr>
                <w:sz w:val="13"/>
                <w:szCs w:val="13"/>
                <w:color w:val="auto"/>
              </w:rPr>
            </w:pPr>
          </w:p>
        </w:tc>
        <w:tc>
          <w:tcPr>
            <w:tcW w:w="98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Pre-Tax</w:t>
            </w:r>
          </w:p>
        </w:tc>
        <w:tc>
          <w:tcPr>
            <w:tcW w:w="102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920" w:type="dxa"/>
            <w:vAlign w:val="bottom"/>
            <w:tcBorders>
              <w:top w:val="single" w:sz="8" w:color="auto"/>
            </w:tcBorders>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After-Tax</w:t>
            </w:r>
          </w:p>
        </w:tc>
        <w:tc>
          <w:tcPr>
            <w:tcW w:w="0" w:type="dxa"/>
            <w:vAlign w:val="bottom"/>
          </w:tcPr>
          <w:p>
            <w:pPr>
              <w:spacing w:after="0"/>
              <w:rPr>
                <w:sz w:val="1"/>
                <w:szCs w:val="1"/>
                <w:color w:val="auto"/>
              </w:rPr>
            </w:pPr>
          </w:p>
        </w:tc>
      </w:tr>
      <w:tr>
        <w:trPr>
          <w:trHeight w:val="214"/>
        </w:trPr>
        <w:tc>
          <w:tcPr>
            <w:tcW w:w="232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vMerge w:val="continue"/>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gridSpan w:val="2"/>
            <w:vMerge w:val="continue"/>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1"/>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261,893</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673,530</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194,177</w:t>
            </w: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plan adjustments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(11,068)</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(7,031)</w:t>
            </w:r>
          </w:p>
        </w:tc>
        <w:tc>
          <w:tcPr>
            <w:tcW w:w="1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26,184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(9,071)</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17,113</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10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18,082</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18,082</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28,136</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(7,863)</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20,273</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(96,783)</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(86,376)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Unrealized (loss) gain arising</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(22,016)</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(16,292)</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51,541</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(13,401)</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38,140</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193,616</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(50,340)</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143,276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during the period</w:t>
            </w: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Reclassification adjustments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(76,150)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(59,117)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(43,746)</w:t>
            </w:r>
          </w:p>
        </w:tc>
        <w:tc>
          <w:tcPr>
            <w:tcW w:w="1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27,970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20,698</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 of equity investee's</w:t>
            </w:r>
          </w:p>
        </w:tc>
        <w:tc>
          <w:tcPr>
            <w:tcW w:w="10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10,616</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1,729</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(92,988)</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27,359</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(65,629)</w:t>
            </w:r>
          </w:p>
        </w:tc>
        <w:tc>
          <w:tcPr>
            <w:tcW w:w="100" w:type="dxa"/>
            <w:vAlign w:val="bottom"/>
          </w:tcPr>
          <w:p>
            <w:pPr>
              <w:spacing w:after="0"/>
              <w:rPr>
                <w:sz w:val="12"/>
                <w:szCs w:val="12"/>
                <w:color w:val="auto"/>
              </w:rPr>
            </w:pPr>
          </w:p>
        </w:tc>
        <w:tc>
          <w:tcPr>
            <w:tcW w:w="96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23,216</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(9,882)</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13,334</w:t>
            </w:r>
          </w:p>
        </w:tc>
        <w:tc>
          <w:tcPr>
            <w:tcW w:w="120" w:type="dxa"/>
            <w:vAlign w:val="bottom"/>
          </w:tcPr>
          <w:p>
            <w:pPr>
              <w:spacing w:after="0"/>
              <w:rPr>
                <w:sz w:val="12"/>
                <w:szCs w:val="12"/>
                <w:color w:val="auto"/>
              </w:rPr>
            </w:pPr>
          </w:p>
        </w:tc>
        <w:tc>
          <w:tcPr>
            <w:tcW w:w="9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152,716</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(56,276)</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96,440</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0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196,264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686,864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290,617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75" w:right="339" w:bottom="1440" w:gutter="0" w:footer="0" w:header="0"/>
        </w:sectPr>
      </w:pPr>
    </w:p>
    <w:p>
      <w:pPr>
        <w:ind w:left="20"/>
        <w:spacing w:after="0" w:line="234" w:lineRule="auto"/>
        <w:rPr>
          <w:sz w:val="20"/>
          <w:szCs w:val="20"/>
          <w:color w:val="auto"/>
        </w:rPr>
      </w:pPr>
      <w:r>
        <w:rPr>
          <w:rFonts w:ascii="Times New Roman" w:cs="Times New Roman" w:eastAsia="Times New Roman" w:hAnsi="Times New Roman"/>
          <w:sz w:val="16"/>
          <w:szCs w:val="16"/>
          <w:color w:val="auto"/>
        </w:rPr>
        <w:t>Less: Net loss attributable to</w:t>
      </w:r>
    </w:p>
    <w:p>
      <w:pPr>
        <w:ind w:left="20"/>
        <w:spacing w:after="0"/>
        <w:rPr>
          <w:sz w:val="20"/>
          <w:szCs w:val="20"/>
          <w:color w:val="auto"/>
        </w:rPr>
      </w:pPr>
      <w:r>
        <w:rPr>
          <w:rFonts w:ascii="Times New Roman" w:cs="Times New Roman" w:eastAsia="Times New Roman" w:hAnsi="Times New Roman"/>
          <w:sz w:val="16"/>
          <w:szCs w:val="16"/>
          <w:color w:val="auto"/>
        </w:rPr>
        <w:t>noncontrolling interests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Comprehensive income</w:t>
      </w:r>
    </w:p>
    <w:p>
      <w:pPr>
        <w:ind w:left="20"/>
        <w:spacing w:after="0" w:line="211" w:lineRule="auto"/>
        <w:rPr>
          <w:sz w:val="20"/>
          <w:szCs w:val="20"/>
          <w:color w:val="auto"/>
        </w:rPr>
      </w:pPr>
      <w:r>
        <w:rPr>
          <w:rFonts w:ascii="Times New Roman" w:cs="Times New Roman" w:eastAsia="Times New Roman" w:hAnsi="Times New Roman"/>
          <w:sz w:val="16"/>
          <w:szCs w:val="16"/>
          <w:color w:val="auto"/>
        </w:rPr>
        <w:t>attributable to Aramark</w:t>
      </w:r>
    </w:p>
    <w:p>
      <w:pPr>
        <w:ind w:left="20"/>
        <w:spacing w:after="0"/>
        <w:rPr>
          <w:sz w:val="20"/>
          <w:szCs w:val="20"/>
          <w:color w:val="auto"/>
        </w:rPr>
      </w:pPr>
      <w:r>
        <w:rPr>
          <w:rFonts w:ascii="Times New Roman" w:cs="Times New Roman" w:eastAsia="Times New Roman" w:hAnsi="Times New Roman"/>
          <w:sz w:val="16"/>
          <w:szCs w:val="16"/>
          <w:color w:val="auto"/>
        </w:rPr>
        <w:t>stockholders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493"/>
        </w:trPr>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196,893</w:t>
            </w:r>
          </w:p>
        </w:tc>
        <w:tc>
          <w:tcPr>
            <w:tcW w:w="1940" w:type="dxa"/>
            <w:vAlign w:val="bottom"/>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687,442</w:t>
            </w:r>
          </w:p>
        </w:tc>
        <w:tc>
          <w:tcPr>
            <w:tcW w:w="198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290,924</w:t>
            </w:r>
          </w:p>
        </w:tc>
      </w:tr>
      <w:tr>
        <w:trPr>
          <w:trHeight w:val="23"/>
        </w:trPr>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-359410</wp:posOffset>
            </wp:positionV>
            <wp:extent cx="7132320" cy="3429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3500" w:space="720"/>
            <w:col w:w="7020"/>
          </w:cols>
          <w:pgMar w:left="320" w:top="175" w:right="339" w:bottom="1440" w:gutter="0" w:footer="0" w:header="0"/>
          <w:type w:val="continuous"/>
        </w:sect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amounts in the table above exclude the impact of a $5.1 million pension plan adjustment and $26.3 million currency adjustment during the fiscal year ended September 27, 2024 related to the separation and distribution of the Uniform segment (see Note 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(193,115)</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109,119</w:t>
            </w:r>
          </w:p>
        </w:tc>
      </w:tr>
      <w:tr>
        <w:trPr>
          <w:trHeight w:val="223"/>
        </w:trPr>
        <w:tc>
          <w:tcPr>
            <w:tcW w:w="77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(98,237)</w:t>
            </w: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10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Gains and losses resulting from the translation of financial statements of non-United States subsidiaries are reflected as a component of accumulated other comprehensive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remeasurements was a foreign currency transaction loss of $5.4 million, $10.4 million and $3.5 million during fiscal 2024, fiscal 2023 and fiscal 2022, respectively, to the Consolidated Statements of Income. The impact of foreign currency transaction gains and losses exclusive of Argentina's operations included in the Company's operating results for fiscal 2024, fiscal 2023 and fiscal 2022 were immaterial to the consolidated financial statements.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insures portions of its risk related to general liability, automobile liability, workers’ compensation liability claims as well as certain property damage risks through a wholly owned captive insurance subsidiary (the "Captive") as part of its approach to risk finance.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September 27, 2024. These regulations may have the effect of limiting the Company's ability to access certain cash and cash equivalents held by the Captive for uses other than for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payment of its general liability, automobile liability, workers’ compensation liability, certain property damage and related Captive costs. As of September 27, 2024 and September 29, 2023, cash and cash equivalents at the Captive were $94.7 million and $32.8 million, respectively. The Captive also invests in United States Treasury securities where the amount of these investments as of September 27, 2024 and September 29, 2023 was $42.3 million and $110.7 million, respectively, and recorded in "Prepayments and other current assets" on the Consolidated Balance Sheets.</w:t>
      </w:r>
    </w:p>
    <w:p>
      <w:pPr>
        <w:spacing w:after="0" w:line="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Inventories are valued at the lower of cost (principally the first-in, first-out method) or net realizable value. The inventory reserve is determined based on history and projected customer consumption and specific identification. As of September 27, 2024 and September 29, 2023, the Company's reserve for inventory was $19.3 million and $2.2 million, respectively. During fiscal 2024, the Company recorded a non-cash adjustment to inventory of $18.2 million based on expected usage of certain food and nonfood items within the Corrections business of the FSS United States segment to reflect the net realizable value of inventory, which is included in "Cost of services provided (exclusive of depreciation and amortization)" on the Consolidated Statements of Income.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9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4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95.9 %</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95.9 %</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Parts, supplies and novelties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8"/>
        </w:trPr>
        <w:tc>
          <w:tcPr>
            <w:tcW w:w="74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"Prepayments and other current assets" as presented in the Consolidated Balance Sheets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Taxes and Licenses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Asset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Marketable Securities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110,714</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150,138</w:t>
            </w:r>
          </w:p>
        </w:tc>
      </w:tr>
      <w:tr>
        <w:trPr>
          <w:trHeight w:val="223"/>
        </w:trPr>
        <w:tc>
          <w:tcPr>
            <w:tcW w:w="77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297,519</w:t>
            </w: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hanging="394"/>
        <w:spacing w:after="0"/>
        <w:tabs>
          <w:tab w:leader="none" w:pos="4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Marketable securities represent held-to-maturity debt securities with original maturities greater than three months, which are maturing within one year.</w:t>
      </w:r>
    </w:p>
    <w:p>
      <w:pPr>
        <w:spacing w:after="0" w:line="20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Within the FSS International segment, the Company receives certain cash on behalf of the Company's clients, which is contractually restricted from withdrawal and usage. This restricted cash is recorded in "Other Prepaid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and are depreciated over their estimated useful lives on a straight-line basis. Gains and losses on dispositions are included in operating results. Maintenance and repairs are charged to current operations and replacements and significant improvements that extend the useful life of the asset are capitalized. The estimated useful lives for the major categories of property and equipment are generally 10 years to 40 years for buildings and improvements and three years to 20 years for service equipment and fixtures. Depreciation expense for fiscal 2024, fiscal 2023 and fiscal 2022 was $276.2 million, $267.9 million and $263.7 million, respectively.</w:t>
      </w:r>
    </w:p>
    <w:p>
      <w:pPr>
        <w:spacing w:after="0" w:line="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fiscal 2023, the Company completed a strategic review of certain administrative locations, taking into account facility capacity and current utilization, among other factors. Based on this review, the Company vacated or otherwise reduced its usage at certain of these locations, resulting in an analysis of the recoverability of the assets associated with the locations. As a result, the Company recorded a non-cash impairment charge of $19.0 million within its FSS United States segment, which is included in "Cost of services provided (exclusive of depreciation and amortization)" on the Consolidated Statements of Income for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fiscal year ended September 29, 2023. The non-cash impairment charge consisted of operating lease right-of-use assets of $8.6 million and property and equipment of $10.4 million.</w:t>
      </w:r>
    </w:p>
    <w:p>
      <w:pPr>
        <w:spacing w:after="0" w:line="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fiscal years 2023 and 2022, the Company recorded a gain of $36.3 million and $19.0 million, respectively, relating to income from proceeds associated with possessory interest at one of the National Park sites within the FSS United States segment, which is included in “Cost of services provided (exclusive of depreciation and amortization)” on the Consolidated Statements of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"Other Assets" as presented in the Consolidated Balance Sheets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Cost to fulfill - Client</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92,458</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22,560</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Miscellaneous investments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157,568</w:t>
            </w: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Computer software costs, net</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159,732</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147,458</w:t>
            </w:r>
          </w:p>
        </w:tc>
      </w:tr>
      <w:tr>
        <w:trPr>
          <w:trHeight w:val="229"/>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Employee sales commissions</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33,989</w:t>
            </w: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(6)</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114,913</w:t>
            </w:r>
          </w:p>
        </w:tc>
      </w:tr>
      <w:tr>
        <w:trPr>
          <w:trHeight w:val="223"/>
        </w:trPr>
        <w:tc>
          <w:tcPr>
            <w:tcW w:w="77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728,678</w:t>
            </w:r>
          </w:p>
        </w:tc>
      </w:tr>
      <w:tr>
        <w:trPr>
          <w:trHeight w:val="21"/>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40" w:hanging="414"/>
        <w:spacing w:after="0"/>
        <w:tabs>
          <w:tab w:leader="none" w:pos="4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to fulfill - Client represent payments made by the Company to enhance the service resources used by the Company to satisfy its performance obligation (see Note 9).</w:t>
      </w:r>
    </w:p>
    <w:p>
      <w:pPr>
        <w:spacing w:after="0" w:line="14" w:lineRule="exact"/>
        <w:rPr>
          <w:rFonts w:ascii="Times New Roman" w:cs="Times New Roman" w:eastAsia="Times New Roman" w:hAnsi="Times New Roman"/>
          <w:sz w:val="13"/>
          <w:szCs w:val="13"/>
          <w:color w:val="auto"/>
        </w:rPr>
      </w:pPr>
    </w:p>
    <w:p>
      <w:pPr>
        <w:ind w:left="440" w:hanging="414"/>
        <w:spacing w:after="0" w:line="214" w:lineRule="auto"/>
        <w:tabs>
          <w:tab w:leader="none" w:pos="440" w:val="left"/>
        </w:tabs>
        <w:numPr>
          <w:ilvl w:val="0"/>
          <w:numId w:val="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Miscellaneous investments represent investments in 50% or less owned entities.</w:t>
      </w:r>
    </w:p>
    <w:p>
      <w:pPr>
        <w:spacing w:after="0" w:line="38" w:lineRule="exact"/>
        <w:rPr>
          <w:rFonts w:ascii="Times New Roman" w:cs="Times New Roman" w:eastAsia="Times New Roman" w:hAnsi="Times New Roman"/>
          <w:sz w:val="25"/>
          <w:szCs w:val="25"/>
          <w:color w:val="auto"/>
          <w:vertAlign w:val="superscript"/>
        </w:rPr>
      </w:pPr>
    </w:p>
    <w:p>
      <w:pPr>
        <w:ind w:left="440" w:right="220" w:hanging="414"/>
        <w:spacing w:after="0" w:line="210" w:lineRule="auto"/>
        <w:tabs>
          <w:tab w:leader="none" w:pos="4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Computer software costs, net represent capitalized costs incurred to purchase or develop software for internal use and are amortized over the estimated useful life of the software, generally a period of three to 10 years. During fiscal 2023, the Company recorded a computer software impairment charge of $8.2 million within its FSS United States segment, which is included in "Cost of services provided (exclusive of depreciation and amortization)" on the Consolidated Statements of Income.</w:t>
      </w:r>
    </w:p>
    <w:p>
      <w:pPr>
        <w:spacing w:after="0" w:line="25" w:lineRule="exact"/>
        <w:rPr>
          <w:rFonts w:ascii="Times New Roman" w:cs="Times New Roman" w:eastAsia="Times New Roman" w:hAnsi="Times New Roman"/>
          <w:sz w:val="13"/>
          <w:szCs w:val="13"/>
          <w:color w:val="auto"/>
        </w:rPr>
      </w:pPr>
    </w:p>
    <w:p>
      <w:pPr>
        <w:ind w:left="440" w:hanging="414"/>
        <w:spacing w:after="0"/>
        <w:tabs>
          <w:tab w:leader="none" w:pos="4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rate swap agreements represent receivables under cash flow hedging agreements based on current forward interest rates (see Note 7).</w:t>
      </w:r>
    </w:p>
    <w:p>
      <w:pPr>
        <w:spacing w:after="0" w:line="14" w:lineRule="exact"/>
        <w:rPr>
          <w:rFonts w:ascii="Times New Roman" w:cs="Times New Roman" w:eastAsia="Times New Roman" w:hAnsi="Times New Roman"/>
          <w:sz w:val="13"/>
          <w:szCs w:val="13"/>
          <w:color w:val="auto"/>
        </w:rPr>
      </w:pPr>
    </w:p>
    <w:p>
      <w:pPr>
        <w:ind w:left="440" w:hanging="414"/>
        <w:spacing w:after="0" w:line="214" w:lineRule="auto"/>
        <w:tabs>
          <w:tab w:leader="none" w:pos="440" w:val="left"/>
        </w:tabs>
        <w:numPr>
          <w:ilvl w:val="0"/>
          <w:numId w:val="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Employee sales commissions represent commission payments made to employees related to new or retained business contracts (see Note 9).</w:t>
      </w:r>
    </w:p>
    <w:p>
      <w:pPr>
        <w:spacing w:after="0" w:line="87" w:lineRule="exact"/>
        <w:rPr>
          <w:rFonts w:ascii="Times New Roman" w:cs="Times New Roman" w:eastAsia="Times New Roman" w:hAnsi="Times New Roman"/>
          <w:sz w:val="25"/>
          <w:szCs w:val="25"/>
          <w:color w:val="auto"/>
          <w:vertAlign w:val="superscript"/>
        </w:rPr>
      </w:pPr>
    </w:p>
    <w:p>
      <w:pPr>
        <w:ind w:left="440" w:hanging="414"/>
        <w:spacing w:after="0" w:line="181" w:lineRule="auto"/>
        <w:tabs>
          <w:tab w:leader="none" w:pos="440"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1"/>
          <w:szCs w:val="11"/>
          <w:color w:val="auto"/>
        </w:rPr>
        <w:t>Other consists primarily of noncurrent deferred tax assets, pension assets, deferred financing costs on certain revolving credit facilities and other noncurrent assets.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investments in 50% or less owned entities accounted for under the equity method of accounting, the carrying amount as of September 27, 2024 and September 29, 2023 was $84.0 million and $73.5 million, respectively. During fiscal 2023, the Company sold its 50% ownership interest in AIM Services Co., Ltd., a leading Japanese food services company, to Mitsui &amp; Co., Ltd. for $535.0 million in cash in a taxable transaction resulting in a pre-tax gain on sale of this equity investment of $377.1 million ($278.7 million gain net of tax). The pre-tax gain is included in "Gain on Equity Investments, net" on the Consolidated Statements of Income.</w:t>
      </w:r>
    </w:p>
    <w:p>
      <w:pPr>
        <w:spacing w:after="0" w:line="6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September 27, 2024 and September 29, 2023 was $35.4 million and $83.6 million, respectively.</w:t>
      </w:r>
    </w:p>
    <w:p>
      <w:pPr>
        <w:spacing w:after="0" w:line="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24, 2024, the Company sold its remaining equity investment ownership interest in the San Antonio Spurs NBA franchise for $101.2 million in cash in a taxable transaction resulting in a pre-tax gain on sale of this equity investment of $25.1 million ($19.6 million gain net of tax) during fiscal 2024. The pre-tax gain is included in "Gain on Equity Investments, net" on the Consolidated Statements of Income. During fiscal 2023, the Company sold a portion of its equity investment ownership interest in the San Antonio Spurs NBA franchise for $98.2 million in cash in a taxable transaction resulting in a pre-tax loss on sale of this equity investment of $1.1 million ($2.2 million loss net of tax). The pre-tax loss is included in "Gain on Equity Investments, net"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Finance Program</w:t>
      </w:r>
    </w:p>
    <w:p>
      <w:pPr>
        <w:spacing w:after="0" w:line="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has agreements with third-party administrators that allow participating vendors to voluntarily elect to sell payment obligations from the Company to financial institutions as part of a Supply Chain Finance Program ("SCF Program"). The Company's payment terms to the financial institutions, including the timing and amount of payments, are based on the original supplier invoices. When participating vendors elect to sell one or more of the Company's payment obligations, the Company's rights and obligations to settle the payable on their contractual due date are not impacted. The Company has no economic or commercial interest in a vendor's decision to sell the Company's payment obligations. The Company agrees on commercial terms with vendors for the goods and services procured, which are consistent with payment terms observed at other peer companies in the industry, and the terms are not impacted by the SCF Program. For the SCF Program, the Company does not provide asset pledges, or other forms of guarantees, as security for the committed payment to the financial institutions. As of September 27, 2024 and September 29, 2023, the Company had $2.6 million and $2.8 million, respectively, of outstanding payment obligations to the financial institutions as part of the SCF Program recorded in "Accounts payable" on the Consolidated Balance Sheets.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Accrued Expenses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"Accrued expenses and other current liabilities" in the Consolidated Balance Sheets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Deferred income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350,200</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client expenses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208,336</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79,884</w:t>
            </w: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Accrued insurance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and interest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186,783</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463,251</w:t>
            </w:r>
          </w:p>
        </w:tc>
      </w:tr>
      <w:tr>
        <w:trPr>
          <w:trHeight w:val="223"/>
        </w:trPr>
        <w:tc>
          <w:tcPr>
            <w:tcW w:w="77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1,288,454</w:t>
            </w: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40" w:right="220" w:hanging="380"/>
        <w:spacing w:after="0" w:line="189" w:lineRule="auto"/>
        <w:tabs>
          <w:tab w:leader="none" w:pos="44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1"/>
          <w:szCs w:val="11"/>
          <w:color w:val="auto"/>
        </w:rPr>
        <w:t>Includes consideration received in advance from customers prior to the service being performed ($352.5 million and $329.9 million) or from vendors prior to the goods being consumed ($18.3 million and $20.3 million) in fiscal 2024 and fiscal 2023, respectively.</w:t>
      </w:r>
    </w:p>
    <w:p>
      <w:pPr>
        <w:spacing w:after="0" w:line="25" w:lineRule="exact"/>
        <w:rPr>
          <w:rFonts w:ascii="Times New Roman" w:cs="Times New Roman" w:eastAsia="Times New Roman" w:hAnsi="Times New Roman"/>
          <w:sz w:val="22"/>
          <w:szCs w:val="22"/>
          <w:color w:val="auto"/>
          <w:vertAlign w:val="superscript"/>
        </w:rPr>
      </w:pPr>
    </w:p>
    <w:p>
      <w:pPr>
        <w:jc w:val="both"/>
        <w:ind w:left="440" w:right="200" w:hanging="380"/>
        <w:spacing w:after="0" w:line="239" w:lineRule="auto"/>
        <w:tabs>
          <w:tab w:leader="none" w:pos="4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self-insured for certain obligations related to its employee health care benefit programs as well as for certain risks retained under its general liability, automobile liability, workers’ compensation liability and certain property damage programs. Reserves are estimated through actuarial methods, with the assistance of third-party actuaries using loss development assumptions based on the Company's claims history.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"Other Noncurrent Liabilities" as presented in the Consolidated Balance Sheets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211,892</w:t>
            </w: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Pension-related liabilities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r>
      <w:tr>
        <w:trPr>
          <w:trHeight w:val="229"/>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Insurance reserves</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147,641</w:t>
            </w: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134,023</w:t>
            </w:r>
          </w:p>
        </w:tc>
      </w:tr>
      <w:tr>
        <w:trPr>
          <w:trHeight w:val="248"/>
        </w:trPr>
        <w:tc>
          <w:tcPr>
            <w:tcW w:w="77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00" w:right="300" w:hanging="374"/>
        <w:spacing w:after="0" w:line="189" w:lineRule="auto"/>
        <w:tabs>
          <w:tab w:leader="none" w:pos="40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1"/>
          <w:szCs w:val="11"/>
          <w:color w:val="auto"/>
        </w:rPr>
        <w:t>The Company is self-insured for certain obligations for certain risks retained under its general liability, automobile liability, workers’ compensation liability and certain property damage programs. Reserves are estimated through actuarial methods, with the assistance of third-party actuaries using loss development assumptions based on the Company's claims history.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provided for deferred payment of the employer portion of social security taxes through the end of calendar 2020, with 50% of the deferred amount due December 31, 2021 and the remaining 50% due December 31, 2022. Deferred social security taxes of $47.6 million were paid in fiscal 2022 and remaining social security taxes of $47.6 million were paid in fiscal 2023.</w:t>
      </w:r>
    </w:p>
    <w:p>
      <w:pPr>
        <w:spacing w:after="0" w:line="4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CARES Act provided an employee retention credit, which is a refundable tax credit against certain employment taxes. As of September 27, 2024, the Company has a $3.8 million receivable balance from the United States government related to the CARES Act, which is recorded in "Receivables"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Within the FSS International segment, many foreign jurisdictions in which the Company operates provided companies various forms of relief from COVID-19, including labor related tax credits. These labor related tax credits generally allowed companies to receive credits if they retained employees on their payroll, rather than furloughing or terminating employees as a result of the business disruption caused by COVID-19. The Company qualified for these tax credits. The Company recorded $36.6 million of labor related tax credits within "Cost of services provided (exclusive of depreciation and amortization)" on the Consolidated Statements of Income during the fiscal year ended September 30, 2022.</w:t>
      </w:r>
    </w:p>
    <w:p>
      <w:pPr>
        <w:spacing w:after="0" w:line="4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accounted for these labor related tax credits as a reduction to the expense that they were intended to compensate in the period in which the corresponding expense was incurred and there was reasonable assurance the Company would both receive the tax credits and comply with all conditions attached to the tax credits.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non-cash activities are as follows:</w:t>
      </w:r>
    </w:p>
    <w:p>
      <w:pPr>
        <w:spacing w:after="0" w:line="104" w:lineRule="exact"/>
        <w:rPr>
          <w:sz w:val="20"/>
          <w:szCs w:val="20"/>
          <w:color w:val="auto"/>
        </w:rPr>
      </w:pPr>
    </w:p>
    <w:p>
      <w:pPr>
        <w:ind w:left="660" w:right="2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2024, fiscal 2023 and fiscal 2022, the Company executed finance lease transactions. The present value of the future rental obligations was $13.3 million, $4.9 million and $2.2 million for the respective periods, which is included in "Property and Equipment, at cost" and "Long-Term Borrowings" on the Consolidated Balance Sheets.</w:t>
      </w:r>
    </w:p>
    <w:p>
      <w:pPr>
        <w:spacing w:after="0" w:line="40" w:lineRule="exact"/>
        <w:rPr>
          <w:rFonts w:ascii="Times New Roman" w:cs="Times New Roman" w:eastAsia="Times New Roman" w:hAnsi="Times New Roman"/>
          <w:sz w:val="18"/>
          <w:szCs w:val="18"/>
          <w:color w:val="auto"/>
        </w:rPr>
      </w:pPr>
    </w:p>
    <w:p>
      <w:pPr>
        <w:ind w:left="660" w:right="680" w:hanging="328"/>
        <w:spacing w:after="0" w:line="279"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2024, fiscal 2023 and fiscal 2022, cashless settlements of the exercise price and related employee minimum tax withholding liabilities of share-based payment awards were $21.4 million, $31.3 million and $17.8 million,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September 30, 2023, the Company completed the separation and distribution of its Uniform segment into an independent publicly traded company, Vestis. The separation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NYSE.</w:t>
      </w:r>
    </w:p>
    <w:p>
      <w:pPr>
        <w:spacing w:after="0" w:line="5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In connection with the separation and distribution, the Company entered into or adopted several agreements that provide a framework for the relationship between the Company and Vestis, including, but not limited to the following:</w:t>
      </w:r>
    </w:p>
    <w:p>
      <w:pPr>
        <w:spacing w:after="0" w:line="1" w:lineRule="exact"/>
        <w:rPr>
          <w:sz w:val="20"/>
          <w:szCs w:val="20"/>
          <w:color w:val="auto"/>
        </w:rPr>
      </w:pPr>
    </w:p>
    <w:p>
      <w:pPr>
        <w:ind w:left="50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Separation and Distribution Agreement </w:t>
      </w:r>
      <w:r>
        <w:rPr>
          <w:rFonts w:ascii="Times New Roman" w:cs="Times New Roman" w:eastAsia="Times New Roman" w:hAnsi="Times New Roman"/>
          <w:sz w:val="18"/>
          <w:szCs w:val="18"/>
          <w:color w:val="auto"/>
        </w:rPr>
        <w:t>- governs the rights and obligations of the parties regarding the distribution following the completion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including the transfer of assets and assumption of liabilities, and establishes certain rights and obligations between the Company and Vestis following the distribution, including procedures with respect to claims subject to indemnification and related matters.</w:t>
      </w:r>
    </w:p>
    <w:p>
      <w:pPr>
        <w:spacing w:after="0" w:line="11" w:lineRule="exact"/>
        <w:rPr>
          <w:sz w:val="20"/>
          <w:szCs w:val="20"/>
          <w:color w:val="auto"/>
        </w:rPr>
      </w:pPr>
    </w:p>
    <w:p>
      <w:pPr>
        <w:ind w:left="500" w:right="20"/>
        <w:spacing w:after="0" w:line="287" w:lineRule="auto"/>
        <w:rPr>
          <w:sz w:val="20"/>
          <w:szCs w:val="20"/>
          <w:color w:val="auto"/>
        </w:rPr>
      </w:pPr>
      <w:r>
        <w:rPr>
          <w:rFonts w:ascii="Times New Roman" w:cs="Times New Roman" w:eastAsia="Times New Roman" w:hAnsi="Times New Roman"/>
          <w:sz w:val="17"/>
          <w:szCs w:val="17"/>
          <w:i w:val="1"/>
          <w:iCs w:val="1"/>
          <w:color w:val="auto"/>
        </w:rPr>
        <w:t xml:space="preserve">Transition Services Agreement </w:t>
      </w:r>
      <w:r>
        <w:rPr>
          <w:rFonts w:ascii="Times New Roman" w:cs="Times New Roman" w:eastAsia="Times New Roman" w:hAnsi="Times New Roman"/>
          <w:sz w:val="17"/>
          <w:szCs w:val="17"/>
          <w:color w:val="auto"/>
        </w:rPr>
        <w:t>- governs services between the Company and Vestis and their respective affiliates to provide each other on an interim,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transitional basis, various services, including, but not limited to, administrative, information technology and cybersecurity support services and certain finance, treasury, tax and governmental function services. The services will terminate no later than 24 months following the distribution date.</w:t>
      </w:r>
    </w:p>
    <w:p>
      <w:pPr>
        <w:spacing w:after="0" w:line="1" w:lineRule="exact"/>
        <w:rPr>
          <w:sz w:val="20"/>
          <w:szCs w:val="20"/>
          <w:color w:val="auto"/>
        </w:rPr>
      </w:pPr>
    </w:p>
    <w:p>
      <w:pPr>
        <w:ind w:left="500" w:right="640"/>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Tax Matters Agreement </w:t>
      </w:r>
      <w:r>
        <w:rPr>
          <w:rFonts w:ascii="Times New Roman" w:cs="Times New Roman" w:eastAsia="Times New Roman" w:hAnsi="Times New Roman"/>
          <w:sz w:val="18"/>
          <w:szCs w:val="18"/>
          <w:color w:val="auto"/>
        </w:rPr>
        <w:t>- governs the parties’ respective rights, responsibilities and obligations with respect to tax liabilities and benefits,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attributes, the preparation and filing of tax returns, the control of audits and other tax proceedings and other matters regarding taxes.</w:t>
      </w:r>
    </w:p>
    <w:p>
      <w:pPr>
        <w:spacing w:after="0" w:line="1" w:lineRule="exact"/>
        <w:rPr>
          <w:sz w:val="20"/>
          <w:szCs w:val="20"/>
          <w:color w:val="auto"/>
        </w:rPr>
      </w:pPr>
    </w:p>
    <w:p>
      <w:pPr>
        <w:ind w:left="500"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Matters Agreement </w:t>
      </w:r>
      <w:r>
        <w:rPr>
          <w:rFonts w:ascii="Times New Roman" w:cs="Times New Roman" w:eastAsia="Times New Roman" w:hAnsi="Times New Roman"/>
          <w:sz w:val="18"/>
          <w:szCs w:val="18"/>
          <w:color w:val="auto"/>
        </w:rPr>
        <w:t>- governs the allocation of liabilities and responsibilities relating to employment matters, employee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plans and programs and other related matters.</w:t>
      </w:r>
    </w:p>
    <w:p>
      <w:pPr>
        <w:spacing w:after="0" w:line="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these agreements, the Company will continue to provide certain services to Vestis following the separation and distribution. The agreements do not provide the Company with the ability to influence the operating or financial policies of Vestis subsequent to the separation date. During the fiscal year-ended September 27, 2024, the value of the services provided to Vestis were $10.9 million. Current amounts due to Aramark from Vestis as of September 27, 2024 were not material.</w:t>
      </w:r>
    </w:p>
    <w:p>
      <w:pPr>
        <w:spacing w:after="0" w:line="1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historical results of the Uniform segment have been reflected as discontinued operations in the Company's consolidated financial statements for all periods prior to the separation and distribution on September 30,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"Income from Discontinued Operations, net of tax"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03"/>
        </w:trPr>
        <w:tc>
          <w:tcPr>
            <w:tcW w:w="7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60" w:type="dxa"/>
            <w:vAlign w:val="bottom"/>
          </w:tcPr>
          <w:p>
            <w:pPr>
              <w:spacing w:after="0"/>
              <w:rPr>
                <w:sz w:val="17"/>
                <w:szCs w:val="17"/>
                <w:color w:val="auto"/>
              </w:rPr>
            </w:pP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2,770,645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2,639,355</w:t>
            </w:r>
          </w:p>
        </w:tc>
      </w:tr>
      <w:tr>
        <w:trPr>
          <w:trHeight w:val="19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2,152,023</w:t>
            </w: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134,352</w:t>
            </w: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133,109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140,007</w:t>
            </w:r>
          </w:p>
        </w:tc>
      </w:tr>
      <w:tr>
        <w:trPr>
          <w:trHeight w:val="209"/>
        </w:trPr>
        <w:tc>
          <w:tcPr>
            <w:tcW w:w="7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2,532,747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2,426,382</w:t>
            </w:r>
          </w:p>
        </w:tc>
      </w:tr>
      <w:tr>
        <w:trPr>
          <w:trHeight w:val="212"/>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212,973</w:t>
            </w: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Equity Investments,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w:t>
            </w:r>
          </w:p>
        </w:tc>
      </w:tr>
      <w:tr>
        <w:trPr>
          <w:trHeight w:val="207"/>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Before Income Taxes</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208,424</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 from 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53,028</w:t>
            </w:r>
          </w:p>
        </w:tc>
      </w:tr>
      <w:tr>
        <w:trPr>
          <w:trHeight w:val="207"/>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226,432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155,396</w:t>
            </w:r>
          </w:p>
        </w:tc>
      </w:tr>
      <w:tr>
        <w:trPr>
          <w:trHeight w:val="23"/>
        </w:trPr>
        <w:tc>
          <w:tcPr>
            <w:tcW w:w="7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fiscal years ended September 29, 2023 and September 30, 2022, the Company incurred charges of $51.1 million and $9.3 million, respectively, related to the Company's separation and distribution of its Uniform segment, including salaries and benefits, recruiting and relocation costs, accounting and legal related expenses, branding and other costs, of which $31.2 million and $4.1 million, respectively, were recorded within "Income from Discontinued Operations, net of tax" and $19.9 million and $5.2 million, respectively, were recorded within "Selling and general corporate expenses" on the Consolidated Statements of Income.</w:t>
      </w:r>
    </w:p>
    <w:p>
      <w:pPr>
        <w:spacing w:after="0" w:line="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fiscal year ended September 27, 2024, the Company incurred $20.0 million of transaction fees related to the separation and distribution of its Uniform segment and $8.8 million of charitable contribution expense for the contribution of Vestis shares to a donor advised fund in order to fund charitable contributions, which were recorded within "Selling and general corporate expenses" on the Consolidated Statements of Income.</w:t>
      </w:r>
    </w:p>
    <w:p>
      <w:pPr>
        <w:spacing w:after="0" w:line="1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Uniform segment assets and liabilities classified as discontinued operations in the Company's Consolidated Balance Sheets (in thousands):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4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ARAMARK AND SUBSIDIARIES</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11"/>
        </w:trPr>
        <w:tc>
          <w:tcPr>
            <w:tcW w:w="934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32"/>
        </w:trPr>
        <w:tc>
          <w:tcPr>
            <w:tcW w:w="9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19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36,051</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(less allowance: $25,066)</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392,916</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174,720</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17,244</w:t>
            </w:r>
          </w:p>
        </w:tc>
      </w:tr>
      <w:tr>
        <w:trPr>
          <w:trHeight w:val="207"/>
        </w:trPr>
        <w:tc>
          <w:tcPr>
            <w:tcW w:w="9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620,931</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at cost: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9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Land, buildings and improvements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585,797</w:t>
            </w:r>
          </w:p>
        </w:tc>
      </w:tr>
      <w:tr>
        <w:trPr>
          <w:trHeight w:val="216"/>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Service equipment and fixtures</w:t>
            </w: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1,110,811</w:t>
            </w:r>
          </w:p>
        </w:tc>
      </w:tr>
      <w:tr>
        <w:trPr>
          <w:trHeight w:val="209"/>
        </w:trPr>
        <w:tc>
          <w:tcPr>
            <w:tcW w:w="9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1,696,608</w:t>
            </w:r>
          </w:p>
        </w:tc>
      </w:tr>
      <w:tr>
        <w:trPr>
          <w:trHeight w:val="219"/>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(1,032,078)</w:t>
            </w:r>
          </w:p>
        </w:tc>
      </w:tr>
      <w:tr>
        <w:trPr>
          <w:trHeight w:val="207"/>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664,530</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963,543</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238,609</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57,890</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579,264</w:t>
            </w:r>
          </w:p>
        </w:tc>
      </w:tr>
      <w:tr>
        <w:trPr>
          <w:trHeight w:val="209"/>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Noncurrent Assets of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2,503,836</w:t>
            </w:r>
          </w:p>
        </w:tc>
      </w:tr>
      <w:tr>
        <w:trPr>
          <w:trHeight w:val="239"/>
        </w:trPr>
        <w:tc>
          <w:tcPr>
            <w:tcW w:w="9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16"/>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maturities of long-term borrowings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53,910</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19,935</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134,497</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other related expenses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113,770</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73,412</w:t>
            </w:r>
          </w:p>
        </w:tc>
      </w:tr>
      <w:tr>
        <w:trPr>
          <w:trHeight w:val="212"/>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395,524</w:t>
            </w:r>
          </w:p>
        </w:tc>
      </w:tr>
      <w:tr>
        <w:trPr>
          <w:trHeight w:val="207"/>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1,567,910</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46,084</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199,535</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48,206</w:t>
            </w:r>
          </w:p>
        </w:tc>
      </w:tr>
      <w:tr>
        <w:trPr>
          <w:trHeight w:val="207"/>
        </w:trPr>
        <w:tc>
          <w:tcPr>
            <w:tcW w:w="9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Noncurrent Liabilities of Discontinued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1,861,735</w:t>
            </w:r>
          </w:p>
        </w:tc>
      </w:tr>
    </w:tbl>
    <w:p>
      <w:pPr>
        <w:spacing w:after="0" w:line="15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fourth quarter of fiscal 2023, the Uniform legal entity entered into the Uniform credit agreement. The Uniform credit agreement included a revolving credit facility, a United States dollar denominated term loan in the amount of $800.0 million due September 2025 and a United States dollar denominated term loan in the amount of $700.0 million due September 2028, which are recorded in "Noncurrent Liabilities of Discontinued Operations" on the Consolidated Balance Sheets as of September 29, 2023. Also in the fourth quarter of fiscal 2023, the Uniform legal entity paid a cash dividend to the Company of $1,456.7 million. On October 2, 2023, the Company used the proceeds from the cash dividend, along with cash on hand, to repay the $1,500.0 million 6.375% Senior Notes due May 1, 2025 (the "6.375% 2025 Notes") (see Note 6).</w:t>
      </w:r>
    </w:p>
    <w:p>
      <w:pPr>
        <w:spacing w:after="0" w:line="6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Company recorded its distribution of Vestis' net assets as a change in "Retained Earnings." The amount recorded reflected the carrying amounts, as of September 29, 2023, of the net assets distributed offset by the holdback of Vestis shares upon distribution of $8.8 million, net cash received from Vestis post-separation of $6.1 million and other adjustments of $1.1 million. The Company also recorded a net decrease to "Accumulated other comprehensive loss" of $31.4 million to derecognize foreign currency translation adjustments and pension plan adjustments which were attributable to Vestis (see Note 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 Supply Group, Inc.</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2, 2022, the Company completed the acquisition of Union Supply Group, Inc. ("Union Supply"), a commissary goods and services supplier, pursuant to the Stock Purchase Agreement ("Union Supply Purchase Agreement") dated as of April 8, 2022, by and among Aramark Correctional Services, LLC, a wholly owned subsidiary of the Company, and Tom Thomas,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his capacity as the sellers' representative. Upon completion of the acquisition, Union Supply became a wholly owned subsidiary of the Company and its results are included in the Company's FSS United States segment. The cash consideration paid for Union Supply was $199.6 million. The Union Supply Purchase Agreement provided for contingent consideration, which the Company may be required to pay if Union Supply achieves certain adjusted EBITDA levels during calendar year 2023. A contingent consideration liability of $40.2 million was recorded as part of the acquisition with a separate amount that was accounted for as compensation expense recognized in earnings over the earnout period (see Note 17). The acquisition was financed utilizing funds from the Company's Receivables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w:t>
      </w:r>
    </w:p>
    <w:p>
      <w:pPr>
        <w:spacing w:after="0" w:line="106"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Company accounted for the Union Supply acquisition as a business combination under the acquisition method of accounting. The Company finalized its allocation of the purchase price for the transaction based upon the fair value of net assets acquired and liabilities assumed at the date of acquisition.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 of Assets Acquired and Liabilities Assumed at Fair Value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 the assets and liabilities assigned as of the acquisition date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102,925</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208,181</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87,171</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67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identifies the Company’s allocation of purchase price to the intangible assets acquired by category:</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Estimated Fair Value (in</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Weighted-Average Estimated</w:t>
            </w:r>
          </w:p>
        </w:tc>
        <w:tc>
          <w:tcPr>
            <w:tcW w:w="0" w:type="dxa"/>
            <w:vAlign w:val="bottom"/>
          </w:tcPr>
          <w:p>
            <w:pPr>
              <w:spacing w:after="0"/>
              <w:rPr>
                <w:sz w:val="1"/>
                <w:szCs w:val="1"/>
                <w:color w:val="auto"/>
              </w:rPr>
            </w:pPr>
          </w:p>
        </w:tc>
      </w:tr>
      <w:tr>
        <w:trPr>
          <w:trHeight w:val="239"/>
        </w:trPr>
        <w:tc>
          <w:tcPr>
            <w:tcW w:w="6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millions)</w:t>
            </w:r>
          </w:p>
        </w:tc>
        <w:tc>
          <w:tcPr>
            <w:tcW w:w="2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Useful Life (in years)</w:t>
            </w:r>
          </w:p>
        </w:tc>
        <w:tc>
          <w:tcPr>
            <w:tcW w:w="0" w:type="dxa"/>
            <w:vAlign w:val="bottom"/>
          </w:tcPr>
          <w:p>
            <w:pPr>
              <w:spacing w:after="0"/>
              <w:rPr>
                <w:sz w:val="1"/>
                <w:szCs w:val="1"/>
                <w:color w:val="auto"/>
              </w:rPr>
            </w:pPr>
          </w:p>
        </w:tc>
      </w:tr>
      <w:tr>
        <w:trPr>
          <w:trHeight w:val="227"/>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5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trade name acquired was determined using the “relief-from-royalty method” which considers the discounted estimated royalty payments that are expected to be avoided as a result of the trademarks being owned.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recorded $56.9 million of goodwill in connection with its purchase price allocation relating to the Union Supply acquisition, all of which was recognized in the FSS United States segment. Goodwill is calculated as the excess of consideration transferred over the net assets recognized and represents future economic benefits arising from other assets acquired that could not be individually identified and separately recognized, such as assembled workforce. Factors that contributed to the Company's recognition of goodwill include the Company's intent to complement its existing corrections business and expand its customer base. None of the goodwill recognized is expected to be deductible for income tax purposes.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fiscal 2024, fiscal 2023 and fiscal 2022, the Company paid net cash consideration of $148.7 million, $50.2 million and $123.2 million, respectively, for various acquisitions, excluding the purchase of Union Supply. The revenue, net income, assets and liabilities of the acquisitions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SEVERANCE:</w:t>
      </w:r>
    </w:p>
    <w:p>
      <w:pPr>
        <w:spacing w:after="0" w:line="94"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212529"/>
        </w:rPr>
        <w:t xml:space="preserve">During fiscal 2023, the Company approved headcount reductions to streamline and improve the efficiency and effectiveness of operational and administrative functions. As a result of these actions, severance charges of </w:t>
      </w:r>
      <w:r>
        <w:rPr>
          <w:rFonts w:ascii="Times New Roman" w:cs="Times New Roman" w:eastAsia="Times New Roman" w:hAnsi="Times New Roman"/>
          <w:sz w:val="18"/>
          <w:szCs w:val="18"/>
          <w:color w:val="000000"/>
        </w:rPr>
        <w:t>$35.1 million were recorded in "Cost of services provided (exclusive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depreciation and amortization)" on the Consolidated Statements of Income for the fiscal year ended September 29, 2023.</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severance charges by segment related to the fiscal 2023 actions recognized in the Consolidated Statements of Income for the fiscal year ended September 29, 2023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954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
        </w:trPr>
        <w:tc>
          <w:tcPr>
            <w:tcW w:w="9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fiscal 2022, the Company made changes to its organization to streamline and improve the efficiency and effectiveness of its operations and overhead functions. These actions included headcount reductions, which resulted in severance charges of $19.6 million during the fiscal year ended September 30, 2022, which were recorded in “Cost of services provided (exclusive of depreciation and amortization)” on the Consolidated Statements of Income.</w:t>
      </w:r>
    </w:p>
    <w:p>
      <w:pPr>
        <w:spacing w:after="0" w:line="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severance charges by segment related to the fiscal 2022 actions recognized in the Consolidated Statements of Income for the fiscal year ended September 30, 2022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8"/>
        </w:trPr>
        <w:tc>
          <w:tcPr>
            <w:tcW w:w="9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unpaid obligations for severance and related costs as of September 27, 2024, which are included in "Accrued payroll and related expenses" on the Consolidated Balance Sheets (in millions):</w:t>
      </w: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320" w:type="dxa"/>
            <w:vAlign w:val="bottom"/>
          </w:tcPr>
          <w:p>
            <w:pPr>
              <w:spacing w:after="0"/>
              <w:rPr>
                <w:sz w:val="12"/>
                <w:szCs w:val="12"/>
                <w:color w:val="auto"/>
              </w:rPr>
            </w:pPr>
          </w:p>
        </w:tc>
        <w:tc>
          <w:tcPr>
            <w:tcW w:w="1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180" w:type="dxa"/>
            <w:vAlign w:val="bottom"/>
          </w:tcPr>
          <w:p>
            <w:pPr>
              <w:spacing w:after="0"/>
              <w:rPr>
                <w:sz w:val="12"/>
                <w:szCs w:val="12"/>
                <w:color w:val="auto"/>
              </w:rPr>
            </w:pPr>
          </w:p>
        </w:tc>
        <w:tc>
          <w:tcPr>
            <w:tcW w:w="15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0" w:type="dxa"/>
            <w:vAlign w:val="bottom"/>
          </w:tcPr>
          <w:p>
            <w:pPr>
              <w:spacing w:after="0"/>
              <w:rPr>
                <w:sz w:val="1"/>
                <w:szCs w:val="1"/>
                <w:color w:val="auto"/>
              </w:rPr>
            </w:pPr>
          </w:p>
        </w:tc>
      </w:tr>
      <w:tr>
        <w:trPr>
          <w:trHeight w:val="195"/>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 Severance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2022 Severance</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Reorganization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OTHER INTANGIBLE ASSETS:</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 The Company performs its assessment of goodwill at the reporting unit level, which is an operating segment or one level below the operating segment. The Company performs its annual impairment test as of the end of the fiscal month of August. If results of the qualitative assessment indicate a more likely than not determination or if a qualitative assessment is not performed, a quantitative test is performed by comparing the estimated fair value, calculated using a discounted cash flow method or market based method, of each reporting unit with its estimated net book value.</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2024, the Company performed the annual impairment test for goodwill for each of the reporting units using a quantitative testing approach. The Company compared the estimated fair value using a discounted cash flow method of each reporting unit or market based method for certain reporting units with its book value. Based on the evaluation performed, the Company determined that the fair value of each of the reporting units significantly exceeded its respective carrying amount, and therefore, the Company determined that goodwill was not impaired.</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and the underlying margin projection assumptions, future growth rates and the discount rate. If assumptions or estimates in the fair value calculations change or if future cash flows or future growth rates vary from what was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expected, this may impact the impairment analysis and could reduce the underlying cash flows used to estimate fair values and result in a decline in fair value that may trigger future impairment charges.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total goodwill during fiscal 2024 are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Translation &amp; Other</w:t>
            </w:r>
          </w:p>
        </w:tc>
        <w:tc>
          <w:tcPr>
            <w:tcW w:w="168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30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4,164,392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right="49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4,184,547</w:t>
            </w: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451,594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492,654</w:t>
            </w:r>
          </w:p>
        </w:tc>
      </w:tr>
      <w:tr>
        <w:trPr>
          <w:trHeight w:val="248"/>
        </w:trPr>
        <w:tc>
          <w:tcPr>
            <w:tcW w:w="3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4,615,986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ind w:right="49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4,677,201</w:t>
            </w:r>
          </w:p>
        </w:tc>
      </w:tr>
      <w:tr>
        <w:trPr>
          <w:trHeight w:val="20"/>
        </w:trPr>
        <w:tc>
          <w:tcPr>
            <w:tcW w:w="42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366"/>
        </w:trPr>
        <w:tc>
          <w:tcPr>
            <w:tcW w:w="4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intangible assets consist of (in thousands):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1"/>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
        </w:trPr>
        <w:tc>
          <w:tcPr>
            <w:tcW w:w="3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1"/>
        </w:trPr>
        <w:tc>
          <w:tcPr>
            <w:tcW w:w="3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45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4"/>
          </w:tcPr>
          <w:p>
            <w:pPr>
              <w:jc w:val="center"/>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220" w:type="dxa"/>
            <w:vAlign w:val="bottom"/>
            <w:gridSpan w:val="4"/>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60" w:type="dxa"/>
            <w:vAlign w:val="bottom"/>
          </w:tcPr>
          <w:p>
            <w:pPr>
              <w:jc w:val="right"/>
              <w:ind w:right="475"/>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5"/>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3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(521,102)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(433,741)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683,030</w:t>
            </w: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1,197,486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1,157,596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1,137,535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1,121,443</w:t>
            </w:r>
          </w:p>
        </w:tc>
      </w:tr>
      <w:tr>
        <w:trPr>
          <w:trHeight w:val="248"/>
        </w:trPr>
        <w:tc>
          <w:tcPr>
            <w:tcW w:w="3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2,365,594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1,804,473</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fiscal 2024, the Company acquired customer relationship assets and trade names with values of $43.4 million and $55.3 million, respectively. During fiscal 2023, the Company acquired customer relationship assets and trade names with values of $20.7 million and $14.5 million, respectively. Customer relationship assets are being amortized principally on a straight-line basis over the expected period of benefit with a weighted average life of approximately 14 years. The majority of trade names, which include the Aramark and Avendra trade names, are indefinite lived intangible assets and are not amortized, but are evaluated for impairment at least annually or more frequently if events or changes in circumstances indicate that it is more likely than not that the asset is impaired. The Company utilized the "relief-from-royalty" method, which considers the discounted estimated royalty payments that are expected to be avoided as a result of the trade names being owned. The Company completed its annual trade name impairment test for fiscal 2024, which did not result in an impairment charge. Amortization of other intangible assets for fiscal 2024, fiscal 2023 and fiscal 2022 was $107.1 million, $89.5 million and $82.8 million, respectively.</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on the recorded balances at September 27, 2024, total estimated amortization of all acquisition-related intangible assets for fiscal years 2025 through 2029 are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20" w:type="dxa"/>
            <w:vAlign w:val="bottom"/>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color w:val="auto"/>
                <w:w w:val="99"/>
              </w:rPr>
              <w:t>2025</w:t>
            </w:r>
          </w:p>
        </w:tc>
        <w:tc>
          <w:tcPr>
            <w:tcW w:w="7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113,655</w:t>
            </w:r>
          </w:p>
        </w:tc>
      </w:tr>
      <w:tr>
        <w:trPr>
          <w:trHeight w:val="230"/>
        </w:trPr>
        <w:tc>
          <w:tcPr>
            <w:tcW w:w="292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w w:val="99"/>
              </w:rPr>
              <w:t>2026</w:t>
            </w:r>
          </w:p>
        </w:tc>
        <w:tc>
          <w:tcPr>
            <w:tcW w:w="7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109,260</w:t>
            </w:r>
          </w:p>
        </w:tc>
      </w:tr>
      <w:tr>
        <w:trPr>
          <w:trHeight w:val="230"/>
        </w:trPr>
        <w:tc>
          <w:tcPr>
            <w:tcW w:w="2920" w:type="dxa"/>
            <w:vAlign w:val="bottom"/>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color w:val="auto"/>
                <w:w w:val="99"/>
              </w:rPr>
              <w:t>2027</w:t>
            </w:r>
          </w:p>
        </w:tc>
        <w:tc>
          <w:tcPr>
            <w:tcW w:w="7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88,866</w:t>
            </w:r>
          </w:p>
        </w:tc>
      </w:tr>
      <w:tr>
        <w:trPr>
          <w:trHeight w:val="230"/>
        </w:trPr>
        <w:tc>
          <w:tcPr>
            <w:tcW w:w="292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w w:val="99"/>
              </w:rPr>
              <w:t>2028</w:t>
            </w:r>
          </w:p>
        </w:tc>
        <w:tc>
          <w:tcPr>
            <w:tcW w:w="7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81,728</w:t>
            </w:r>
          </w:p>
        </w:tc>
      </w:tr>
      <w:tr>
        <w:trPr>
          <w:trHeight w:val="229"/>
        </w:trPr>
        <w:tc>
          <w:tcPr>
            <w:tcW w:w="2920" w:type="dxa"/>
            <w:vAlign w:val="bottom"/>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color w:val="auto"/>
                <w:w w:val="99"/>
              </w:rPr>
              <w:t>2029</w:t>
            </w:r>
          </w:p>
        </w:tc>
        <w:tc>
          <w:tcPr>
            <w:tcW w:w="7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79,003</w:t>
            </w:r>
          </w:p>
        </w:tc>
      </w:tr>
      <w:tr>
        <w:trPr>
          <w:trHeight w:val="945"/>
        </w:trPr>
        <w:tc>
          <w:tcPr>
            <w:tcW w:w="2920" w:type="dxa"/>
            <w:vAlign w:val="bottom"/>
          </w:tcPr>
          <w:p>
            <w:pPr>
              <w:spacing w:after="0"/>
              <w:rPr>
                <w:sz w:val="24"/>
                <w:szCs w:val="24"/>
                <w:color w:val="auto"/>
              </w:rPr>
            </w:pPr>
          </w:p>
        </w:tc>
        <w:tc>
          <w:tcPr>
            <w:tcW w:w="720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S-21</w:t>
            </w:r>
          </w:p>
        </w:tc>
        <w:tc>
          <w:tcPr>
            <w:tcW w:w="1120" w:type="dxa"/>
            <w:vAlign w:val="bottom"/>
          </w:tcPr>
          <w:p>
            <w:pPr>
              <w:spacing w:after="0"/>
              <w:rPr>
                <w:sz w:val="24"/>
                <w:szCs w:val="24"/>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7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borrowings, net, are summarized in the following table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$1.4 Billion Revolving Credit Facility due August 2029</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$1.153 Billion Revolving Credit Facility due April 2026</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170,759</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A Loans due August 2029</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A Loans due August 2026</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258,060</w:t>
            </w:r>
          </w:p>
        </w:tc>
      </w:tr>
      <w:tr>
        <w:trPr>
          <w:trHeight w:val="230"/>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United States Term B Loans due June 2030</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1,078,588</w:t>
            </w:r>
          </w:p>
        </w:tc>
      </w:tr>
      <w:tr>
        <w:trPr>
          <w:trHeight w:val="229"/>
        </w:trPr>
        <w:tc>
          <w:tcPr>
            <w:tcW w:w="7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United States Term B Loans due April 2028</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724,393</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Term B Loans due January 2027</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835,631</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Unsecured Notes: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Senior Unsecured Notes due February 2028</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1,142,910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Unsecured Notes due May 2025</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1,492,153</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Senior Unsecured Notes due April 2025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549,348</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 Senior Unsecured Notes (EUR) due April 2025</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342,718</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31,933</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15,201</w:t>
            </w:r>
          </w:p>
        </w:tc>
      </w:tr>
      <w:tr>
        <w:trPr>
          <w:trHeight w:val="223"/>
        </w:trPr>
        <w:tc>
          <w:tcPr>
            <w:tcW w:w="7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6,641,694</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(1,543,032)</w:t>
            </w:r>
          </w:p>
        </w:tc>
      </w:tr>
      <w:tr>
        <w:trPr>
          <w:trHeight w:val="248"/>
        </w:trPr>
        <w:tc>
          <w:tcPr>
            <w:tcW w:w="7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5,098,662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27, 2024, there were $733.3 million of outstanding foreign currency borrowings.</w:t>
      </w:r>
    </w:p>
    <w:p>
      <w:pPr>
        <w:spacing w:after="0" w:line="10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27, 2024, the 5.000% Senior Notes due April 1, 2025 and 3.125% Senior Notes due April 1, 2025 mature within one year. The Company intends to repay, redeem or otherwise refinance the outstanding obligations related to these securities.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Agreement</w:t>
      </w:r>
    </w:p>
    <w:p>
      <w:pPr>
        <w:spacing w:after="0" w:line="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ASI, an indirect wholly owned subsidiary of the Company, and certain of its subsidiaries entered into a credit agreement on March 28, 2017 (as supplemented or otherwise modified from time to time, the "Credit Agreement"), which replaced the existing Amended and Restated Credit Agreement, originally dated January 26, 2007, and last amended on March 28, 2014 (the "Previous Credit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senior secured term loan facilities consisting of the following as of September 27, 2024:</w:t>
      </w:r>
    </w:p>
    <w:p>
      <w:pPr>
        <w:spacing w:after="0" w:line="104"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dollar denominated term loan to ASI in the amount of $836.7 million, due 2027 ("United States Term B-4 Loans due 2027"),</w:t>
      </w:r>
    </w:p>
    <w:p>
      <w:pPr>
        <w:spacing w:after="0" w:line="27"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$725.5 million, due 2028 ("United States Term B-7 Loans due 2028"), $1,073.1 million, due 2030 ("United States Term B-8 Loans due 2030") and $70.4 million, due 2029 ("United States Term A Loans due 2029");</w:t>
      </w:r>
    </w:p>
    <w:p>
      <w:pPr>
        <w:spacing w:after="0" w:line="4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Canadian dollar denominated term loan to Aramark Canada Ltd. in the amount of C$205.9 million (approximately $152.3 million), due 2029 (the "Canadian Term A-4 Loans due 2029");</w:t>
      </w:r>
    </w:p>
    <w:p>
      <w:pPr>
        <w:spacing w:after="0" w:line="4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euro denominated term loan to Aramark Investments Limited, a U.K. borrower, in an amount of €93.8 million (approximately $104.7 million), due 2029 (the "Euro Term A-3 Loans due 2029");</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pounds sterling denominated term loan to Aramark Limited, a U.K. borrower, in an amount of £61.8 million (approximately $82.6 million), due 2029 (the "GBP Term A Loans due 2029"); and</w:t>
      </w:r>
    </w:p>
    <w:p>
      <w:pPr>
        <w:spacing w:after="0" w:line="26"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dollar denominated term loan to Aramark Investments Limited, a U.K. borrower, in an amount of $89.6 million, due 2029 (the "AIL Term A-1 Loans due 2029").</w:t>
      </w:r>
    </w:p>
    <w:p>
      <w:pPr>
        <w:spacing w:after="0" w:line="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Credit Agreement also includes a revolving credit facility available for loans in United States dollars, Canadian dollars, euros and pounds sterling to ASI and certain foreign borrowers with aggregate commitments of approximately $1.4 billion and has a final maturity date of August 2, 2029. As of September 27, 2024, there was $1,341.6 million available for borrowing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under the revolving credit facility. The Company's revolving credit facility includes a $500.0 million sublimit for letters of credit. The revolving credit facility may be drawn by ASI as well as by certain foreign subsidiaries of ASI. The foreign borrowers are subject to a sublimit of either $300.0 million or $150.0 million with respect to borrowings under the revolving credit facility. In addition to paying interest on outstanding principal under the senior secured credit facilities, the Company is required to pay a commitment fee to the lenders under the revolving credit facility in respect of the unutilized commitments thereunder. The revolving credit facility is subject to a commitment fee ranging from a rate of 0.15% to 0.30% per annum. The actual rate within the range is based on a Consolidated Leverage Ratio, as defined in the Credit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a guarantor under the senior secured credit facilities and is not subject to the covenants or obligations under the Credit Agreement.</w:t>
      </w:r>
    </w:p>
    <w:p>
      <w:pPr>
        <w:spacing w:after="0" w:line="1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applicable margin on the United States Term B-4 Loans due 2027 is 1.75% with respect to Term Benchmark (Adjusted Term Secured Overnight Financing Rate ("SOFR")) borrowings, subject to a SOFR floor of 0.00%, and 0.75% with respect to base-rate borrowings, subject to a minimum base rate of 0.00%. The applicable margin on the United States Term B-7 Loans due 2028 and United States Term B-8 Loans due 2030 is 2.00% with respect to Term Benchmark (Adjusted Term SOFR) borrowings, subject to a SOFR floor of 0.00% and 1.00% with respect to base-rate borrowings, subject to a minimum base rate of 0.00%. The applicable margin spread for the United States Term A Loans due 2029, United States Term A-1 Loans due 2029, Canadian Term A-4 Loans due 2029, the Euro Term A-3 Loans due 2029, the GBP Term A Loans due 2029 and the senior secured revolving credit facility is 1.125% to 1.625% (as of September 27, 2024 - 1.500%) with respect to Term Benchmark (Adjusted Term SOFR, EURIBOR and Term CORRA) borrowings and letters of credit fees, subject to a floor of 0.00%, 0.125% to 0.625% (as of September 27, 2024 - 0.500%) with respect to United States and Canadian base rate borrowings, and 1.1576% to 1.6576% (as of September 27, 2024 - 1.5326%) with respect to Sterling Overnight Index Average ("SONIA") rate borrowings, subject to a floor of 0.00%. The actual spreads within all ranges referred to above are based on a Consolidated Leverage Ratio, as defined in the Credit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Transactions</w:t>
      </w:r>
    </w:p>
    <w:p>
      <w:pPr>
        <w:spacing w:after="0" w:line="9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On August 2, 2024, the Company amended its existing Credit Agreement (“Amendment No. 15”), to provide for, among other things, the refinancing and replacement of the 2021 Tranche Revolving Facility, the Canadian Term A-3 Loans and the Euro Term A-2 Loans under the Credit Agreement through the establishment of Replacing Revolving Commitments, New Revolving Commitments, and borrowings of Refinancing Term Loans, under the Credit Agreement comprised of (i) new 2024 Tranche Revolving Commitments in an amount equal to $1.4 billion, terminating in August 2029, (ii) new Canadian Term A-4 Loans in an amount equal to C$214.6 million, due in August 2029, (iii) new Euro Term A-3 Loans in an amount equal to €94.1 million, due in August 2029, (iv) new United States Term A Loans in an amount equal to $70.7 million, due in August 2029, (v) new United States Term A-1 Loans in an amount equal to $90.0 million, due in August 2029 and (vi) new GBP Term A Loans in an amount equal to £62.0 million, due in August 2029. The new Term A Loans were applied by the Company to refinance in full the Canadian Term A-3 Loans and Euro Term A-2 Loans and reduce borrowings outstanding under the existing revolving facility. The new Term A Loans are subject to customary springing maturity provisions (including customary thresholds) with respect to the United States Term B-7 Loans and the 5.000% Senior Notes due 2028, as further specified in Amendment No. 15.</w:t>
      </w:r>
    </w:p>
    <w:p>
      <w:pPr>
        <w:spacing w:after="0" w:line="1"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7"/>
          <w:szCs w:val="17"/>
          <w:color w:val="auto"/>
        </w:rPr>
        <w:t>The new 2024 Tranche Revolving Commitments bear interest at a rate equal to, at the Company’s option, depending on the currency of the loans borrowed under the new 2024 Tranche Revolving Commitments, either (a) a Term CORRA rate, (b) a Term SOFR rate, (c) a EURIBOR rate, (d) Canadian base rate determined by the higher of (1) prime rate of the administrative agent or (2) the Term CORRA rate plus 1.00%, (e) base rate determined by the highest of</w:t>
      </w:r>
    </w:p>
    <w:p>
      <w:pPr>
        <w:spacing w:after="0" w:line="2" w:lineRule="exact"/>
        <w:rPr>
          <w:sz w:val="20"/>
          <w:szCs w:val="20"/>
          <w:color w:val="auto"/>
        </w:rPr>
      </w:pPr>
    </w:p>
    <w:p>
      <w:pPr>
        <w:ind w:right="140" w:firstLine="8"/>
        <w:spacing w:after="0" w:line="234"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of the administrative agent, (2) the greater of the overnight rate and the federal funds rate, plus 0.50% or (3) the Term SOFR rate plus 1.00%, or (f) a SONIA rate plus an applicable margin set initially at 1.625% for borrowings based on the Term CORRA rate, Term SOFR rate and EURIBOR rate, 1.6576% for borrowings based on the SONIA rate and 0.625% for borrowings based on the Canadian base rate or base rate, in each case, subject to a reduction upon the Company achieving improvement on the consolidated leverage ratio. Loans denominated in U.S. dollars that are outstanding under the 2024 Tranche Revolving Commitments are subject to a credit spread adjustment of 0.0% (as compared to the interest rate for the 2021 Tranche Revolving Facility, which were subject to a credit spread adjustment between 0.11448% and 0.42826% (depending on the selected interest period)). In addition to paying interest on outstanding principal under the 2024 Tranche Revolving Commitments, the Company is required to pay a commitment fee in respect of the unutilized commitments thereunder, initially set at 0.30%, subject to a reduction upon the Company achieving improvement in the consolidated leverage ratio.</w:t>
      </w:r>
    </w:p>
    <w:p>
      <w:pPr>
        <w:spacing w:after="0" w:line="8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new Canadian Term A-4 Loans bear interest at a rate equal to, at the Company’s option, either (a) a Term CORRA rate or (b) a base rate or Canadian base rate determined by reference to the higher of (1) the prime rate of the administrative agent and (2) the Term CORRA rate plus 1.00% plus an applicable margin set initially at 1.625% for borrowings based on the Term CORRA rate and 0.625% for borrowings based on the Canadian base rate, in each case, subject to a reduction upon the Company achieving improvement in the consolidated leverage ratio.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new Euro Term A-3 Loans bear interest at a rate equal to a EURIBOR rate plus an applicable margin set initially at 1.625%, subject to a reduction upon the Company achieving improvement in the consolidated leverage ratio.</w:t>
      </w:r>
    </w:p>
    <w:p>
      <w:pPr>
        <w:spacing w:after="0" w:line="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new United States Term A Loans and new United States Term A-1 Loans bear interest at a rate determined by reference to either (a) a Term SOFR rate or (b) a base rate determined by reference to the highest of (1) the prime rate of the administrative agent, (2) the greater of the overnight rate and the federal funds rate, plus 0.50% or (3) the Term SOFR rate plus 1.00%, plus an applicable margin set initially at 1.625%, subject to a reduction upon the Company achieving improvement in the consolidated leverage ratio. The United States Term A Loans and United States Term A-1 Loans are subject to a credit spread adjustment of 0.0%.</w:t>
      </w:r>
    </w:p>
    <w:p>
      <w:pPr>
        <w:spacing w:after="0" w:line="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new GBP Term A Loans bear interest at a rate equal to a SONIA rate plus an applicable margin set initially at 1.6576%, subject to a reduction upon the Company achieving improvement in the consolidated leverage.</w:t>
      </w:r>
    </w:p>
    <w:p>
      <w:pPr>
        <w:spacing w:after="0" w:line="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capitalized $7.6 million of transaction costs directly attributable to the refinancing in Amendment No. 15, of which $5.8 million is included in "Other Assets" and $1.8 million is included in "Long-Term Borrowings" on the Consolidated Balance Sheet as of September 27, 2024. Amounts paid for capitalized transaction costs are included within “Other financing activities” on the Consolidated Statement of Cash Flows for the fiscal year ended September 27, 2024. Additionally, the Company recorded $1.3 million of charges to "Interest Expense, net" on the Consolidated Statements of Income for the fiscal year ended September 27, 2024, consisting of a $1.1 million non-cash loss for the write-off of unamortized deferred financing costs on the revolving credit facility and foreign denominated term loans due 2026 and the payment of $0.2 million of transactions costs related to the refinancing.</w:t>
      </w:r>
    </w:p>
    <w:p>
      <w:pPr>
        <w:spacing w:after="0" w:line="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27, 2024, the Company amended its existing Credit Agreement (“Amendment No. 14”), to provide for, among other things, the repricing of all the United States dollar denominated Term B-5 Loans previously outstanding under the Credit Agreement (“United States Term B-5 Loans due 2028”) and the repricing of all the United States dollar denominated Term B-6 Loans previously outstanding under the Credit Agreement (“United States. Term B-6 Loans due 2030”).</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result of the Amendment No. 14, (i) United States Term B-5 Loans due 2028 previously outstanding under the Credit Agreement were replaced with new United States dollar denominated Term B-7 Loans in an amount equal to $730.5 million due in April 2028 and (ii) United States Term B-6 Loans due 2030 previously outstanding under the Credit Agreement were replaced with the new United States dollar denominated Term B-8 Loans in an amount equal to $1,094.5 million due in June 2030, each with an interest rate equal to the sum of (a) the Term SOFR Rate (as defined in the Credit Agreement) plus (b) an applicable margin of 2.00% plus (c) a credit spread adjustment of 0.0% (as compared to the interest rate for the United States Term B-5 Loans due 2028 and the United States Term B-6 Loans due 2030 equal to the sum of (a) the Term SOFR Rate plus (b) an applicable margin of 2.50% plus (c) a credit spread adjustment between 0.11448% and 0.42826% (depending on the selected interest period)).</w:t>
      </w:r>
    </w:p>
    <w:p>
      <w:pPr>
        <w:spacing w:after="0" w:line="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capitalized $0.9 million of transaction costs directly attributable to the repricings in Amendment No. 14, which are included in “Long-Term Borrowings” on the Consolidated Balance Sheet as of September 27, 2024. Amounts paid for capitalized transaction costs are included within “Other financing activities” on the Consolidated Statement of Cash Flows for the fiscal year ended September 27, 2024. Additionally, the Company recorded $1.6 million of charges to "Interest Expense, net" on the Consolidated Statements of Income for fiscal year ended September 27, 2024, consisting of a $1.2 million non-cash loss for the write-off of unamortized deferred financing costs and discount on the United States Term B-5 Loans due 2028 and United States Term B-6 Loans due 2030 and the payment of $0.4 million of transaction costs related to the repricings.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 Transactions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29, 2023, ASI entered into Amendment No. 13 to the Credit Agreement, which provides for a transition of the underlying interest rate applicable to all term loans outstanding and revolving credit commitments and loans available and/or outstanding, in each case, under the Credit Agreement, from the London Interbank Offer Rate ("LIBOR") to a forward-looking term rate based on SOFR. All borrowings based on SOFR under the Credit Agreement are subject to a credit spread adjustment of (i) 0.11448% for borrowings with interest periods of one month, (ii) 0.26161% for borrowings with interest periods of three months and (iii) 0.42826% for borrowings with interest periods of six months but the associated interest rate margins applicable to all such borrowings remain unchanged. Amendment No. 13 was entered into in preparation for the general cessation of LIBOR-based borrowings in the leverage lending industry as of June 30, 2023.</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22, 2023, ASI and certain of its subsidiaries entered into Amendment No. 12 to the Credit Agreement, which provides for, among other things, the extension of the maturity date applicable to all of the United States Term B-3 Loans due 2025 through the establishment of the United States Term B-6 Loans due 2030 in an amount equal to approximately $1.1 billion. The new United States Term B-6 Loans due 2030 were funded in full on June 22, 2023 and were applied by the Company to refinance the remaining United States Term B-3 Loans due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The new United States Term B-6 Loans due 2030 bear an interest rate equal to either (a) a forward-looking term rate based on SOFR for the applicable interest period, plus a credit spread adjustment of (i) 0.11448% for borrowings with interest periods of one month, (ii) 0.26161% for borrowings with interest periods of three months and (iii) 0.42826% for borrowings with Adjusted Term SOFR or (b) a base rate determined by reference to the highest of</w:t>
      </w:r>
    </w:p>
    <w:p>
      <w:pPr>
        <w:spacing w:after="0" w:line="2" w:lineRule="exact"/>
        <w:rPr>
          <w:sz w:val="20"/>
          <w:szCs w:val="20"/>
          <w:color w:val="auto"/>
        </w:rPr>
      </w:pPr>
    </w:p>
    <w:p>
      <w:pPr>
        <w:ind w:right="100" w:firstLine="8"/>
        <w:spacing w:after="0" w:line="253"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of the administrative agent, (2) the federal funds rate plus 0.50% and (3) the Adjusted Term SOFR plus 1.00% plus an applicable margin set initially at 2.50% for borrowings based on Adjusted Term SOFR and 1.50% for borrowings based on the base rate. The United States Term B-6 Loans due 2030 are subject to substantially similar terms currently relating to guarantees, collateral, mandatory prepayments and covenants that are applicable to the Company’s other United States Term B Loans outstanding under the Credit Agreement.</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capitalized $8.2 million of costs associated with the issuance of the United States Term B-6 Loans due 2030, which are amortized using the effective interest method over the term of the loans and presented on the Consolidated Balance Sheets as a direct deduction from the carrying value of the loans. Amounts paid for the capitalized third-party costs are included within "Other Financing activities" on the Consolidated Statements of Cash Flows for the fiscal year ended September 29, 2023. The Company also incurred an original issue discount of $11.0 million upon the issuance of the United States Term B-6 Loans due 2030. The discount is included as an adjustment to the carrying value of the loans and is amortized using the effective interest method over the term of loans in accordance with the accounting literature.</w:t>
      </w:r>
    </w:p>
    <w:p>
      <w:pPr>
        <w:spacing w:after="0" w:line="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conjunction with Amendment No. 12 to the Credit Agreement and the borrowing repayments, the Company recorded a $2.5 million non-cash loss for the write-off of unamortized deferred debt issuance costs to "Interest Expense, net" on the Consolidated Statements of Income during the fiscal year ended September 29,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31, 2023, the Company repaid $100.0 million of United States Term B-3 Loans due 2025.</w:t>
      </w:r>
    </w:p>
    <w:p>
      <w:pPr>
        <w:spacing w:after="0" w:line="9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April 17, 2023, the Company repaid $468.0 million of the United States Term B-3 Loans due 2025, and ¥8,409.0 million ($63.0 million) of yen denominated term loans due 2026.</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Facilities</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Credit Agreement provides that the Company has the right at any time to request one or more incremental term loan facilities or increases under existing term loan facilities and/or additional revolving credit facilities or increases under the existing revolving credit facility in an amount up to $1,400.0 million of incremental commitments in the aggregate plus an unlimited amount so long as the pro forma Consolidated Secured Debt to Covenant Adjusted EBITDA ratio (each as calculated in accordance with the Credit Agreement (the "Consolidated Secured Debt Ratio")) would not exceed 3.00 to 1.00, plus any amount of loans and commitments optionally prepaid and terminated under the senior secured credit facilities. The lenders under these facilities are not under any obligation to provide any such incremental facilities or commitments and any such addition of or increase in facilities or commitments will be subject to customary conditions precedent.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Amortization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requires the Company to prepay outstanding term loans, subject to certain exceptions, with:</w:t>
      </w:r>
    </w:p>
    <w:p>
      <w:pPr>
        <w:spacing w:after="0" w:line="104" w:lineRule="exact"/>
        <w:rPr>
          <w:sz w:val="20"/>
          <w:szCs w:val="20"/>
          <w:color w:val="auto"/>
        </w:rPr>
      </w:pPr>
    </w:p>
    <w:p>
      <w:pPr>
        <w:ind w:left="660" w:right="140" w:hanging="328"/>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ASI's annual excess cash flow (as defined in the Credit Agreement) with step-downs to 25% and 0% upon ASI reaching certain Consolidated Secured Debt Ratio thresholds; provided, further, that such prepayment shall only be required to the extent excess cash flow for the applicable year exceeds $10.0 million;</w:t>
      </w:r>
    </w:p>
    <w:p>
      <w:pPr>
        <w:spacing w:after="0" w:line="40" w:lineRule="exact"/>
        <w:rPr>
          <w:rFonts w:ascii="Times New Roman" w:cs="Times New Roman" w:eastAsia="Times New Roman" w:hAnsi="Times New Roman"/>
          <w:sz w:val="18"/>
          <w:szCs w:val="18"/>
          <w:color w:val="auto"/>
        </w:rPr>
      </w:pPr>
    </w:p>
    <w:p>
      <w:pPr>
        <w:ind w:left="660" w:right="140" w:hanging="328"/>
        <w:spacing w:after="0" w:line="312" w:lineRule="auto"/>
        <w:tabs>
          <w:tab w:leader="none" w:pos="65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net cash proceeds of all non-ordinary course asset sales or other dispositions of property subject to certain exceptions and customary reinvestment rights; provided, further, that such prepayment shall only be required to the extent net cash proceeds exceeds $100.0 million; and</w:t>
      </w:r>
    </w:p>
    <w:p>
      <w:pPr>
        <w:spacing w:after="0" w:line="1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any incurrence of debt, but excluding proceeds from certain debt permitted under the Credit Agreement.</w:t>
      </w:r>
    </w:p>
    <w:p>
      <w:pPr>
        <w:spacing w:after="0" w:line="10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foregoing mandatory prepayments will be applied to the term loan facilities on a pro rata basis and will reduce the obligations to make scheduled amortization payments on a dollar for dollar basis as directed by the Company. The Company may voluntarily repay outstanding loans under the Credit Agreement any time without premium or penalty, other than customary "breakage" costs with respect to SOFR loans. Prepaid term loans may not be reborrowed.</w:t>
      </w:r>
    </w:p>
    <w:p>
      <w:pPr>
        <w:spacing w:after="0" w:line="4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a change of control as defined in the Credit Agreement occurs, this will cause an event of default under the Credit Agreement. Upon an event of default, the new senior secured credit facilities may be accelerated, in which case the Company would be required to repay all outstanding loans plus accrued and unpaid interest and all other amounts outstanding under the new senior secured credit facilities under the Credit Agreement.</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Canadian Term A-4 Loans due 2029 require the payment of installments in quarterly principal amounts of C$2.7 million from June 30, 2025 through June 30, 2029 and C$160.9 million at maturity.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Euro Term A-3 Loans due 2029 require the payment of installments in quarterly principal amounts of €1.2 million from September 30, 2024 through June 30, 2029 and €70.5 million at maturity.</w:t>
      </w:r>
    </w:p>
    <w:p>
      <w:pPr>
        <w:spacing w:after="0" w:line="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GBP Term A Loans due 2029 require the payment of installments in quarterly principal amounts of £0.8 million from September 30, 2024 through June 30, 2029 and £46.5 million at maturity.</w:t>
      </w:r>
    </w:p>
    <w:p>
      <w:pPr>
        <w:spacing w:after="0" w:line="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United States Term A Loans due 2029 require the payment of installments in quarterly principal amounts of $0.9 million from September 30, 2024 through June 30, 2029 and $53.0 million at maturity.</w:t>
      </w:r>
    </w:p>
    <w:p>
      <w:pPr>
        <w:spacing w:after="0" w:line="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United States Term A-1 Loans due 2029 require the payment of installments in quarterly principal amounts of $1.1 million from September 30, 2024 through June 30, 2029 and $67.5 million at maturity.</w:t>
      </w:r>
    </w:p>
    <w:p>
      <w:pPr>
        <w:spacing w:after="0" w:line="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United States Term B-7 Loans due 2028 do not require any quarterly repayments of the principal amount and require the payment of $730.5 million at maturity. The United States Term B-8 Loans due 2030 require repayment of principal in quarterly installments of $2.8 million from September 30, 2024 through March 31, 2030 and $1,025.8 million at maturity.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0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All obligations under the Credit Agreement are unconditionally guaranteed by Aramark Intermediate HoldCo Corporation and, subject to certain exceptions, substantially all of ASI's existing and future wholly-owned domestic subsidiaries excluding certain immaterial subsidiaries, Receivables Facility subsidiaries, certain other customarily excluded subsidiaries and certain subsidiaries designated under the Credit Agreement as "unrestricted subsidiaries," referred to, collectively, as the United States Guarantors. All obligations under the Credit Agreement, and the guarantees of those obligations, are secured by (i) a pledge of 100% of the capital stock of ASI, (ii) pledges of 100% of the capital stock (or 65% of voting stock and 100% of non-voting stock, in the case of the stock of foreign subsidiaries) held by ASI, Aramark Intermediate HoldCo Corporation or any of the United States Guarantors and</w:t>
      </w:r>
    </w:p>
    <w:p>
      <w:pPr>
        <w:spacing w:after="0" w:line="5" w:lineRule="exact"/>
        <w:rPr>
          <w:sz w:val="20"/>
          <w:szCs w:val="20"/>
          <w:color w:val="auto"/>
        </w:rPr>
      </w:pPr>
    </w:p>
    <w:p>
      <w:pPr>
        <w:ind w:right="40" w:firstLine="8"/>
        <w:spacing w:after="0" w:line="260" w:lineRule="auto"/>
        <w:tabs>
          <w:tab w:leader="none" w:pos="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interest in, and mortgages on, substantially all tangible assets of Aramark Intermediate HoldCo Corporation, ASI or any of the United States Guarantors.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ASI's ability and the ability of its restricted subsidiaries to: incur additional indebtedness; issue preferred stock or provide guarantees; create liens on assets; engage in mergers or consolidations; sell assets; pay dividends, make distributions or repurchase its capital stock; make investments, loans or advances; repay or repurchase any subordinated debt, except as scheduled or at maturity; create restrictions on the payment of dividends or other amounts to ASI from its restricted subsidiaries; make certain acquisitions; engage in certain transactions with affiliates; amend material agreements governing ASI's subordinated debt (or any indebtedness that refinances its subordinated debt); and fundamentally change ASI's business. The Credit Agreement also contains certain customary affirmative covenants, such as financial and other reporting, and certain events of default. At September 27, 2024, ASI was in compliance with all of these covenants.</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sale-leaseback transactions, disqualified and preferred stock and advances under the Receivables Facility secured by a lien reduced by the amount of cash and cash equivalents in the consolidated balance sheets that is free and clear of any lien. Non-compliance with the maximum Consolidated Secured Debt Ratio could result in the requirement to immediately repay all amounts outstanding under the Credit Agreement, which, if ASI's lenders under the Credit Agreement (other than the lenders in respect of ASI’s United States Term B-4 Loans due 2027, United States Term B-7 Loans due 2028 and United States Term B-8 Loans due 2030 which lenders shall not benefit from the maximum Consolidated Secured Debt Ratio) failed to waive any such default, would also constitute a default under the indentures governing the senior notes. The actual ratio at September 27, 2024 was 1.99x.</w:t>
      </w:r>
    </w:p>
    <w:p>
      <w:pPr>
        <w:spacing w:after="0" w:line="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establishes an incurrence-based minimum Interest Coverage Ratio, defined as Covenant Adjusted EBITDA to consolidated interest expense, as a condition for ASI and its restricted subsidiaries to incur additional indebtedness and to make certain restricted payments. Consolidated interest expense is defined in the Credit Agreement as consolidated interest expense excluding interest income, adjusted for acquisitions and dispositions and for certain non-cash or nonrecurring interest expense. The minimum Interest Coverage Ratio is at least 2.00x for the term of the Credit Agreement. If ASI does not maintain this minimum Interest Coverage Ratio calculated on a pro forma basis for any such additional indebtedness or restricted payments, it could be prohibited from being able to incur additional indebtedness, other than the additional funding provided for under the Credit Agreement and pursuant to specified exceptions, and make certain restricted payments, other than pursuant to certain exceptions. The actual ratio was 3.73x for the fiscal year ended September 27, 2024.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failure to pay any obligations under the Credit Agreement as they become due or any event causing amounts to become due prior to their stated maturity could result in a cross-default and potential acceleration of the Company’s other outstanding debt obligations, including the senior notes.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6.375% Senior Notes due 2025 (fully redeemed)</w:t>
      </w:r>
    </w:p>
    <w:p>
      <w:pPr>
        <w:spacing w:after="0" w:line="1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April 27, 2020, ASI issued $1,500.0 million aggregate principal amount of 6.375% 2025 Notes. The Company capitalized upon issuance third-party costs of $22.3 million directly attributable to the 6.375% 2025 Notes. The 6.375% 2025 Notes were issued pursuant to an indenture, dated as of April 27, 2020, entered into by and among ASI, the Company and certain other Aramark entities, as guarantors, and the U.S. Bank National Association, as trustee. The 6.375% 2025 Notes were issued at par. Interest on the 6.375% 2025 Notes was payable on May 1 and November 1 of each year.</w:t>
      </w:r>
    </w:p>
    <w:p>
      <w:pPr>
        <w:spacing w:after="0" w:line="4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October 2, 2023, the Company fully redeemed the $1,500.0 million 6.375% 2025 Notes in conjunction with the separation and distribution of the Uniform segment (see Note 2). The Company recorded $31.8 million of charges to "Interest Expense, net" in the Consolidated Statements of Income for the fiscal year ended September 27, 2024, consisting of the payment of a $23.9 million call premium and a $7.9 million non-cash loss for the write-off of unamortized deferred financing costs on the 6.375% 2025 Notes. The amount paid for the call premium is included within "Other financing activities" on the Consolidated Statements of Cash Flows for the fiscal year ended September 27,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5.000% Senior Notes due 2028</w:t>
      </w:r>
    </w:p>
    <w:p>
      <w:pPr>
        <w:spacing w:after="0" w:line="1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January 18, 2018, ASI issued $1,150.0 million aggregate principal amount of 5.000% Senior Notes due February 1, 2028 (the "2028 Notes"). The net proceeds from the 2028 Notes were used to finance the AmeriPride acquisition that occurred in fiscal 2018, to pay down certain borrowings under the revolving credit facility and to pay fees related to the transaction. The Company capitalized third-party costs of $14.2 million directly attributable to the 2028 Notes, which are included in "Long-Term Borrowings" on the Consolidated Balance Sheets and are being amortized over the debt period.</w:t>
      </w:r>
    </w:p>
    <w:p>
      <w:pPr>
        <w:spacing w:after="0" w:line="4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2028 Notes were issued pursuant to an indenture, dated as of January 18, 2018 (the "2028 Notes Indenture"), entered into by and among ASI, the Company and certain other Aramark entities, as guarantors, and the U.S. Bank National Association, as trustee. The 2028 Notes were issued at par.</w:t>
      </w:r>
    </w:p>
    <w:p>
      <w:pPr>
        <w:spacing w:after="0" w:line="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2028 Notes are senior unsecured obligations of ASI. The 2028 Notes rank equal in right of payment to all of the Issuer's existing and future senior indebtedness and will rank senior in right of payment to the Issuer's future subordinated indebtedness. The 2028 Notes are guaranteed on a senior, unsecured basis by the Company and substantially all of the domestic subsidiaries of ASI. The guarantees of the 2028 Notes rank equal in right of payment to all of the senior obligations of such guarantor. The 2028 Notes are effectively subordinated to all of ASI's existing and future secured indebtedness, to the extent of the value of the assets securing that indebtedness, and structurally subordinated to all of the liabilities of any of ASI's subsidiaries that do not guarantee the 2028 Notes. Interest on the 2028 Notes is payable on February 1 and August 1 of each year.</w:t>
      </w:r>
    </w:p>
    <w:p>
      <w:pPr>
        <w:spacing w:after="0" w:line="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2028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2028 Notes Indenture also provides for events of default which, if any of them occurs, would permit or require the principal of and accrued interest on the applicable series of 2028 Notes to become or to be declared due and payable. Further, a failure to pay any obligations under</w:t>
      </w:r>
    </w:p>
    <w:p>
      <w:pPr>
        <w:spacing w:after="0" w:line="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2028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5.000% Senior Notes due 2025 and 3.125% Senior Notes due 2025</w:t>
      </w:r>
    </w:p>
    <w:p>
      <w:pPr>
        <w:spacing w:after="0" w:line="10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On March 22, 2017, ASI issued $600.0 million of 5.000% Senior Notes due April 1, 2025 (the "5.000% 2025 Notes"). The 5.000% 2025 Notes were issued pursuant to an indenture (the "5.000% 2025 Notes Indenture"), entered into by and among ASI, the Company and certain other Aramark entities, as guarantors, and The Bank of New York Mellon, as trustee. The 5.000% 2025 Notes were issued at par. On March 27, 2017, Aramark International Finance S.à.r.l. ("AIFS"), an indirect wholly owned subsidiary of the Company, issued €325.0 million of 3.125% Senior Notes due April 1, 2025 (the "3.125% 2025 Notes" and, together with the 5.000% 2025 Notes, the "2025 Notes"). The 3.125% 2025 Notes were issued pursuant to an indenture (the "3.125% 2025 Notes Indenture"), entered into by and among AIFS, the Company and certain other Aramark entities, as guarantors, The Bank of New York Mellon, as trustee and registrar, and The Bank of New York Mellon, London Branch, as paying agent and transfer agent. The 3.125% 2025 Notes were issued at par.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2025 Notes are senior unsecured obligations of the respective Issuers. Each series of the 2025 Notes ranks equal in right of payment to all of the respective Issuer's existing and future senior indebtedness, including the senior secured credit facilities under the Credit Agreement, and, in the case of the 5.000% 2025 Notes with respect to ASI and will rank senior in right of payment to the respective Issuer's future subordinated indebtedness. The 2025 Notes are guaranteed on a senior, unsecured basis by the Company and substantially all of the domestic subsidiaries of ASI and the 3.125% 2025 Notes are guaranteed on a senior, unsecured basis by ASI. The guarantees of the 2025 Notes rank equal in right of payment to all of the senior obligations of such guarantor, including guarantees of the senior secured credit facilities and the 2028 Notes, as applicable, and in the case of the 3.125% 2025 Notes with respect to ASI, ASI’s obligations under the senior secured credit facilities, the 5.000% 2025 Notes and the 2028 Notes. Each series of the 2025 Notes and the related guarantees thereof are effectively subordinated to all of the respective Issuers' existing and future secured indebtedness, including obligations and/or guarantees of the senior secured credit facilities under the Credit Agreement, to the extent of the value of the assets securing that indebtedness, and structurally subordinated to all of the liabilities of any of ASI's subsidiaries that do not guarantee the 2025 Notes. Interest on the 2025 Notes is payable on April 1 and October 1 of each year.</w:t>
      </w:r>
    </w:p>
    <w:p>
      <w:pPr>
        <w:spacing w:after="0" w:line="5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the event of certain types of changes of control, the holders of the 2025 Notes may require the applicable Issuer to purchase for cash all or a portion of their 2025 Notes at a purchase price equal to 101% of the principal amount of such 2025 Notes, plus accrued and unpaid interest, if any, to, but not including, the purchase date. ASI has the option to redeem all or a portion of the 5.000% 2025 Notes at any time at the redemption prices set forth in the 5.000% 2025 Notes Indenture, plus accrued and unpaid interest. Beginning April 1, 2020, AIFS has the option to redeem all or a portion of the 3.125% 2025 Notes at any time at the redemption prices set forth in the 3.125% 2025 Notes Indenture, plus accrued and unpaid interest.</w:t>
      </w:r>
    </w:p>
    <w:p>
      <w:pPr>
        <w:spacing w:after="0" w:line="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5.000% 2025 Notes Indenture and the 3.125% 2025 Notes Indenture contain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5.000% 2025 Notes Indenture and the 3.125% 2025 Notes Indenture also provide for events of default which, if any of them occurs, would permit or require the principal of and accrued interest on the applicable series of 2025 Notes to become or to be declared due and payable. Further, a failure to pay any obligations under the 5.000% 2025 Notes Indenture or the 3.125% 2025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2022, the Company made optional prepayments of $48.5 million on the 5.000% 2025 Notes.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 Facility</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a Receivables Facility agreement with four financial institutions where it sells on a continuous basis an undivided interest in all eligible trade accounts receivable, as defined in the Receivables Facility. Amounts borrowed under the Receivables Facility fluctuate monthly based on the Company's funding requirements and the level of qualified receivables available to collateralize the Receivables Facility. On July 19, 2023, the Company increased the purchase limit available under the Receivables Facility from $500.0 million to $600.0 million and extended the scheduled maturity date from June 2024 to July 2026. All other terms and conditions of the agreement remained largely unchanged.</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Receivables Facility, the Company formed ARAMARK Receivables, LLC, a wholly-owned, consolidated, bankruptcy-remote subsidiary. ARAMARK Receivables, LLC was formed for the sole purpose of buying and selling receivables generated by certain subsidiaries of the Company. Under the Receivables Facility, the Company and certain of its subsidiaries transfer without recourse all of their accounts receivable to ARAMARK Receivables, LLC. As collections reduce previously transferred interests, interests in new, eligible receivables are transferred to ARAMARK Receivables, LLC, subject to meeting certain conditions.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27, 2024, and September 29, 2023, there were no outstanding borrowings under the Receivables Facility.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Maturities and Interest Expense, net</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September 27, 2024, annual maturities on long-term borrowings maturing in the next five fiscal years and thereafter (excluding the $22.7 million reduction to long-term borrowings from debt issuance costs, $8.8 million reduction from the discount on the United States Term B-8 Loans due 2030 and $0.4 million reduction from the discount on the United States Term B-4 Loans due 2027) are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967,514</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45,260</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882,573</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1,920,207</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443,341</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1,066,069</w:t>
            </w:r>
          </w:p>
        </w:tc>
      </w:tr>
      <w:tr>
        <w:trPr>
          <w:trHeight w:val="387"/>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interest expense, net, are summarized as follows (in thousands):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1"/>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
        </w:trPr>
        <w:tc>
          <w:tcPr>
            <w:tcW w:w="5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6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389,192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467,286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384,857</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(22,476)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(29,810)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(16,679)</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366,716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437,476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368,178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DERIVATIVE INSTRUMENTS:</w:t>
      </w:r>
    </w:p>
    <w:p>
      <w:pPr>
        <w:spacing w:after="0" w:line="10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enters into contractual derivative arrangements to manage changes in market conditions related to interest on debt obligations, including interest rate swap agreements, that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approximately $2.3 billion notional amount of outstanding interest rate swap agreements as of September 27, 2024, which fix the rate on a like amount of variable rate borrowings with varying maturities through December of fiscal 2028. During fiscal 2024, the Company entered into $100.0 million notional amount of interest rate swap agreements to hedge the cash flow risk of variability in interest payments on variable rate borrowings.</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fiscal 2023, the Company entered into bilateral agreements with its swap counterparties to transition all of its interest rate swap agreements to use SOFR as the reference rate due to the discontinuance of LIBOR. There were no changes to interest rate swap parties, notional amounts or settlement dates as a result of these amendments. All of the Company's interest rate swap agreements are indexed to SOFR.</w:t>
      </w:r>
    </w:p>
    <w:p>
      <w:pPr>
        <w:spacing w:after="0" w:line="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Cash flows from hedging transactions are classified in the same category as the cash flows from the respective hedged item. As of September 27, 2024 and September 29, 2023, $36.5 million and $109.1 million, respectively, of unrealized net of tax gains related to the interest rate swaps were included in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Company's derivatives designated as cash flow hedging instruments on Other comprehensive income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59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193,616</w:t>
            </w:r>
          </w:p>
        </w:tc>
      </w:tr>
    </w:tbl>
    <w:p>
      <w:pPr>
        <w:spacing w:after="0" w:line="211" w:lineRule="exact"/>
        <w:rPr>
          <w:sz w:val="20"/>
          <w:szCs w:val="20"/>
          <w:color w:val="auto"/>
        </w:rPr>
      </w:pPr>
    </w:p>
    <w:p>
      <w:pPr>
        <w:ind w:left="400" w:hanging="374"/>
        <w:spacing w:after="0"/>
        <w:tabs>
          <w:tab w:leader="none" w:pos="4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in the amounts driven by changes in forward interest rates.</w:t>
      </w:r>
    </w:p>
    <w:p>
      <w:pPr>
        <w:spacing w:after="0" w:line="18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using Level 2 inputs (see Note 17 for a description of the fair value levels), of the Company's derivatives designated and not designated as hedging instruments on the Consolidated Balance Sheets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50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6"/>
                <w:szCs w:val="16"/>
                <w:color w:val="auto"/>
              </w:rPr>
            </w:pPr>
          </w:p>
        </w:tc>
        <w:tc>
          <w:tcPr>
            <w:tcW w:w="15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4280" w:type="dxa"/>
            <w:vAlign w:val="bottom"/>
            <w:tcBorders>
              <w:bottom w:val="single" w:sz="8" w:color="CCEEFF"/>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147,458</w:t>
            </w:r>
          </w:p>
        </w:tc>
      </w:tr>
    </w:tbl>
    <w:p>
      <w:pPr>
        <w:spacing w:after="0" w:line="15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location of the (gain) loss reclassified from "Accumulated other comprehensive loss" into earnings on the Consolidated Statements of Income (in thousands):</w:t>
      </w: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6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9"/>
        </w:trPr>
        <w:tc>
          <w:tcPr>
            <w:tcW w:w="368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0" w:hanging="374"/>
        <w:spacing w:after="0"/>
        <w:tabs>
          <w:tab w:leader="none" w:pos="4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in the amounts driven by changes in forward interest rates.</w:t>
      </w:r>
    </w:p>
    <w:p>
      <w:pPr>
        <w:spacing w:after="0" w:line="1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September 27, 2024, the Company has a Euro denominated term loan in the amount of €93.8 million. The term loan was designated as a hedge of the Company's net Euro currency exposure represented by certain holdings in the Company's European affiliates.</w:t>
      </w:r>
    </w:p>
    <w:p>
      <w:pPr>
        <w:spacing w:after="0" w:line="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September 27, 2024, the net of tax gain expected to be reclassified from "Accumulated other comprehensive loss" into earnings over the next twelve months based on current market rates is approximately $21.9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0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has lease arrangements primarily related to real estate, vehicles and equipment, which generally have terms of one to 25 years. Finance leases primarily relate to vehicles and certain real estate. In addition, there can be leases identified in the Company's revenue contracts with customers, which generally include fixed or variable lease payments. The Company assesses whether an arrangement is a lease, or contains a lease, upon inception of the related contract. A right-of-use asset and corresponding lease liability are not recorded for leases with an initial term of 12 months or less ("short-term leases"). Certain of the Company's lease arrangements, primarily vehicle leases, with terms of one to 8 years, contain provisions related to residual value guarantees. The maximum potential liability to the Company under such arrangements was approximately $35.8 million at September 27, 2024 if the terminal fair value of vehicles coming off lease was zero. Consistent with past experience, management does not expect any significant payments will be required pursuant to these arrangements. No amounts have been accrued for guarantee arrangements at September 27, 2024.</w:t>
      </w:r>
    </w:p>
    <w:p>
      <w:pPr>
        <w:spacing w:after="0" w:line="7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recognizes operating lease liabilities and operating lease right-of-use assets on its Consolidated Balance Sheets. Operating lease right-of-use assets represent the Company’s right to use the underlying assets for the lease term and operating lease liabilities represent the Company’s obligation to make lease payments arising from the lease. Operating lease liabilities and operating lease right-of-use assets are recognized at the lease commencement date based on the estimated present value of the lease payments over the lease term. Deferred rent, tenant improvement allowances and prepaid rent are included in the operating lease right-of-use asset balances. Lease expense is recognized on a straight-line basis over the expected lease term. The Company has lease agreements with lease and non-lease components. Non-lease components are combined with the related lease components and accounted for as lease components for all classes of underlying assets.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Variable lease payments, which primarily consist of leases associated with the Company's revenue contracts with customers, real estate taxes, common area maintenance charges, insurance costs and other operating expenses, are not included in the operating lease right-of-use asset or operating lease liability balances and are recognized in the period in which the expenses are incurred. The Company's lease terms may include options to extend or terminate the lease when it is reasonably certain they will be exercised or not, respectively. Options to extend lease terms that are reasonably certain of exercise are recognized as part of the operating lease right-of-use asset and operating lease liability balances.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required to discount its future minimum lease payments using the interest rate implicit in the lease or, if that rate cannot be readily determined, its incremental borrowing rate. The Company primarily uses its incremental borrowing rate as the discount rate. The Company uses a portfolio approach to determine the incremental borrowing rate based on the geographic location of the lease and the remaining lease term. The incremental borrowing rate is calculated using a base line rate plus an applicable margin.</w:t>
      </w:r>
    </w:p>
    <w:p>
      <w:pPr>
        <w:spacing w:after="0" w:line="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of the operating and finance leases in the Company’s Consolidated Balance Sheets (in thousands), as well as the weighted average remaining lease term and weighted average discount rate: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86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200" w:type="dxa"/>
            <w:vAlign w:val="bottom"/>
          </w:tcPr>
          <w:p>
            <w:pPr>
              <w:spacing w:after="0"/>
              <w:rPr>
                <w:sz w:val="16"/>
                <w:szCs w:val="16"/>
                <w:color w:val="auto"/>
              </w:rPr>
            </w:pPr>
          </w:p>
        </w:tc>
        <w:tc>
          <w:tcPr>
            <w:tcW w:w="16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3660" w:type="dxa"/>
            <w:vAlign w:val="bottom"/>
            <w:gridSpan w:val="2"/>
          </w:tcPr>
          <w:p>
            <w:pPr>
              <w:ind w:left="460"/>
              <w:spacing w:after="0" w:line="230" w:lineRule="exact"/>
              <w:rPr>
                <w:sz w:val="20"/>
                <w:szCs w:val="20"/>
                <w:color w:val="auto"/>
              </w:rPr>
            </w:pPr>
            <w:r>
              <w:rPr>
                <w:rFonts w:ascii="Times New Roman" w:cs="Times New Roman" w:eastAsia="Times New Roman" w:hAnsi="Times New Roman"/>
                <w:sz w:val="18"/>
                <w:szCs w:val="18"/>
                <w:color w:val="auto"/>
              </w:rPr>
              <w:t>Operating</w:t>
            </w:r>
            <w:r>
              <w:rPr>
                <w:rFonts w:ascii="Times New Roman" w:cs="Times New Roman" w:eastAsia="Times New Roman" w:hAnsi="Times New Roman"/>
                <w:sz w:val="23"/>
                <w:szCs w:val="23"/>
                <w:color w:val="auto"/>
                <w:vertAlign w:val="superscript"/>
              </w:rPr>
              <w:t>(1)(2)</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638,659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572,268</w:t>
            </w:r>
          </w:p>
        </w:tc>
      </w:tr>
      <w:tr>
        <w:trPr>
          <w:trHeight w:val="229"/>
        </w:trPr>
        <w:tc>
          <w:tcPr>
            <w:tcW w:w="3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w:t>
            </w: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38,224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30,621</w:t>
            </w: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676,883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602,889</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6"/>
        </w:trPr>
        <w:tc>
          <w:tcPr>
            <w:tcW w:w="36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3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w:t>
            </w: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51,271</w:t>
            </w:r>
          </w:p>
        </w:tc>
      </w:tr>
      <w:tr>
        <w:trPr>
          <w:trHeight w:val="229"/>
        </w:trPr>
        <w:tc>
          <w:tcPr>
            <w:tcW w:w="36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Finance</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borrowings</w:t>
            </w:r>
          </w:p>
        </w:tc>
        <w:tc>
          <w:tcPr>
            <w:tcW w:w="22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3,753</w:t>
            </w:r>
          </w:p>
        </w:tc>
      </w:tr>
      <w:tr>
        <w:trPr>
          <w:trHeight w:val="23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36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Operating</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241,012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245,871</w:t>
            </w:r>
          </w:p>
        </w:tc>
      </w:tr>
      <w:tr>
        <w:trPr>
          <w:trHeight w:val="230"/>
        </w:trPr>
        <w:tc>
          <w:tcPr>
            <w:tcW w:w="3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w:t>
            </w: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34,541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28,180</w:t>
            </w: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335,615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329,075</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bl>
    <w:p>
      <w:pPr>
        <w:ind w:left="20"/>
        <w:spacing w:after="0" w:line="221" w:lineRule="auto"/>
        <w:rPr>
          <w:sz w:val="20"/>
          <w:szCs w:val="20"/>
          <w:color w:val="auto"/>
        </w:rPr>
      </w:pPr>
      <w:r>
        <w:rPr>
          <w:rFonts w:ascii="Times New Roman" w:cs="Times New Roman" w:eastAsia="Times New Roman" w:hAnsi="Times New Roman"/>
          <w:sz w:val="18"/>
          <w:szCs w:val="18"/>
          <w:color w:val="auto"/>
        </w:rPr>
        <w:t>Weighted average remaining lease term (in</w:t>
      </w:r>
    </w:p>
    <w:p>
      <w:pPr>
        <w:ind w:left="20"/>
        <w:spacing w:after="0"/>
        <w:rPr>
          <w:sz w:val="20"/>
          <w:szCs w:val="20"/>
          <w:color w:val="auto"/>
        </w:rPr>
      </w:pPr>
      <w:r>
        <w:rPr>
          <w:rFonts w:ascii="Times New Roman" w:cs="Times New Roman" w:eastAsia="Times New Roman" w:hAnsi="Times New Roman"/>
          <w:sz w:val="18"/>
          <w:szCs w:val="18"/>
          <w:color w:val="auto"/>
        </w:rPr>
        <w:t>years)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leases</w:t>
            </w:r>
          </w:p>
        </w:tc>
        <w:tc>
          <w:tcPr>
            <w:tcW w:w="44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6.9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5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Finance leases</w:t>
            </w:r>
          </w:p>
        </w:tc>
        <w:tc>
          <w:tcPr>
            <w:tcW w:w="44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14.7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leases</w:t>
            </w:r>
          </w:p>
        </w:tc>
        <w:tc>
          <w:tcPr>
            <w:tcW w:w="44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4.6 %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5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leases</w:t>
            </w:r>
          </w:p>
        </w:tc>
        <w:tc>
          <w:tcPr>
            <w:tcW w:w="44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6.0 %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bl>
    <w:p>
      <w:pPr>
        <w:spacing w:after="0" w:line="198" w:lineRule="exact"/>
        <w:rPr>
          <w:sz w:val="20"/>
          <w:szCs w:val="20"/>
          <w:color w:val="auto"/>
        </w:rPr>
      </w:pPr>
    </w:p>
    <w:p>
      <w:pPr>
        <w:ind w:left="400" w:hanging="374"/>
        <w:spacing w:after="0"/>
        <w:tabs>
          <w:tab w:leader="none" w:pos="4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$384.1 million and $320.1 million of long-term prepaid rent as of September 27, 2024 and September 29, 2023, respectively.</w:t>
      </w:r>
    </w:p>
    <w:p>
      <w:pPr>
        <w:spacing w:after="0" w:line="26" w:lineRule="exact"/>
        <w:rPr>
          <w:rFonts w:ascii="Times New Roman" w:cs="Times New Roman" w:eastAsia="Times New Roman" w:hAnsi="Times New Roman"/>
          <w:sz w:val="13"/>
          <w:szCs w:val="13"/>
          <w:color w:val="auto"/>
        </w:rPr>
      </w:pPr>
    </w:p>
    <w:p>
      <w:pPr>
        <w:ind w:left="400" w:hanging="374"/>
        <w:spacing w:after="0"/>
        <w:tabs>
          <w:tab w:leader="none" w:pos="4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fiscal 2023, the Company recorded impairment charges to its Operating Lease Right-of-use Assets (see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location of lease related costs on the Consolidated Statements of Income (in thousands):</w:t>
      </w:r>
    </w:p>
    <w:p>
      <w:pPr>
        <w:spacing w:after="0" w:line="124"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gridSpan w:val="2"/>
            <w:vMerge w:val="continue"/>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60" w:type="dxa"/>
            <w:vAlign w:val="bottom"/>
          </w:tcPr>
          <w:p>
            <w:pPr>
              <w:spacing w:after="0"/>
              <w:rPr>
                <w:sz w:val="16"/>
                <w:szCs w:val="16"/>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9"/>
        </w:trPr>
        <w:tc>
          <w:tcPr>
            <w:tcW w:w="286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60" w:type="dxa"/>
            <w:vAlign w:val="bottom"/>
            <w:gridSpan w:val="2"/>
          </w:tcPr>
          <w:p>
            <w:pPr>
              <w:ind w:left="440"/>
              <w:spacing w:after="0" w:line="184" w:lineRule="exact"/>
              <w:rPr>
                <w:sz w:val="20"/>
                <w:szCs w:val="20"/>
                <w:color w:val="auto"/>
              </w:rPr>
            </w:pPr>
            <w:r>
              <w:rPr>
                <w:rFonts w:ascii="Times New Roman" w:cs="Times New Roman" w:eastAsia="Times New Roman" w:hAnsi="Times New Roman"/>
                <w:sz w:val="18"/>
                <w:szCs w:val="18"/>
                <w:color w:val="auto"/>
              </w:rPr>
              <w:t>Fixed lease costs</w:t>
            </w:r>
          </w:p>
        </w:tc>
        <w:tc>
          <w:tcPr>
            <w:tcW w:w="2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services provided</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(exclusive of depreciation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117,584</w:t>
            </w: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110,393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97,231</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60" w:type="dxa"/>
            <w:vAlign w:val="bottom"/>
            <w:gridSpan w:val="2"/>
            <w:shd w:val="clear" w:color="auto" w:fill="CCEEFF"/>
          </w:tcPr>
          <w:p>
            <w:pPr>
              <w:ind w:left="440"/>
              <w:spacing w:after="0" w:line="185" w:lineRule="exact"/>
              <w:rPr>
                <w:sz w:val="20"/>
                <w:szCs w:val="20"/>
                <w:color w:val="auto"/>
              </w:rPr>
            </w:pPr>
            <w:r>
              <w:rPr>
                <w:rFonts w:ascii="Times New Roman" w:cs="Times New Roman" w:eastAsia="Times New Roman" w:hAnsi="Times New Roman"/>
                <w:sz w:val="17"/>
                <w:szCs w:val="17"/>
                <w:color w:val="auto"/>
              </w:rPr>
              <w:t>Variable lease costs</w:t>
            </w:r>
            <w:r>
              <w:rPr>
                <w:rFonts w:ascii="Times New Roman" w:cs="Times New Roman" w:eastAsia="Times New Roman" w:hAnsi="Times New Roman"/>
                <w:sz w:val="21"/>
                <w:szCs w:val="21"/>
                <w:color w:val="auto"/>
                <w:vertAlign w:val="superscript"/>
              </w:rPr>
              <w:t>(2)</w:t>
            </w:r>
          </w:p>
        </w:tc>
        <w:tc>
          <w:tcPr>
            <w:tcW w:w="2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services provided</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(exclusive of depreciation and</w:t>
            </w: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1,052,310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765,323</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60" w:type="dxa"/>
            <w:vAlign w:val="bottom"/>
            <w:gridSpan w:val="2"/>
          </w:tcPr>
          <w:p>
            <w:pPr>
              <w:ind w:left="440"/>
              <w:spacing w:after="0" w:line="184" w:lineRule="exact"/>
              <w:rPr>
                <w:sz w:val="20"/>
                <w:szCs w:val="20"/>
                <w:color w:val="auto"/>
              </w:rPr>
            </w:pPr>
            <w:r>
              <w:rPr>
                <w:rFonts w:ascii="Times New Roman" w:cs="Times New Roman" w:eastAsia="Times New Roman" w:hAnsi="Times New Roman"/>
                <w:sz w:val="18"/>
                <w:szCs w:val="18"/>
                <w:color w:val="auto"/>
              </w:rPr>
              <w:t>Short-term lease costs</w:t>
            </w:r>
          </w:p>
        </w:tc>
        <w:tc>
          <w:tcPr>
            <w:tcW w:w="2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services provided</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(exclusive of depreciation and</w:t>
            </w: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80,816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79,788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65,355</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Finance lease cost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60" w:type="dxa"/>
            <w:vAlign w:val="bottom"/>
            <w:gridSpan w:val="2"/>
          </w:tcPr>
          <w:p>
            <w:pPr>
              <w:ind w:left="440"/>
              <w:spacing w:after="0" w:line="184" w:lineRule="exact"/>
              <w:rPr>
                <w:sz w:val="20"/>
                <w:szCs w:val="20"/>
                <w:color w:val="auto"/>
              </w:rPr>
            </w:pPr>
            <w:r>
              <w:rPr>
                <w:rFonts w:ascii="Times New Roman" w:cs="Times New Roman" w:eastAsia="Times New Roman" w:hAnsi="Times New Roman"/>
                <w:sz w:val="18"/>
                <w:szCs w:val="18"/>
                <w:color w:val="auto"/>
              </w:rPr>
              <w:t>Amortization of right-of-use-</w:t>
            </w:r>
          </w:p>
        </w:tc>
        <w:tc>
          <w:tcPr>
            <w:tcW w:w="2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assets</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29"/>
        </w:trPr>
        <w:tc>
          <w:tcPr>
            <w:tcW w:w="2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lease cost</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1,258,672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1,118,392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932,770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00" w:hanging="374"/>
        <w:spacing w:after="0"/>
        <w:tabs>
          <w:tab w:leader="none" w:pos="400" w:val="left"/>
        </w:tabs>
        <w:numPr>
          <w:ilvl w:val="0"/>
          <w:numId w:val="6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Excludes sublease income, which is immaterial.</w:t>
      </w:r>
    </w:p>
    <w:p>
      <w:pPr>
        <w:spacing w:after="0" w:line="119" w:lineRule="exact"/>
        <w:rPr>
          <w:rFonts w:ascii="Times New Roman" w:cs="Times New Roman" w:eastAsia="Times New Roman" w:hAnsi="Times New Roman"/>
          <w:sz w:val="25"/>
          <w:szCs w:val="25"/>
          <w:color w:val="auto"/>
          <w:vertAlign w:val="superscript"/>
        </w:rPr>
      </w:pPr>
    </w:p>
    <w:p>
      <w:pPr>
        <w:ind w:left="400" w:right="460" w:hanging="374"/>
        <w:spacing w:after="0" w:line="180" w:lineRule="auto"/>
        <w:tabs>
          <w:tab w:leader="none" w:pos="400" w:val="left"/>
        </w:tabs>
        <w:numPr>
          <w:ilvl w:val="0"/>
          <w:numId w:val="60"/>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1"/>
          <w:szCs w:val="11"/>
          <w:color w:val="auto"/>
        </w:rPr>
        <w:t>Includes $1,027.9 million, $903.4 million and $745.6 million of costs related to leases associated with revenue contracts with customers for fiscal 2024, fiscal 2023 and fiscal 2022, respectively. These costs represent the rent the Company pays its clients to operate at their locations, typically based on a percentage of sales.</w:t>
      </w:r>
    </w:p>
    <w:p>
      <w:pPr>
        <w:ind w:left="400" w:hanging="374"/>
        <w:spacing w:after="0" w:line="214" w:lineRule="auto"/>
        <w:tabs>
          <w:tab w:leader="none" w:pos="400" w:val="left"/>
        </w:tabs>
        <w:numPr>
          <w:ilvl w:val="0"/>
          <w:numId w:val="6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Excludes variable lease costs, which are immaterial.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periods reported is as follows (in thousands):</w:t>
      </w:r>
    </w:p>
    <w:p>
      <w:pPr>
        <w:spacing w:after="0" w:line="138"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33655</wp:posOffset>
            </wp:positionV>
            <wp:extent cx="33343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5" w:lineRule="exact"/>
        <w:rPr>
          <w:sz w:val="20"/>
          <w:szCs w:val="20"/>
          <w:color w:val="auto"/>
        </w:rPr>
      </w:pPr>
    </w:p>
    <w:p>
      <w:pPr>
        <w:ind w:left="6220"/>
        <w:spacing w:after="0"/>
        <w:tabs>
          <w:tab w:leader="none" w:pos="7980" w:val="left"/>
          <w:tab w:leader="none" w:pos="9760" w:val="left"/>
        </w:tabs>
        <w:rPr>
          <w:sz w:val="20"/>
          <w:szCs w:val="20"/>
          <w:color w:val="auto"/>
        </w:rPr>
      </w:pPr>
      <w:r>
        <w:rPr>
          <w:rFonts w:ascii="Times New Roman" w:cs="Times New Roman" w:eastAsia="Times New Roman" w:hAnsi="Times New Roman"/>
          <w:sz w:val="14"/>
          <w:szCs w:val="14"/>
          <w:b w:val="1"/>
          <w:bCs w:val="1"/>
          <w:color w:val="auto"/>
        </w:rPr>
        <w:t>September 27, 2024</w:t>
      </w:r>
      <w:r>
        <w:rPr>
          <w:sz w:val="20"/>
          <w:szCs w:val="20"/>
          <w:color w:val="auto"/>
        </w:rPr>
        <w:tab/>
      </w:r>
      <w:r>
        <w:rPr>
          <w:rFonts w:ascii="Times New Roman" w:cs="Times New Roman" w:eastAsia="Times New Roman" w:hAnsi="Times New Roman"/>
          <w:sz w:val="14"/>
          <w:szCs w:val="14"/>
          <w:b w:val="1"/>
          <w:bCs w:val="1"/>
          <w:color w:val="auto"/>
        </w:rPr>
        <w:t>September 29, 2023</w:t>
      </w:r>
      <w:r>
        <w:rPr>
          <w:sz w:val="20"/>
          <w:szCs w:val="20"/>
          <w:color w:val="auto"/>
        </w:rPr>
        <w:tab/>
      </w:r>
      <w:r>
        <w:rPr>
          <w:rFonts w:ascii="Times New Roman" w:cs="Times New Roman" w:eastAsia="Times New Roman" w:hAnsi="Times New Roman"/>
          <w:sz w:val="14"/>
          <w:szCs w:val="14"/>
          <w:b w:val="1"/>
          <w:bCs w:val="1"/>
          <w:color w:val="auto"/>
        </w:rPr>
        <w:t>September 30, 2022</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596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Operating cash flows from operating leases</w:t>
            </w:r>
            <w:r>
              <w:rPr>
                <w:rFonts w:ascii="Times New Roman" w:cs="Times New Roman" w:eastAsia="Times New Roman" w:hAnsi="Times New Roman"/>
                <w:sz w:val="23"/>
                <w:szCs w:val="23"/>
                <w:color w:val="auto"/>
                <w:vertAlign w:val="superscript"/>
              </w:rPr>
              <w:t>(1)</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192,391</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170,457</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110,747</w:t>
            </w:r>
          </w:p>
        </w:tc>
      </w:tr>
      <w:tr>
        <w:trPr>
          <w:trHeight w:val="230"/>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30"/>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lease obligations:</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62,219</w:t>
            </w:r>
          </w:p>
        </w:tc>
      </w:tr>
      <w:tr>
        <w:trPr>
          <w:trHeight w:val="230"/>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leases</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r>
    </w:tbl>
    <w:p>
      <w:pPr>
        <w:spacing w:after="0" w:line="198" w:lineRule="exact"/>
        <w:rPr>
          <w:sz w:val="20"/>
          <w:szCs w:val="20"/>
          <w:color w:val="auto"/>
        </w:rPr>
      </w:pPr>
    </w:p>
    <w:p>
      <w:pPr>
        <w:ind w:left="400" w:right="160" w:hanging="374"/>
        <w:spacing w:after="0" w:line="225" w:lineRule="auto"/>
        <w:tabs>
          <w:tab w:leader="none" w:pos="4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fiscal 2024, excludes cash paid for variable and short-term lease costs of $1,039.0 million and $80.8 million, respectively, that are not included within the measurement of lease liabilities. For fiscal 2023, excludes cash paid for variable and short-term lease costs of $909.1 million and $79.8 million, respectively, that are not included within the measurement of lease liabilities. For fiscal 2022, excludes cash paid for variable and short-term lease costs of $725.1 million and $65.4 million, respectively, that are not included within the measurement of lease liabilities.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of September 27, 2024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74,171</w:t>
            </w:r>
          </w:p>
        </w:tc>
      </w:tr>
      <w:tr>
        <w:trPr>
          <w:trHeight w:val="229"/>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65,681</w:t>
            </w:r>
          </w:p>
        </w:tc>
      </w:tr>
      <w:tr>
        <w:trPr>
          <w:trHeight w:val="230"/>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54,531</w:t>
            </w:r>
          </w:p>
        </w:tc>
      </w:tr>
      <w:tr>
        <w:trPr>
          <w:trHeight w:val="229"/>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43,631</w:t>
            </w:r>
          </w:p>
        </w:tc>
      </w:tr>
      <w:tr>
        <w:trPr>
          <w:trHeight w:val="229"/>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34,928</w:t>
            </w:r>
          </w:p>
        </w:tc>
      </w:tr>
      <w:tr>
        <w:trPr>
          <w:trHeight w:val="230"/>
        </w:trPr>
        <w:tc>
          <w:tcPr>
            <w:tcW w:w="5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131,247</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404,189</w:t>
            </w:r>
          </w:p>
        </w:tc>
      </w:tr>
      <w:tr>
        <w:trPr>
          <w:trHeight w:val="230"/>
        </w:trPr>
        <w:tc>
          <w:tcPr>
            <w:tcW w:w="5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(68,574)</w:t>
            </w: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335,615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REVENUE RECOGNITION: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generates revenue through sales of food and facility services to customers based on written contracts at the locations it serves. The Company provides food and beverage services, including catering and retail services, and facilities services, including plant operations and maintenance, custodial, housekeeping, landscaping and other services.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9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revenue source (in millions):</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5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Business &amp; Industry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w:t>
            </w:r>
          </w:p>
        </w:tc>
      </w:tr>
      <w:tr>
        <w:trPr>
          <w:trHeight w:val="229"/>
        </w:trPr>
        <w:tc>
          <w:tcPr>
            <w:tcW w:w="57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Education</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3,161.5</w:t>
            </w:r>
          </w:p>
        </w:tc>
      </w:tr>
      <w:tr>
        <w:trPr>
          <w:trHeight w:val="230"/>
        </w:trPr>
        <w:tc>
          <w:tcPr>
            <w:tcW w:w="5740" w:type="dxa"/>
            <w:vAlign w:val="bottom"/>
          </w:tcPr>
          <w:p>
            <w:pPr>
              <w:ind w:left="620"/>
              <w:spacing w:after="0" w:line="230" w:lineRule="exact"/>
              <w:rPr>
                <w:sz w:val="20"/>
                <w:szCs w:val="20"/>
                <w:color w:val="auto"/>
              </w:rPr>
            </w:pPr>
            <w:r>
              <w:rPr>
                <w:rFonts w:ascii="Times New Roman" w:cs="Times New Roman" w:eastAsia="Times New Roman" w:hAnsi="Times New Roman"/>
                <w:sz w:val="18"/>
                <w:szCs w:val="18"/>
                <w:color w:val="auto"/>
              </w:rPr>
              <w:t>Healthcare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1,581.4</w:t>
            </w:r>
          </w:p>
        </w:tc>
      </w:tr>
      <w:tr>
        <w:trPr>
          <w:trHeight w:val="229"/>
        </w:trPr>
        <w:tc>
          <w:tcPr>
            <w:tcW w:w="57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2,722.0</w:t>
            </w:r>
          </w:p>
        </w:tc>
      </w:tr>
      <w:tr>
        <w:trPr>
          <w:trHeight w:val="229"/>
        </w:trPr>
        <w:tc>
          <w:tcPr>
            <w:tcW w:w="5740" w:type="dxa"/>
            <w:vAlign w:val="bottom"/>
            <w:tcBorders>
              <w:bottom w:val="single" w:sz="8" w:color="CCEEFF"/>
            </w:tcBorders>
          </w:tcPr>
          <w:p>
            <w:pPr>
              <w:ind w:left="620"/>
              <w:spacing w:after="0" w:line="230" w:lineRule="exact"/>
              <w:rPr>
                <w:sz w:val="20"/>
                <w:szCs w:val="20"/>
                <w:color w:val="auto"/>
              </w:rPr>
            </w:pPr>
            <w:r>
              <w:rPr>
                <w:rFonts w:ascii="Times New Roman" w:cs="Times New Roman" w:eastAsia="Times New Roman" w:hAnsi="Times New Roman"/>
                <w:sz w:val="18"/>
                <w:szCs w:val="18"/>
                <w:color w:val="auto"/>
              </w:rPr>
              <w:t>Facilities &amp; Other</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1,484.7</w:t>
            </w:r>
          </w:p>
        </w:tc>
      </w:tr>
      <w:tr>
        <w:trPr>
          <w:trHeight w:val="223"/>
        </w:trPr>
        <w:tc>
          <w:tcPr>
            <w:tcW w:w="5740" w:type="dxa"/>
            <w:vAlign w:val="bottom"/>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color w:val="auto"/>
              </w:rPr>
              <w:t>Total FSS United States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10,030.8</w:t>
            </w:r>
          </w:p>
        </w:tc>
      </w:tr>
      <w:tr>
        <w:trPr>
          <w:trHeight w:val="270"/>
        </w:trPr>
        <w:tc>
          <w:tcPr>
            <w:tcW w:w="5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1,853.3</w:t>
            </w:r>
          </w:p>
        </w:tc>
      </w:tr>
      <w:tr>
        <w:trPr>
          <w:trHeight w:val="229"/>
        </w:trPr>
        <w:tc>
          <w:tcPr>
            <w:tcW w:w="57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Rest of World</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1,803.1</w:t>
            </w:r>
          </w:p>
        </w:tc>
      </w:tr>
      <w:tr>
        <w:trPr>
          <w:trHeight w:val="223"/>
        </w:trPr>
        <w:tc>
          <w:tcPr>
            <w:tcW w:w="574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rPr>
              <w:t>Total FSS International</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3,656.4</w:t>
            </w:r>
          </w:p>
        </w:tc>
      </w:tr>
      <w:tr>
        <w:trPr>
          <w:trHeight w:val="270"/>
        </w:trPr>
        <w:tc>
          <w:tcPr>
            <w:tcW w:w="57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13,687.2</w:t>
            </w:r>
          </w:p>
        </w:tc>
      </w:tr>
      <w:tr>
        <w:trPr>
          <w:trHeight w:val="21"/>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00" w:right="360" w:hanging="374"/>
        <w:spacing w:after="0" w:line="229" w:lineRule="auto"/>
        <w:tabs>
          <w:tab w:leader="none" w:pos="431"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fiscal 2024, management began reporting results for healthcare facility services within "Healthcare," whereas the results were previously reported within "Facilities &amp; Other." As such, the "Healthcare" and "Facilities &amp; Other" results for the fiscal years ended September 29, 2023 and September 30, 2022 were recast to reflect this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defers sales commissions earned by its sales force that are considered to be incremental and recoverable costs of obtaining a contract tied to its food and facilities services. The deferred costs are amortized using the portfolio approach on a straight line basis over the average period of benefit, approximately 5.4 years, and are assessed for impairment on a periodic basis. Determination of the amortization period and the subsequent assessment for impairment of the contract cost asset requires judgment. Employee sales commissions are recorded within "Other Assets" on the Consolidated Balance Sheets (see Note 1).</w:t>
      </w:r>
    </w:p>
    <w:p>
      <w:pPr>
        <w:spacing w:after="0" w:line="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Leasehold improvements and costs to fulfill contracts include payments made by the Company to enhance the service resources used by the Company to satisfy its performance obligation. These amounts are amortized on a straight-line basis over the contract period. If a contract is terminated prior to its maturity date, the Company is typically reimbursed for the unamortized amount. As of September 27, 2024 and September 29, 2023, the Company had $835.6 million and $775.1 million of leasehold improvements capitalized in "Property and equipment, net" on the Consolidated Balance Sheets. Cost to fulfill - Client is recorded within "Other Assets" on the Consolidated Balance Sheets (see Note 1).</w:t>
      </w:r>
    </w:p>
    <w:p>
      <w:pPr>
        <w:spacing w:after="0" w:line="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Long-term prepaid rent is amortized over the contract period. If a contract is terminated prior to its maturity date, the Company is typically reimbursed for the unamortized amount. Long-term prepaid rent is recorded within "Operating Lease Right-of use Assets" on the Consolidated Balance Sheets (see Note 8).</w:t>
      </w:r>
    </w:p>
    <w:p>
      <w:pPr>
        <w:spacing w:after="0" w:line="4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of the expense recorded on the Consolidated Statements of Income related to the Company's contract balances (in millions):</w:t>
      </w:r>
    </w:p>
    <w:p>
      <w:pPr>
        <w:sectPr>
          <w:pgSz w:w="11900" w:h="16838" w:orient="portrait"/>
          <w:cols w:equalWidth="0" w:num="1">
            <w:col w:w="11240"/>
          </w:cols>
          <w:pgMar w:left="320" w:top="175" w:right="339" w:bottom="1440" w:gutter="0" w:footer="0" w:header="0"/>
        </w:sect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34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0" w:type="dxa"/>
            <w:vAlign w:val="bottom"/>
          </w:tcPr>
          <w:p>
            <w:pPr>
              <w:spacing w:after="0"/>
              <w:rPr>
                <w:sz w:val="1"/>
                <w:szCs w:val="1"/>
                <w:color w:val="auto"/>
              </w:rPr>
            </w:pPr>
          </w:p>
        </w:tc>
      </w:tr>
      <w:tr>
        <w:trPr>
          <w:trHeight w:val="23"/>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Employee sales commissions</w:t>
            </w: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60" w:type="dxa"/>
            <w:vAlign w:val="bottom"/>
            <w:vMerge w:val="continue"/>
          </w:tcPr>
          <w:p>
            <w:pPr>
              <w:spacing w:after="0"/>
              <w:rPr>
                <w:sz w:val="14"/>
                <w:szCs w:val="14"/>
                <w:color w:val="auto"/>
              </w:rPr>
            </w:pPr>
          </w:p>
        </w:tc>
        <w:tc>
          <w:tcPr>
            <w:tcW w:w="34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Cost of services provided (exclusive of</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0" w:type="dxa"/>
            <w:vAlign w:val="bottom"/>
          </w:tcPr>
          <w:p>
            <w:pPr>
              <w:spacing w:after="0"/>
              <w:rPr>
                <w:sz w:val="1"/>
                <w:szCs w:val="1"/>
                <w:color w:val="auto"/>
              </w:rPr>
            </w:pPr>
          </w:p>
        </w:tc>
      </w:tr>
      <w:tr>
        <w:trPr>
          <w:trHeight w:val="23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Cost to fulfill - Client</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0" w:type="dxa"/>
            <w:vAlign w:val="bottom"/>
          </w:tcPr>
          <w:p>
            <w:pPr>
              <w:spacing w:after="0"/>
              <w:rPr>
                <w:sz w:val="1"/>
                <w:szCs w:val="1"/>
                <w:color w:val="auto"/>
              </w:rPr>
            </w:pPr>
          </w:p>
        </w:tc>
      </w:tr>
      <w:tr>
        <w:trPr>
          <w:trHeight w:val="180"/>
        </w:trPr>
        <w:tc>
          <w:tcPr>
            <w:tcW w:w="2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Long-term prepaid rent</w:t>
            </w:r>
          </w:p>
        </w:tc>
        <w:tc>
          <w:tcPr>
            <w:tcW w:w="3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Cost of services provided (exclusive of</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71323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413"/>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4"/>
        </w:trPr>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324"/>
        </w:trPr>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bl>
    <w:p>
      <w:pPr>
        <w:spacing w:after="0" w:line="251" w:lineRule="exact"/>
        <w:rPr>
          <w:sz w:val="20"/>
          <w:szCs w:val="20"/>
          <w:color w:val="auto"/>
        </w:rPr>
      </w:pPr>
    </w:p>
    <w:p>
      <w:pPr>
        <w:sectPr>
          <w:pgSz w:w="11900" w:h="16838" w:orient="portrait"/>
          <w:cols w:equalWidth="0" w:num="2">
            <w:col w:w="5900" w:space="80"/>
            <w:col w:w="5260"/>
          </w:cols>
          <w:pgMar w:left="320" w:top="175" w:right="339" w:bottom="1440" w:gutter="0" w:footer="0" w:header="0"/>
          <w:type w:val="continuous"/>
        </w:sect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Deferred income is recognized in "Accrued expenses and other current liabilities" and "Other Noncurrent Liabilities" on the Consolidated Balance Sheets when the Company has received consideration, or has the right to receive consideration, in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advance of the transfer of the performance obligation of the contract to the customer, primarily prepaid meal plans. The consideration received remains a liability until the goods or services have been provided to the customer, which are primarily prepaid meal plans. The Company classifies deferred income as current if the deferred income is expected to be recognized in the next 12 months or as noncurrent if the deferred income is expected to be recognized in excess of the next 12 months. If the Company cannot render its performance obligation according to contract terms after receiving the consideration in advance, amounts may be contractually required to be refunded to the customer.</w:t>
      </w:r>
    </w:p>
    <w:p>
      <w:pPr>
        <w:spacing w:after="0" w:line="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fiscal year ended September 27, 2024, deferred income increased related to customer prepayments and decreased related to income recognized during the period as a result of satisfying the performance obligation or return of funds related to non-performance. For the fiscal year ended September 27, 2024, the Company recognized $302.0 million of revenue that was included in deferred income at the beginning of the period. Deferred income balances are summarized in the following table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PENSION AND PROFIT SHARING PLANS: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United States, the Company maintains qualified contributory and non-contributory defined contribution retirement plans for eligible employees, with Company contributions to the plans based on earnings performance or salary level. The Company also has a non-qualified retirement savings plan for certain employees. The total expense of the above plans for fiscal 2024, fiscal 2023 and fiscal 2022 was $24.7 million, $23.1 million and $21.8 million, respectively. The Company also maintains similar contributory and non-contributory defined contribution retirement plans at several of its international operations, primarily in Canada and the United Kingdom. The total expense of these international plans for fiscal 2024, fiscal 2023 and fiscal 2022 was $16.9 million, $13.4 million and $13.1 million, respectively.</w:t>
      </w:r>
    </w:p>
    <w:p>
      <w:pPr>
        <w:spacing w:after="0" w:line="6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plan assets and projected benefit obligation for the Company's single-employer defined benefit pension plans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125,757</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92,768</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fair value of plan assets for the Company's defined benefit pension plans as of September 27, 2024 and September 29, 2023 is as follows (see Note 17 for a description of the fair value levels)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3"/>
                <w:szCs w:val="13"/>
                <w:color w:val="auto"/>
              </w:rPr>
            </w:pPr>
          </w:p>
        </w:tc>
        <w:tc>
          <w:tcPr>
            <w:tcW w:w="15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5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5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funds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Fixed income funds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140,992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7"/>
                <w:szCs w:val="17"/>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7"/>
                <w:szCs w:val="17"/>
                <w:color w:val="auto"/>
              </w:rPr>
            </w:pPr>
          </w:p>
        </w:tc>
        <w:tc>
          <w:tcPr>
            <w:tcW w:w="15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5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5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funds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Fixed income funds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direct cash holdings, which are valued based on cost, and short-term deposits and investments in money market funds, for which fair value measurements are all based on quoted prices for similar assets or liabilities in markets that are active. The fair value of the investment funds is based on the value of the underlying assets, as reported to the Plan by the trustees. They are comprised of a portfolio of underlying securities that can be valued based on trading information on active markets. The fair value is calculated by applying the Plan's percentage ownership in the fund to the total market value of the account's underlying securities and is therefore categorized as Level 2, as the Plan does not directly own shares in these underlying investments. Insurance contracts and real estate investments are valued based on unobservable inputs and are therefore categorized as Level 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Multiemployer Defined Benefit Pension Plans</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contributes to a number of multiemployer defined benefit pension plans under the terms of collective-bargaining agreements ("CBA") that cover its union-represented employees. The risks of participating in these multiemployer plans are different from single-employer plans in the following respects:</w:t>
      </w:r>
    </w:p>
    <w:p>
      <w:pPr>
        <w:spacing w:after="0" w:line="54" w:lineRule="exact"/>
        <w:rPr>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90"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4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some of its multiemployer plans, the Company may be required to pay those plans an amount based on the underfunded status of the plan, referred to as a withdrawal liability.</w:t>
      </w:r>
    </w:p>
    <w:p>
      <w:pPr>
        <w:spacing w:after="0" w:line="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Company's participation in these plans for fiscal 2024 is outlined in the table below. The "EIN/Pension Plan Number" column provides the Employee Identification Number (EIN) and the three-digit plan number, if applicable. Unless otherwise noted, the most recent Pension Protection Act (PPA) zone status available in 2024 and 2023 is for the plans' two most recent fiscal year-ends. The zone status is based on information that the Company received from the plan and is certified by the plan's actuary. Among other factors, plans in the critical and declining zone are generally less than 65% funded and projected to become insolvent in the next 15 or 20 years depending on the ratio of active to inactive participants and plans in the critical zone are generally less than 65% funded. The "FIP/RP Status Pending/Implemented" column indicates plans for which a financial improvement plan (FIP) or a rehabilitation plan (RP) is either pending or has been implemented. The last column lists the expiration date(s) of the CBA(s) to which the plans are subject. There have been no significant changes that affect the comparability of fiscal 2024, fiscal 2023 and fiscal 2022 contributions.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Protection</w:t>
            </w: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Contributions by the Company</w:t>
            </w: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Act Zone Status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FIP/RP Status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0" w:type="dxa"/>
            <w:vAlign w:val="bottom"/>
          </w:tcPr>
          <w:p>
            <w:pPr>
              <w:spacing w:after="0"/>
              <w:rPr>
                <w:sz w:val="1"/>
                <w:szCs w:val="1"/>
                <w:color w:val="auto"/>
              </w:rPr>
            </w:pPr>
          </w:p>
        </w:tc>
      </w:tr>
      <w:tr>
        <w:trPr>
          <w:trHeight w:val="26"/>
        </w:trPr>
        <w:tc>
          <w:tcPr>
            <w:tcW w:w="228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EIN/Pension</w:t>
            </w: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Surcharge</w:t>
            </w: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2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Pending/</w:t>
            </w:r>
          </w:p>
        </w:tc>
        <w:tc>
          <w:tcPr>
            <w:tcW w:w="22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Fund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9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Implemented</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Dates of CBAs</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National Retirement Fund</w:t>
            </w:r>
          </w:p>
        </w:tc>
        <w:tc>
          <w:tcPr>
            <w:tcW w:w="10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13-6130178/</w:t>
            </w:r>
          </w:p>
        </w:tc>
        <w:tc>
          <w:tcPr>
            <w:tcW w:w="9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Critical</w:t>
            </w:r>
          </w:p>
        </w:tc>
        <w:tc>
          <w:tcPr>
            <w:tcW w:w="9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Critical</w:t>
            </w:r>
          </w:p>
        </w:tc>
        <w:tc>
          <w:tcPr>
            <w:tcW w:w="12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1,382</w:t>
            </w:r>
          </w:p>
        </w:tc>
        <w:tc>
          <w:tcPr>
            <w:tcW w:w="240" w:type="dxa"/>
            <w:vAlign w:val="bottom"/>
            <w:shd w:val="clear" w:color="auto" w:fill="CCEEFF"/>
          </w:tcPr>
          <w:p>
            <w:pPr>
              <w:ind w:left="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1,217</w:t>
            </w:r>
          </w:p>
        </w:tc>
        <w:tc>
          <w:tcPr>
            <w:tcW w:w="240" w:type="dxa"/>
            <w:vAlign w:val="bottom"/>
            <w:shd w:val="clear" w:color="auto" w:fill="CCEEFF"/>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1,035</w:t>
            </w:r>
          </w:p>
        </w:tc>
        <w:tc>
          <w:tcPr>
            <w:tcW w:w="9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5/31/2024 -</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9/30/2027</w:t>
            </w: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UNITE HERE Retirement Fund</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82-0994119/</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Critical and</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Critical and</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6,362</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6,217</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5,348</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color w:val="auto"/>
              </w:rPr>
              <w:t>12/31/2022 -</w:t>
            </w: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1/1/2026</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Local 1102 Retirement Trust</w:t>
            </w:r>
          </w:p>
        </w:tc>
        <w:tc>
          <w:tcPr>
            <w:tcW w:w="10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13-1847329/</w:t>
            </w:r>
          </w:p>
        </w:tc>
        <w:tc>
          <w:tcPr>
            <w:tcW w:w="9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Critical and</w:t>
            </w:r>
          </w:p>
        </w:tc>
        <w:tc>
          <w:tcPr>
            <w:tcW w:w="9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Critical and</w:t>
            </w:r>
          </w:p>
        </w:tc>
        <w:tc>
          <w:tcPr>
            <w:tcW w:w="12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9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10/31/2024</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Central States SE and SW Areas</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36-6044243/</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Critical</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Critical</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298</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226</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196</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8/31/2025 -</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Plan</w:t>
            </w:r>
            <w:r>
              <w:rPr>
                <w:rFonts w:ascii="Times New Roman" w:cs="Times New Roman" w:eastAsia="Times New Roman" w:hAnsi="Times New Roman"/>
                <w:sz w:val="9"/>
                <w:szCs w:val="9"/>
                <w:color w:val="auto"/>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1/31/2028</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Pension Plan for Hospital &amp; Health</w:t>
            </w:r>
          </w:p>
        </w:tc>
        <w:tc>
          <w:tcPr>
            <w:tcW w:w="10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23-2627428/</w:t>
            </w:r>
          </w:p>
        </w:tc>
        <w:tc>
          <w:tcPr>
            <w:tcW w:w="9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Critical and</w:t>
            </w:r>
          </w:p>
        </w:tc>
        <w:tc>
          <w:tcPr>
            <w:tcW w:w="9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Critical and</w:t>
            </w:r>
          </w:p>
        </w:tc>
        <w:tc>
          <w:tcPr>
            <w:tcW w:w="12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344</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353</w:t>
            </w:r>
          </w:p>
        </w:tc>
        <w:tc>
          <w:tcPr>
            <w:tcW w:w="9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1/31/2028</w:t>
            </w:r>
          </w:p>
        </w:tc>
        <w:tc>
          <w:tcPr>
            <w:tcW w:w="0" w:type="dxa"/>
            <w:vAlign w:val="bottom"/>
          </w:tcPr>
          <w:p>
            <w:pPr>
              <w:spacing w:after="0"/>
              <w:rPr>
                <w:sz w:val="1"/>
                <w:szCs w:val="1"/>
                <w:color w:val="auto"/>
              </w:rPr>
            </w:pPr>
          </w:p>
        </w:tc>
      </w:tr>
      <w:tr>
        <w:trPr>
          <w:trHeight w:val="139"/>
        </w:trPr>
        <w:tc>
          <w:tcPr>
            <w:tcW w:w="22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Care Employees Philadelphia &amp;</w:t>
            </w:r>
          </w:p>
        </w:tc>
        <w:tc>
          <w:tcPr>
            <w:tcW w:w="102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Declining</w:t>
            </w:r>
          </w:p>
        </w:tc>
        <w:tc>
          <w:tcPr>
            <w:tcW w:w="98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Declining</w:t>
            </w: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Vicinity</w:t>
            </w:r>
          </w:p>
        </w:tc>
        <w:tc>
          <w:tcPr>
            <w:tcW w:w="10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SEIU National Industry Pension Fund</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52-6148540/</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Critical</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Critical</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160</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230</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794</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4/14/2025 -</w:t>
            </w:r>
          </w:p>
        </w:tc>
        <w:tc>
          <w:tcPr>
            <w:tcW w:w="0" w:type="dxa"/>
            <w:vAlign w:val="bottom"/>
          </w:tcPr>
          <w:p>
            <w:pPr>
              <w:spacing w:after="0"/>
              <w:rPr>
                <w:sz w:val="1"/>
                <w:szCs w:val="1"/>
                <w:color w:val="auto"/>
              </w:rPr>
            </w:pPr>
          </w:p>
        </w:tc>
      </w:tr>
      <w:tr>
        <w:trPr>
          <w:trHeight w:val="121"/>
        </w:trPr>
        <w:tc>
          <w:tcPr>
            <w:tcW w:w="2280" w:type="dxa"/>
            <w:vAlign w:val="bottom"/>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6/30/2025</w:t>
            </w: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Retail Wholesale &amp; Department Store</w:t>
            </w:r>
          </w:p>
        </w:tc>
        <w:tc>
          <w:tcPr>
            <w:tcW w:w="10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63-0708442/</w:t>
            </w:r>
          </w:p>
        </w:tc>
        <w:tc>
          <w:tcPr>
            <w:tcW w:w="9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Critical and</w:t>
            </w:r>
          </w:p>
        </w:tc>
        <w:tc>
          <w:tcPr>
            <w:tcW w:w="9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Critical and</w:t>
            </w:r>
          </w:p>
        </w:tc>
        <w:tc>
          <w:tcPr>
            <w:tcW w:w="12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248</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9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1/31/2025 -</w:t>
            </w:r>
          </w:p>
        </w:tc>
        <w:tc>
          <w:tcPr>
            <w:tcW w:w="0" w:type="dxa"/>
            <w:vAlign w:val="bottom"/>
          </w:tcPr>
          <w:p>
            <w:pPr>
              <w:spacing w:after="0"/>
              <w:rPr>
                <w:sz w:val="1"/>
                <w:szCs w:val="1"/>
                <w:color w:val="auto"/>
              </w:rPr>
            </w:pPr>
          </w:p>
        </w:tc>
      </w:tr>
      <w:tr>
        <w:trPr>
          <w:trHeight w:val="136"/>
        </w:trPr>
        <w:tc>
          <w:tcPr>
            <w:tcW w:w="22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International Union and Industry</w:t>
            </w:r>
          </w:p>
        </w:tc>
        <w:tc>
          <w:tcPr>
            <w:tcW w:w="10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Declining</w:t>
            </w:r>
          </w:p>
        </w:tc>
        <w:tc>
          <w:tcPr>
            <w:tcW w:w="9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Declining</w:t>
            </w: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6/30/2027</w:t>
            </w:r>
          </w:p>
        </w:tc>
        <w:tc>
          <w:tcPr>
            <w:tcW w:w="0" w:type="dxa"/>
            <w:vAlign w:val="bottom"/>
          </w:tcPr>
          <w:p>
            <w:pPr>
              <w:spacing w:after="0"/>
              <w:rPr>
                <w:sz w:val="1"/>
                <w:szCs w:val="1"/>
                <w:color w:val="auto"/>
              </w:rPr>
            </w:pPr>
          </w:p>
        </w:tc>
      </w:tr>
      <w:tr>
        <w:trPr>
          <w:trHeight w:val="21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Fund</w:t>
            </w:r>
            <w:r>
              <w:rPr>
                <w:rFonts w:ascii="Times New Roman" w:cs="Times New Roman" w:eastAsia="Times New Roman" w:hAnsi="Times New Roman"/>
                <w:sz w:val="18"/>
                <w:szCs w:val="18"/>
                <w:color w:val="auto"/>
                <w:vertAlign w:val="superscript"/>
              </w:rPr>
              <w:t>(3)</w:t>
            </w: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funds</w:t>
            </w:r>
          </w:p>
        </w:tc>
        <w:tc>
          <w:tcPr>
            <w:tcW w:w="10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7,461</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7,479</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6,736</w:t>
            </w:r>
          </w:p>
        </w:tc>
        <w:tc>
          <w:tcPr>
            <w:tcW w:w="9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contributions</w:t>
            </w:r>
          </w:p>
        </w:tc>
        <w:tc>
          <w:tcPr>
            <w:tcW w:w="10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16,325</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15,820</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14,549</w:t>
            </w:r>
          </w:p>
        </w:tc>
        <w:tc>
          <w:tcPr>
            <w:tcW w:w="9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hanging="374"/>
        <w:spacing w:after="0"/>
        <w:tabs>
          <w:tab w:leader="none" w:pos="4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Approximately 67% of the Company's participants in this fund are covered by a single CBA that expired on 7/7/2027.</w:t>
      </w:r>
    </w:p>
    <w:p>
      <w:pPr>
        <w:spacing w:after="0" w:line="26" w:lineRule="exact"/>
        <w:rPr>
          <w:rFonts w:ascii="Times New Roman" w:cs="Times New Roman" w:eastAsia="Times New Roman" w:hAnsi="Times New Roman"/>
          <w:sz w:val="13"/>
          <w:szCs w:val="13"/>
          <w:color w:val="auto"/>
        </w:rPr>
      </w:pPr>
    </w:p>
    <w:p>
      <w:pPr>
        <w:ind w:left="400" w:hanging="374"/>
        <w:spacing w:after="0"/>
        <w:tabs>
          <w:tab w:leader="none" w:pos="4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Approximately 75% of the Company's participants in this fund are covered by a single CBA that expires on 4/14/2025.</w:t>
      </w:r>
    </w:p>
    <w:p>
      <w:pPr>
        <w:spacing w:after="0" w:line="26" w:lineRule="exact"/>
        <w:rPr>
          <w:rFonts w:ascii="Times New Roman" w:cs="Times New Roman" w:eastAsia="Times New Roman" w:hAnsi="Times New Roman"/>
          <w:sz w:val="13"/>
          <w:szCs w:val="13"/>
          <w:color w:val="auto"/>
        </w:rPr>
      </w:pPr>
    </w:p>
    <w:p>
      <w:pPr>
        <w:ind w:left="400" w:hanging="374"/>
        <w:spacing w:after="0"/>
        <w:tabs>
          <w:tab w:leader="none" w:pos="4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Approximately 80% of the Company's participants in this fund are covered by a single CBA that expires on 6/30/2027.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provided more than 5 percent of the total contributions for the following plan and plan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4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Contributions to the plan exceeded more than 5% of total</w:t>
            </w:r>
          </w:p>
        </w:tc>
      </w:tr>
      <w:tr>
        <w:trPr>
          <w:trHeight w:val="214"/>
        </w:trPr>
        <w:tc>
          <w:tcPr>
            <w:tcW w:w="6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Fund</w:t>
            </w:r>
          </w:p>
        </w:tc>
        <w:tc>
          <w:tcPr>
            <w:tcW w:w="4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contributions (as of the plan's year-end)</w:t>
            </w:r>
          </w:p>
        </w:tc>
      </w:tr>
      <w:tr>
        <w:trPr>
          <w:trHeight w:val="198"/>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Local 1102 Retirement Trust</w:t>
            </w:r>
          </w:p>
        </w:tc>
        <w:tc>
          <w:tcPr>
            <w:tcW w:w="100" w:type="dxa"/>
            <w:vAlign w:val="bottom"/>
            <w:tcBorders>
              <w:top w:val="single" w:sz="8" w:color="CCEEFF"/>
            </w:tcBorders>
            <w:shd w:val="clear" w:color="auto" w:fill="CCEEFF"/>
          </w:tcPr>
          <w:p>
            <w:pPr>
              <w:spacing w:after="0"/>
              <w:rPr>
                <w:sz w:val="17"/>
                <w:szCs w:val="17"/>
                <w:color w:val="auto"/>
              </w:rPr>
            </w:pPr>
          </w:p>
        </w:tc>
        <w:tc>
          <w:tcPr>
            <w:tcW w:w="4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12/31/2023, 12/31/2022, and 12/31/2021</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date the Company's financial statements were issued, Forms 5500 were not available for the plan years ending in fiscal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the Provision for Income Taxes from Continuing Operations represents income taxes payable or refundable for the current year plus the change in deferred taxes during the year. Deferred taxes result from differences between the financial and tax bases in assets and liabilities and are adjusted for changes in tax rates and enacted tax legislation. Valuation allowances are recorded to reduce deferred tax assets ("DTAs") when it is more likely than not that a tax benefit will not be realized.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from Continuing Operations Before Income Taxes by source of income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594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rPr>
              <w:t>(49,276)</w:t>
            </w:r>
          </w:p>
        </w:tc>
      </w:tr>
      <w:tr>
        <w:trPr>
          <w:trHeight w:val="230"/>
        </w:trPr>
        <w:tc>
          <w:tcPr>
            <w:tcW w:w="59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Non-United States</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95"/>
              <w:spacing w:after="0"/>
              <w:rPr>
                <w:sz w:val="20"/>
                <w:szCs w:val="20"/>
                <w:color w:val="auto"/>
              </w:rPr>
            </w:pPr>
            <w:r>
              <w:rPr>
                <w:rFonts w:ascii="Times New Roman" w:cs="Times New Roman" w:eastAsia="Times New Roman" w:hAnsi="Times New Roman"/>
                <w:sz w:val="18"/>
                <w:szCs w:val="18"/>
                <w:color w:val="auto"/>
                <w:w w:val="96"/>
              </w:rPr>
              <w:t>96,490</w:t>
            </w: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6"/>
              </w:rPr>
              <w:t>47,214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0" w:hanging="374"/>
        <w:spacing w:after="0"/>
        <w:tabs>
          <w:tab w:leader="none" w:pos="4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2024 includes gains from sale of equity investments (see Note 1).</w:t>
      </w:r>
    </w:p>
    <w:p>
      <w:pPr>
        <w:spacing w:after="0" w:line="26" w:lineRule="exact"/>
        <w:rPr>
          <w:rFonts w:ascii="Times New Roman" w:cs="Times New Roman" w:eastAsia="Times New Roman" w:hAnsi="Times New Roman"/>
          <w:sz w:val="13"/>
          <w:szCs w:val="13"/>
          <w:color w:val="auto"/>
        </w:rPr>
      </w:pPr>
    </w:p>
    <w:p>
      <w:pPr>
        <w:ind w:left="400" w:hanging="374"/>
        <w:spacing w:after="0"/>
        <w:tabs>
          <w:tab w:leader="none" w:pos="4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2023 includes gains from sale of equity investments (see Note 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from Continuing Operations consists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16"/>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(23,014)</w:t>
            </w:r>
          </w:p>
        </w:tc>
      </w:tr>
      <w:tr>
        <w:trPr>
          <w:trHeight w:val="229"/>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 and local</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9"/>
        </w:trPr>
        <w:tc>
          <w:tcPr>
            <w:tcW w:w="5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Non-United States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w:t>
            </w:r>
          </w:p>
        </w:tc>
      </w:tr>
      <w:tr>
        <w:trPr>
          <w:trHeight w:val="223"/>
        </w:trPr>
        <w:tc>
          <w:tcPr>
            <w:tcW w:w="5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r>
      <w:tr>
        <w:trPr>
          <w:trHeight w:val="20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59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Federal</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w:t>
            </w:r>
          </w:p>
        </w:tc>
      </w:tr>
      <w:tr>
        <w:trPr>
          <w:trHeight w:val="229"/>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 and local</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r>
      <w:tr>
        <w:trPr>
          <w:trHeight w:val="229"/>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Non-United States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5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15,908</w:t>
            </w: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00" w:hanging="374"/>
        <w:spacing w:after="0"/>
        <w:tabs>
          <w:tab w:leader="none" w:pos="4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2023 increase in deferred tax expense is a result of the utilization of tax credit carryforward assets.</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Current taxes receivable of $3.8 million and $10.2 million at September 27, 2024 and September 29, 2023, respectively, are included in "Prepayments and other current assets" on the Consolidated Balance Sheets. Current income taxes payable of $19.3 million and $24.5 million at September 27, 2024 and September 29, 2023, respectively, are included in "Accrued expenses and other current liabilities" on the Consolidated Balance Sheets.</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Provision for Income Taxes from Continuing Operations varies from the amount determined by applying the United States Federal statutory rate to Income from Continuing Operations Before Income Taxes as a result of the following (all percentages are as a percentage of Income from Continuing Operations Before Income Taxes):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80" w:type="dxa"/>
            <w:vAlign w:val="bottom"/>
          </w:tcPr>
          <w:p>
            <w:pPr>
              <w:spacing w:after="0"/>
              <w:rPr>
                <w:sz w:val="16"/>
                <w:szCs w:val="16"/>
                <w:color w:val="auto"/>
              </w:rPr>
            </w:pPr>
          </w:p>
        </w:tc>
      </w:tr>
      <w:tr>
        <w:trPr>
          <w:trHeight w:val="23"/>
        </w:trPr>
        <w:tc>
          <w:tcPr>
            <w:tcW w:w="568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0"/>
        </w:trPr>
        <w:tc>
          <w:tcPr>
            <w:tcW w:w="5680" w:type="dxa"/>
            <w:vAlign w:val="bottom"/>
          </w:tcPr>
          <w:p>
            <w:pPr>
              <w:spacing w:after="0"/>
              <w:rPr>
                <w:sz w:val="16"/>
                <w:szCs w:val="16"/>
                <w:color w:val="auto"/>
              </w:rPr>
            </w:pPr>
          </w:p>
        </w:tc>
        <w:tc>
          <w:tcPr>
            <w:tcW w:w="18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7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statutory income tax rate</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5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taxes</w:t>
            </w: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5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Reduction of foreign valuation allowances</w:t>
            </w:r>
          </w:p>
        </w:tc>
        <w:tc>
          <w:tcPr>
            <w:tcW w:w="1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5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Uncertain tax positions</w:t>
            </w: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tax credit valuation allowance</w:t>
            </w: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Sale of investments</w:t>
            </w:r>
            <w:r>
              <w:rPr>
                <w:rFonts w:ascii="Times New Roman" w:cs="Times New Roman" w:eastAsia="Times New Roman" w:hAnsi="Times New Roman"/>
                <w:sz w:val="23"/>
                <w:szCs w:val="23"/>
                <w:color w:val="auto"/>
                <w:vertAlign w:val="superscript"/>
              </w:rPr>
              <w:t>(1)</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Pennsylvania Rate Change Impact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5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Tax credits &amp; other</w:t>
            </w:r>
          </w:p>
        </w:tc>
        <w:tc>
          <w:tcPr>
            <w:tcW w:w="17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0"/>
        </w:trPr>
        <w:tc>
          <w:tcPr>
            <w:tcW w:w="56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60" w:hanging="334"/>
        <w:spacing w:after="0"/>
        <w:tabs>
          <w:tab w:leader="none" w:pos="36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mainly capital tax gains related to the sale of the Company's equity investment in AIM Services Co., Ltd. offset by capital tax losses in certain investments in foreign entities.</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effective tax rate is based on expected income, statutory tax rates and tax planning opportunities available to the Company in the various jurisdictions in which it operates. Judgment is required in determining the effective tax rate and in evaluating the tax return positions. Reserves are established when positions are "more likely than not" to be challenged and not sustained. Reserves are adjusted at each financial statement date to reflect the impact of audit settlements, expiration of statutes of limitation, developments in tax law and ongoing discussions with tax authorities. Accrued interest and penalties associated with uncertain tax positions are recognized as part of the income tax provision.</w:t>
      </w:r>
    </w:p>
    <w:p>
      <w:pPr>
        <w:spacing w:after="0" w:line="62" w:lineRule="exact"/>
        <w:rPr>
          <w:sz w:val="20"/>
          <w:szCs w:val="20"/>
          <w:color w:val="auto"/>
        </w:rPr>
      </w:pPr>
    </w:p>
    <w:p>
      <w:pPr>
        <w:jc w:val="both"/>
        <w:ind w:right="520"/>
        <w:spacing w:after="0" w:line="261" w:lineRule="auto"/>
        <w:rPr>
          <w:sz w:val="20"/>
          <w:szCs w:val="20"/>
          <w:color w:val="auto"/>
        </w:rPr>
      </w:pPr>
      <w:r>
        <w:rPr>
          <w:rFonts w:ascii="Times New Roman" w:cs="Times New Roman" w:eastAsia="Times New Roman" w:hAnsi="Times New Roman"/>
          <w:sz w:val="18"/>
          <w:szCs w:val="18"/>
          <w:color w:val="auto"/>
        </w:rPr>
        <w:t>As of each reporting date, the Company considers existing evidence, both positive and negative, that could impact the need for valuation allowances against DTAs. During fiscal 2024, fiscal 2023 and fiscal 2022, the Company recorded a benefit to the "Provision for Income Taxes from Continuing Operations" within the Consolidated Statements of Income of $3.8 million, $3.8 million and $8.5 million, respectively, for the reversal of a valuation allowance at a subsidiary in the FSS International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segment. The valuation allowance reversal was driven by the Company's ability to utilize DTAs based on future taxable income expected due to business acquisitions. The Company continues to monitor operating performance and believes that based on future reversals of deferred tax liabilities ("DTLs") and future taxable income, it is more likely than not that the remaining NOL carryforwards and DTAs will be realized, except where a valuation allowance has been established.</w:t>
      </w:r>
    </w:p>
    <w:p>
      <w:pPr>
        <w:spacing w:after="0" w:line="4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fiscal 2023, the Company recorded a net expense to the "Provision for Income Taxes from Continuing Operations" on the Consolidated Statements of Income of $76.7 million, of which $98.4 million reflects the capital gain on the sale of its AIM Services Co., Ltd. equity investment, offset by $21.7 million of capital losses resulting from the restructuring of certain foreign subsidiaries.</w:t>
      </w:r>
    </w:p>
    <w:p>
      <w:pPr>
        <w:spacing w:after="0" w:line="14"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On July 8, 2022, Pennsylvania enacted a corporate net income tax rate reduction over a nine year period. The income tax rate for the 2022 and 2023 tax years are 9.99% and 8.99%, respectively. Starting with the 2024 tax year, the income tax rate is reduced by 0.50% annually until it reaches 4.99% for the 2031 tax year. The Company calculated the impact of the income tax rate reduction on the DTA and DTL balances at September 30, 2022 and recorded a net benefit of $3.8 million to the "Provision for Income Taxes from Continuing Operations" within the Consolidated Statements of Income during fiscal 2022.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27, 2024 and September 29, 2023, the components of Deferred Income Taxes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intangible assets, including goodwill</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556,708</w:t>
            </w:r>
          </w:p>
        </w:tc>
        <w:tc>
          <w:tcPr>
            <w:tcW w:w="0" w:type="dxa"/>
            <w:vAlign w:val="bottom"/>
          </w:tcPr>
          <w:p>
            <w:pPr>
              <w:spacing w:after="0"/>
              <w:rPr>
                <w:sz w:val="1"/>
                <w:szCs w:val="1"/>
                <w:color w:val="auto"/>
              </w:rPr>
            </w:pPr>
          </w:p>
        </w:tc>
      </w:tr>
      <w:tr>
        <w:trPr>
          <w:trHeight w:val="230"/>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Computer software costs and other</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Gross deferred tax liability</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679,815</w:t>
            </w: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0" w:type="dxa"/>
            <w:vAlign w:val="bottom"/>
          </w:tcPr>
          <w:p>
            <w:pPr>
              <w:spacing w:after="0"/>
              <w:rPr>
                <w:sz w:val="1"/>
                <w:szCs w:val="1"/>
                <w:color w:val="auto"/>
              </w:rPr>
            </w:pPr>
          </w:p>
        </w:tc>
      </w:tr>
      <w:tr>
        <w:trPr>
          <w:trHeight w:val="230"/>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103,839</w:t>
            </w:r>
          </w:p>
        </w:tc>
        <w:tc>
          <w:tcPr>
            <w:tcW w:w="0" w:type="dxa"/>
            <w:vAlign w:val="bottom"/>
          </w:tcPr>
          <w:p>
            <w:pPr>
              <w:spacing w:after="0"/>
              <w:rPr>
                <w:sz w:val="1"/>
                <w:szCs w:val="1"/>
                <w:color w:val="auto"/>
              </w:rPr>
            </w:pPr>
          </w:p>
        </w:tc>
      </w:tr>
      <w:tr>
        <w:trPr>
          <w:trHeight w:val="230"/>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Accruals and allowances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NOL/credit carryforwards and other</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187,467</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deferred tax asset, before valuation allowances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373,716</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Valuation allowances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(78,194)</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384,293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Rollforward of the valuation allowance is as follows: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24"/>
                <w:szCs w:val="24"/>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(83,827)</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Subtractions</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(78,194)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ind w:left="360"/>
        <w:spacing w:after="0"/>
        <w:rPr>
          <w:sz w:val="20"/>
          <w:szCs w:val="20"/>
          <w:color w:val="auto"/>
        </w:rPr>
      </w:pPr>
      <w:r>
        <w:rPr>
          <w:rFonts w:ascii="Times New Roman" w:cs="Times New Roman" w:eastAsia="Times New Roman" w:hAnsi="Times New Roman"/>
          <w:sz w:val="13"/>
          <w:szCs w:val="13"/>
          <w:color w:val="auto"/>
        </w:rPr>
        <w:t>The Additions are mainly driven by a valuation allowance recorded related to pension assets in the FSS International segment.</w:t>
      </w:r>
    </w:p>
    <w:p>
      <w:pPr>
        <w:spacing w:after="0" w:line="80" w:lineRule="exact"/>
        <w:rPr>
          <w:sz w:val="20"/>
          <w:szCs w:val="20"/>
          <w:color w:val="auto"/>
        </w:rPr>
      </w:pPr>
    </w:p>
    <w:p>
      <w:pPr>
        <w:ind w:left="360" w:hanging="334"/>
        <w:spacing w:after="0"/>
        <w:tabs>
          <w:tab w:leader="none" w:pos="36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Subtractions are mainly driven by the reversal of a valuation allowance based on future taxable income expected due to acquisitions of businesses in the FSS International segment.</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DTLs of $375.4 million and $410.9 million as of September 27, 2024 and September 29, 2023, respectively, are included in "Deferred Income Taxes" on the Consolidated Balance Sheets. DTAs of $20.0 million and $26.6 million as of September 27, 2024 and September 29, 2023, respectively, are included in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September 27, 2024, certain subsidiaries have recorded DTAs of $72.1 million associated with accumulated federal, state and foreign NOL carryforwards. The Company believes it is more likely than not that the benefit from certain state and foreign NOL carryforwards will not be realized. As a result, the Company has a valuation allowance of $48.2 million on the DTAs related to these state and foreign NOL carryforwards as of September 27, 2024. State NOL carryforwards generally will begin to expire in 2025 and foreign NOL carryforwards generally have no expiration date.</w:t>
      </w:r>
    </w:p>
    <w:p>
      <w:pPr>
        <w:spacing w:after="0" w:line="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September 27, 2024, the Company has $61.7 million of FTC carryforwards, which begin to expire in 2027, along with $3.4 million of general business credits, which begin to expire in 2045, and $34.1 million of interest restriction carryforwards, which do not expire. The Company has a valuation allowance of $32.3 million on the DTAs related to FTC carryforwards as of September 27, 2024.</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Undistributed earnings of certain foreign subsidiaries for which no DTL was recorded amounted to approximately $446.7 million and $364.4 million as of September 27, 2024 and September 29, 2023, respectively. The foreign withholding tax cost associated with remitting these earnings is $26.8 million and $22.7 million as of September 27, 2024 and September 29, 2023, respectively. Such amounts have not been accrued by the Company as it believes those foreign earnings are permanently reinvested.</w:t>
      </w:r>
    </w:p>
    <w:p>
      <w:pPr>
        <w:spacing w:after="0" w:line="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has $70.2 million of total gross unrecognized tax benefits as of September 27, 2024, of which $41.9 million, if recognized, would impact the effective tax rate and $28.3 million would result in an adjustment to the DTL or payable.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80,220</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taken in the current year</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prior years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for remeasurements, settlements and payments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statute expiration</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69,128</w:t>
            </w:r>
          </w:p>
        </w:tc>
      </w:tr>
      <w:tr>
        <w:trPr>
          <w:trHeight w:val="21"/>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34"/>
        <w:spacing w:after="0"/>
        <w:tabs>
          <w:tab w:leader="none" w:pos="36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2023 includes a remeasurement of foreign tax credit assets that are available to reduce a position taken in prior years.</w:t>
      </w:r>
    </w:p>
    <w:p>
      <w:pPr>
        <w:spacing w:after="0" w:line="2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$14.1 million and $11.4 million accrued for interest and penalties as of September 27, 2024 and September 29, 2023, respectively, on the Consolidated Balance Sheets and recorded $2.8 million, $1.7 million and $3.1 million in interest and penalties during fiscal 2024, fiscal 2023 and fiscal 2022, respectively in the Consolidated Statements of Income. Interest and penalties related to unrecognized tax benefits are recorded in "Provision for Income Taxes from Continuing Operations" on the Consolidated Statements of Income. The Company has $9.6 million of FTCs that will reduce the gross unrecognized tax benefit.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are not expected to significantly change within the next 12 months.</w:t>
      </w:r>
    </w:p>
    <w:p>
      <w:pPr>
        <w:spacing w:after="0" w:line="1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Generally, a number of years may elapse before a tax reporting year is audited and finally resolved. With few exceptions, the Company is no longer subject to United States federal, state or local examinations by tax authorities before 2015. While it is often difficult to predict the final outcome or the timing of or resolution of a particular tax matter, the Company does not anticipate any adjustments resulting from United States federal, state or foreign tax audits that would result in a material change to the financial condition or results of operations. Adequate amounts are established for any adjustments that may result from examinations for tax years after 2015. However, an unfavorable settlement of a particular issue would require use of the Company's cash and cash equivalents.</w:t>
      </w:r>
    </w:p>
    <w:p>
      <w:pPr>
        <w:spacing w:after="0" w:line="6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response to the development of the global economy toward digitalization, the Organization for Economic Co-operation &amp; Development (“OECD”) released the Pillar Two Global Anti-Base Erosion Model Rules (“Pillar Two”). Under Pillar Two, multinational companies with consolidated revenue greater than €750 million will be subject to a minimum effective tax rate of 15.0% within each respective country. Guided by the OECD framework, more than 140 countries have agreed to enact Pillar Two legislation. The Company currently operates in several countries which will be subject to Pillar Two. Based on an analysis of the Pillar Two transitional safe harbours and the current financials, the Company does not expect Pillar Two to have a material effect. The Company will continue to monitor legislative developments and evaluate financial results for changes in the expected impact.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94"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On November 5, 2024, the Board of Directors approved a share repurchase program under which the Company is authorized to repurchase up to $500 million of Aramark's outstanding common stock. The share repurchase program does not have a fixed expiration date.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cash dividend payments to its stockholders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5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bl>
    <w:p>
      <w:pPr>
        <w:spacing w:after="0" w:line="157"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On November 8, 2024, an $0.105 dividend per share of common stock was declared, payable on December 12, 2024, to shareholders of record on the close of business on December 2, 2024.</w:t>
      </w:r>
    </w:p>
    <w:p>
      <w:pPr>
        <w:spacing w:after="0" w:line="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100.0 million shares of preferred stock authorized, with a par value of $0.01 per share. At September 27, 2024 and September 29, 2023, zero shares of preferred stock were issued or outstanding.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SHARE-BASED COMPENSATION:</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12, 2013, the Board of Directors approved, and the stockholders of Aramark adopted by written consent, the Aramark 2013 Stock Incentive Plan (the "Old 2013 Stock Plan"), which became effective on December 1, 2013 and the amended and restated Old 2013 Stock Plan was approved by the Board of Directors on November 9, 2016 and approved by the stockholders of Aramark on February 1, 2017 (as amended, the "2013 Stock Plan"). The 2013 Stock Plan provides that the total number of shares of common stock that may be issued under the 2013 Stock Plan is 25.5 million. On January 29, 2020, the Company's stockholders approved the Second Amended and Restated 2013 Stock Incentive Plan, which amended and restated the 2013 Stock Plan. The Second Amended and Restated 2013 Stock Incentive Plan provides for up to 7.5 million of new shares authorized for issuance to participants, in addition to the shares that remained available for issuance under the 2013 Stock Plan as of January 29, 2020 that are not subject to outstanding awards under the 2013 Stock Plan. On February 2, 2021, the Company's stockholders approved the Third Amended and Restated 2013 Stock Incentive Plan, which amended and restated the Company's 2013 Incentive Plan last amended on January 29, 2020. The Third Amended and Restated 2013 Stock Incentive Plan provides for up to 3.5 million of new shares authorized for issuance to participants, in addition to the shares that remained available for issuance under the 2013 Stock Plan.</w:t>
      </w:r>
    </w:p>
    <w:p>
      <w:pPr>
        <w:spacing w:after="0" w:line="7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February 3, 2023, the stockholders of Aramark approved the Aramark 2023 Stock Incentive Plan (the "2023 Stock Plan") to replace the 2013 Stock Plan. The 2023 Stock Plan provides for up to 8.5 million of new shares authorized for issuance to participants, in addition to the shares that remained available for issuance under the 2013 Stock Plan.</w:t>
      </w:r>
    </w:p>
    <w:p>
      <w:pPr>
        <w:spacing w:after="0" w:line="4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share-based compensation expense and related information for Time-Based Options ("TBOs"), Retention Time-Based Options ("TBO-Rs"), Time-Based Restricted Stock Units ("RSUs"), Performance Stock Units ("PSUs"), Deferred Stock Units and Employee Stock Purchase Plan ("ESPP") recorded within "Selling and general corporate expenses" on the Consolidated Statements of Income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TBOs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TBO-Rs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Stock Units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ESPP</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59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related to share-based 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Option Exercises/ESPP Purchases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Benefit on Share Deliveries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198" w:lineRule="exact"/>
        <w:rPr>
          <w:sz w:val="20"/>
          <w:szCs w:val="20"/>
          <w:color w:val="auto"/>
        </w:rPr>
      </w:pPr>
    </w:p>
    <w:p>
      <w:pPr>
        <w:ind w:left="360" w:hanging="334"/>
        <w:spacing w:after="0"/>
        <w:tabs>
          <w:tab w:leader="none" w:pos="3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Share-based compensation expense related to the ESPP decreased during fiscal 2023 compared to fiscal 2022 as the Company suspended its ESPP beginning in the second quarter of fiscal 2023.</w:t>
      </w:r>
    </w:p>
    <w:p>
      <w:pPr>
        <w:spacing w:after="0" w:line="26" w:lineRule="exact"/>
        <w:rPr>
          <w:rFonts w:ascii="Times New Roman" w:cs="Times New Roman" w:eastAsia="Times New Roman" w:hAnsi="Times New Roman"/>
          <w:sz w:val="13"/>
          <w:szCs w:val="13"/>
          <w:color w:val="auto"/>
        </w:rPr>
      </w:pPr>
    </w:p>
    <w:p>
      <w:pPr>
        <w:ind w:left="360" w:hanging="334"/>
        <w:spacing w:after="0"/>
        <w:tabs>
          <w:tab w:leader="none" w:pos="3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benefit on option exercises, restricted stock unit and ESPP unit deliveries is included in "Accrued Expenses"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 compensation expense was capitalized. The Company applies an estimated forfeiture assumption of 9.0% per annum based on actual forfeiture activity, which was in effect during each of the fiscal years presented.</w:t>
      </w:r>
    </w:p>
    <w:p>
      <w:pPr>
        <w:spacing w:after="0" w:line="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below table summarizes the unrecognized compensation expense as of September 27, 2024 related to non-vested awards and the weighted-average period they are expected to be recognized:</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Unrecognized Compensation</w:t>
            </w:r>
          </w:p>
        </w:tc>
        <w:tc>
          <w:tcPr>
            <w:tcW w:w="12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Period</w:t>
            </w:r>
          </w:p>
        </w:tc>
        <w:tc>
          <w:tcPr>
            <w:tcW w:w="0" w:type="dxa"/>
            <w:vAlign w:val="bottom"/>
          </w:tcPr>
          <w:p>
            <w:pPr>
              <w:spacing w:after="0"/>
              <w:rPr>
                <w:sz w:val="1"/>
                <w:szCs w:val="1"/>
                <w:color w:val="auto"/>
              </w:rPr>
            </w:pPr>
          </w:p>
        </w:tc>
      </w:tr>
      <w:tr>
        <w:trPr>
          <w:trHeight w:val="146"/>
        </w:trPr>
        <w:tc>
          <w:tcPr>
            <w:tcW w:w="7240" w:type="dxa"/>
            <w:vAlign w:val="bottom"/>
          </w:tcPr>
          <w:p>
            <w:pPr>
              <w:spacing w:after="0"/>
              <w:rPr>
                <w:sz w:val="12"/>
                <w:szCs w:val="12"/>
                <w:color w:val="auto"/>
              </w:rPr>
            </w:pPr>
          </w:p>
        </w:tc>
        <w:tc>
          <w:tcPr>
            <w:tcW w:w="1400" w:type="dxa"/>
            <w:vAlign w:val="bottom"/>
          </w:tcPr>
          <w:p>
            <w:pPr>
              <w:jc w:val="center"/>
              <w:ind w:left="441"/>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2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2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TBOs</w:t>
            </w:r>
          </w:p>
        </w:tc>
        <w:tc>
          <w:tcPr>
            <w:tcW w:w="1400" w:type="dxa"/>
            <w:vAlign w:val="bottom"/>
            <w:shd w:val="clear" w:color="auto" w:fill="CCEEFF"/>
          </w:tcPr>
          <w:p>
            <w:pPr>
              <w:jc w:val="right"/>
              <w:ind w:right="122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TBO-Rs</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PSU</w:t>
            </w:r>
          </w:p>
        </w:tc>
        <w:tc>
          <w:tcPr>
            <w:tcW w:w="1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4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shd w:val="clear" w:color="auto" w:fill="CCEEFF"/>
          </w:tcPr>
          <w:p>
            <w:pPr>
              <w:jc w:val="right"/>
              <w:ind w:right="122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Time-Based Options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annual TBO grants for fiscal 2024, fiscal 2023 and fiscal 2022 were awarded in November 2023, November 2022 and November 2021, respectively. The fiscal 2024 and 2023 TBO grants vest solely based upon continued employment over a four year time period. The fiscal 2022 TBO grants vest solely based upon continued employment over a three year time period. All TBOs remain exercisable for 10 years from the date of grant.</w:t>
      </w:r>
    </w:p>
    <w:p>
      <w:pPr>
        <w:spacing w:after="0" w:line="4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fair value of the TBOs granted was estimated using the Black-Scholes option pricing model. The expected volatility is based on the historic volatility of the Company's stock over the expected term of the stock options. The expected life represents the period of time that options granted are expected to be outstanding and is calculated using the simplified method as permitted under Securities and Exchange Commission ("SEC") rules and regulations due to the method providing a reasonable estimate in comparison to actual experience. The simplified method uses the midpoint between an option's vesting date and contractual term. The risk-free rate is based on the United States Treasury security with terms equal to the expected life of the option as of the grant date. Compensation expense for TBOs is recognized on a straight-line basis over the vesting period during which employees perform related services.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weighted average assumptions and related valuations for TBOs.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00" w:type="dxa"/>
            <w:vAlign w:val="bottom"/>
          </w:tcPr>
          <w:p>
            <w:pPr>
              <w:spacing w:after="0"/>
              <w:rPr>
                <w:sz w:val="16"/>
                <w:szCs w:val="16"/>
                <w:color w:val="auto"/>
              </w:rPr>
            </w:pPr>
          </w:p>
        </w:tc>
      </w:tr>
      <w:tr>
        <w:trPr>
          <w:trHeight w:val="23"/>
        </w:trPr>
        <w:tc>
          <w:tcPr>
            <w:tcW w:w="4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4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7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4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52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color w:val="auto"/>
                <w:w w:val="99"/>
              </w:rPr>
              <w:t>1.19% - 1.35%</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1.39% - 1.64%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1.64% - 1.80%</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3520" w:type="dxa"/>
            <w:vAlign w:val="bottom"/>
            <w:gridSpan w:val="2"/>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6.00</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52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color w:val="auto"/>
                <w:w w:val="99"/>
              </w:rPr>
              <w:t>3.99% - 4.41%</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3.65% - 4.28%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 - 2.96%</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w:t>
            </w:r>
          </w:p>
        </w:tc>
        <w:tc>
          <w:tcPr>
            <w:tcW w:w="3520" w:type="dxa"/>
            <w:vAlign w:val="bottom"/>
            <w:gridSpan w:val="2"/>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6"/>
              </w:rPr>
              <w:t>$12.04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$11.76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$9.11</w:t>
            </w:r>
          </w:p>
        </w:tc>
      </w:tr>
      <w:tr>
        <w:trPr>
          <w:trHeight w:val="945"/>
        </w:trPr>
        <w:tc>
          <w:tcPr>
            <w:tcW w:w="4140" w:type="dxa"/>
            <w:vAlign w:val="bottom"/>
          </w:tcPr>
          <w:p>
            <w:pPr>
              <w:spacing w:after="0"/>
              <w:rPr>
                <w:sz w:val="24"/>
                <w:szCs w:val="24"/>
                <w:color w:val="auto"/>
              </w:rPr>
            </w:pPr>
          </w:p>
        </w:tc>
        <w:tc>
          <w:tcPr>
            <w:tcW w:w="362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S-42</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TBO activity is presented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0" w:type="dxa"/>
            <w:vAlign w:val="bottom"/>
          </w:tcPr>
          <w:p>
            <w:pPr>
              <w:spacing w:after="0"/>
              <w:rPr>
                <w:sz w:val="1"/>
                <w:szCs w:val="1"/>
                <w:color w:val="auto"/>
              </w:rPr>
            </w:pPr>
          </w:p>
        </w:tc>
      </w:tr>
      <w:tr>
        <w:trPr>
          <w:trHeight w:val="195"/>
        </w:trPr>
        <w:tc>
          <w:tcPr>
            <w:tcW w:w="4580" w:type="dxa"/>
            <w:vAlign w:val="bottom"/>
            <w:gridSpan w:val="2"/>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(000s)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($000s)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28"/>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29, 2023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Forfeited and expired</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Awards transferred to Vestis at spin-off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580" w:type="dxa"/>
            <w:vAlign w:val="bottom"/>
            <w:gridSpan w:val="2"/>
          </w:tcPr>
          <w:p>
            <w:pPr>
              <w:ind w:left="460"/>
              <w:spacing w:after="0" w:line="181" w:lineRule="exact"/>
              <w:rPr>
                <w:sz w:val="20"/>
                <w:szCs w:val="20"/>
                <w:color w:val="auto"/>
              </w:rPr>
            </w:pPr>
            <w:r>
              <w:rPr>
                <w:rFonts w:ascii="Times New Roman" w:cs="Times New Roman" w:eastAsia="Times New Roman" w:hAnsi="Times New Roman"/>
                <w:sz w:val="18"/>
                <w:szCs w:val="18"/>
                <w:color w:val="auto"/>
              </w:rPr>
              <w:t>Adjustments to Aramark awards related to the spin-off</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gridSpan w:val="2"/>
          </w:tcPr>
          <w:p>
            <w:pPr>
              <w:ind w:left="460"/>
              <w:spacing w:after="0" w:line="237" w:lineRule="exact"/>
              <w:rPr>
                <w:sz w:val="20"/>
                <w:szCs w:val="20"/>
                <w:color w:val="auto"/>
              </w:rPr>
            </w:pPr>
            <w:r>
              <w:rPr>
                <w:rFonts w:ascii="Times New Roman" w:cs="Times New Roman" w:eastAsia="Times New Roman" w:hAnsi="Times New Roman"/>
                <w:sz w:val="18"/>
                <w:szCs w:val="18"/>
                <w:color w:val="auto"/>
              </w:rPr>
              <w:t>of Vestis</w:t>
            </w:r>
            <w:r>
              <w:rPr>
                <w:rFonts w:ascii="Times New Roman" w:cs="Times New Roman" w:eastAsia="Times New Roman" w:hAnsi="Times New Roman"/>
                <w:sz w:val="23"/>
                <w:szCs w:val="23"/>
                <w:color w:val="auto"/>
                <w:vertAlign w:val="superscript"/>
              </w:rPr>
              <w:t>(2)</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27, 2024</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97,284</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5.9</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Exercisable at September 27, 2024</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74,707</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 at September 27, 2024</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60" w:right="40" w:hanging="334"/>
        <w:spacing w:after="0" w:line="229" w:lineRule="auto"/>
        <w:tabs>
          <w:tab w:leader="none" w:pos="36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spin-off of Vestis, all outstanding (vested and unvested) Aramark TBOs which had been granted to Uniform segment employees were converted into Vestis awards. These awards preserved the same intrinsic value, as well as general terms and conditions, of the original Aramark awards.</w:t>
      </w:r>
    </w:p>
    <w:p>
      <w:pPr>
        <w:spacing w:after="0" w:line="25" w:lineRule="exact"/>
        <w:rPr>
          <w:rFonts w:ascii="Times New Roman" w:cs="Times New Roman" w:eastAsia="Times New Roman" w:hAnsi="Times New Roman"/>
          <w:sz w:val="13"/>
          <w:szCs w:val="13"/>
          <w:color w:val="auto"/>
        </w:rPr>
      </w:pPr>
    </w:p>
    <w:p>
      <w:pPr>
        <w:ind w:left="360" w:hanging="334"/>
        <w:spacing w:after="0"/>
        <w:tabs>
          <w:tab w:leader="none" w:pos="36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spin-off of Vestis, all outstanding Aramark awards were adjusted to preserve the aggregate value of the awards as measured immediately prior to the spin-off.</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intrinsic value exercised (in millions)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that vested (in millions)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Time-Based Options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September 2020, the Board of Directors granted special stock option awards for fiscal 2021 to its key business leaders. The option awards have exercise prices that are in all cases materially above the trading price of the Company's common stock as of the date of grant. The options are awarded in six tranches, with exercise prices that start at $25.24 and increase in $7.21 increments to a $61.29 exercise price. All options remain exercisable for 10 years from the date of grant. These awards will vest ratably on the third, fourth and fifth anniversaries of the grant date. The fair value of the TBO-Rs granted was estimated using the Black-Scholes option pricing model, following the same assumptions and methodology used to value the TBOs.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TBO-R activity is presented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0" w:type="dxa"/>
            <w:vAlign w:val="bottom"/>
          </w:tcPr>
          <w:p>
            <w:pPr>
              <w:spacing w:after="0"/>
              <w:rPr>
                <w:sz w:val="1"/>
                <w:szCs w:val="1"/>
                <w:color w:val="auto"/>
              </w:rPr>
            </w:pPr>
          </w:p>
        </w:tc>
      </w:tr>
      <w:tr>
        <w:trPr>
          <w:trHeight w:val="195"/>
        </w:trPr>
        <w:tc>
          <w:tcPr>
            <w:tcW w:w="4580" w:type="dxa"/>
            <w:vAlign w:val="bottom"/>
            <w:gridSpan w:val="2"/>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(000s)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($000s)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28"/>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29, 2023</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ind w:left="460"/>
              <w:spacing w:after="0" w:line="181" w:lineRule="exact"/>
              <w:rPr>
                <w:sz w:val="20"/>
                <w:szCs w:val="20"/>
                <w:color w:val="auto"/>
              </w:rPr>
            </w:pPr>
            <w:r>
              <w:rPr>
                <w:rFonts w:ascii="Times New Roman" w:cs="Times New Roman" w:eastAsia="Times New Roman" w:hAnsi="Times New Roman"/>
                <w:sz w:val="18"/>
                <w:szCs w:val="18"/>
                <w:color w:val="auto"/>
              </w:rPr>
              <w:t>Adjustments to Aramark awards related to the spin-off</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gridSpan w:val="2"/>
            <w:shd w:val="clear" w:color="auto" w:fill="CCEEFF"/>
          </w:tcPr>
          <w:p>
            <w:pPr>
              <w:ind w:left="460"/>
              <w:spacing w:after="0" w:line="237" w:lineRule="exact"/>
              <w:rPr>
                <w:sz w:val="20"/>
                <w:szCs w:val="20"/>
                <w:color w:val="auto"/>
              </w:rPr>
            </w:pPr>
            <w:r>
              <w:rPr>
                <w:rFonts w:ascii="Times New Roman" w:cs="Times New Roman" w:eastAsia="Times New Roman" w:hAnsi="Times New Roman"/>
                <w:sz w:val="18"/>
                <w:szCs w:val="18"/>
                <w:color w:val="auto"/>
              </w:rPr>
              <w:t>of Vestis</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September 27, 2024</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5.7</w:t>
            </w: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27, 2024</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5.7</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to vest at September 27, 2024</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60" w:hanging="334"/>
        <w:spacing w:after="0"/>
        <w:tabs>
          <w:tab w:leader="none" w:pos="36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spin-off of Vestis, all outstanding Aramark awards were adjusted to preserve the aggregate value of the awards as measured immediately prior to the spin-off.</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2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6"/>
                <w:szCs w:val="16"/>
                <w:color w:val="auto"/>
              </w:rPr>
            </w:pPr>
          </w:p>
        </w:tc>
        <w:tc>
          <w:tcPr>
            <w:tcW w:w="1780" w:type="dxa"/>
            <w:vAlign w:val="bottom"/>
            <w:gridSpan w:val="3"/>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5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intrinsic value exercised (in millions)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that vested (in millions)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Time-Based Restricted Stock Units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annual RSU grants for fiscal 2024, fiscal 2023 and fiscal 2022 were awarded in November 2023, November 2022, and November 2021 respectively. For RSU grants awarded during or subsequent to November 2022 and prior to September 2020, the RSU agreement provides that 25% of each grant will vest and be settled in shares on each of the first four anniversaries of the grant date, subject to the participant's continued employment with the Company through each such anniversary. For RSU grants awarded between September 2020 and October 2022, the RSU agreement provides that 33% of each grant will vest and be settled in shares on each of the first three anniversaries of the date of grant, subject to the participant's continued employment with the Company through each such anniversary. The grant-date fair value of RSUs is based on the fair value of the Company's common stock. Participants holding RSUs will receive the benefit of any dividends paid on shares in the form of additional RSUs. The unvested units are subject to forfeiture if employment is terminated other than due to death, disability or retirement and the units are nontransferable while subject to forfeiture.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1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6"/>
        </w:trPr>
        <w:tc>
          <w:tcPr>
            <w:tcW w:w="7720" w:type="dxa"/>
            <w:vAlign w:val="bottom"/>
            <w:gridSpan w:val="2"/>
            <w:vMerge w:val="continue"/>
          </w:tcPr>
          <w:p>
            <w:pPr>
              <w:spacing w:after="0"/>
              <w:rPr>
                <w:sz w:val="17"/>
                <w:szCs w:val="17"/>
                <w:color w:val="auto"/>
              </w:rPr>
            </w:pPr>
          </w:p>
        </w:tc>
        <w:tc>
          <w:tcPr>
            <w:tcW w:w="11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(000s)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29, 2023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Awards transferred to Vestis at spin-off </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gridSpan w:val="2"/>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 to Aramark awards related to the spin-off of Vestis</w:t>
            </w:r>
            <w:r>
              <w:rPr>
                <w:rFonts w:ascii="Times New Roman" w:cs="Times New Roman" w:eastAsia="Times New Roman" w:hAnsi="Times New Roman"/>
                <w:sz w:val="23"/>
                <w:szCs w:val="23"/>
                <w:color w:val="auto"/>
                <w:vertAlign w:val="superscript"/>
              </w:rPr>
              <w:t>(2)</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27, 2024</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right="120" w:hanging="334"/>
        <w:spacing w:after="0" w:line="229" w:lineRule="auto"/>
        <w:tabs>
          <w:tab w:leader="none" w:pos="36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spin-off of Vestis, all unvested Aramark RSUs which had been granted to Uniform segment employees were converted into Vestis awards. These awards preserved the same intrinsic value, as well as general terms and conditions, of the original Aramark awards.</w:t>
      </w:r>
    </w:p>
    <w:p>
      <w:pPr>
        <w:spacing w:after="0" w:line="25" w:lineRule="exact"/>
        <w:rPr>
          <w:rFonts w:ascii="Times New Roman" w:cs="Times New Roman" w:eastAsia="Times New Roman" w:hAnsi="Times New Roman"/>
          <w:sz w:val="13"/>
          <w:szCs w:val="13"/>
          <w:color w:val="auto"/>
        </w:rPr>
      </w:pPr>
    </w:p>
    <w:p>
      <w:pPr>
        <w:ind w:left="360" w:hanging="334"/>
        <w:spacing w:after="0"/>
        <w:tabs>
          <w:tab w:leader="none" w:pos="36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spin-off of Vestis, all unvested Aramark awards were adjusted to preserve the aggregate value of the awards as measured immediately prior to the spin-off.</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that vested (in millions)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5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Under the 2013 Stock Plan and 2023 Stock Plan, the Company is authorized to grant PSUs to its employees. A participant is eligible to become vested in a number of PSUs equal to a percentage, higher or lower, of the target number of PSUs granted based on the level of the Company's achievement of the performance condition. During fiscal 2024 and fiscal 2023,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Company granted PSUs subject to the level of achievement of adjusted revenue growth, adjusted earnings per share, actual return on invested capital and total shareholder return for the cumulative performance period of three years and the participant's continued employment with the Company over four years. The Company is accounting for the fiscal 2024 and fiscal 2023 grants as performance-based awards, with a market condition, valued utilizing the Monte Carlo Simulation pricing model, which calculates multiple potential outcomes for an award and establishes fair value based on the most likely outcome. The grant-date fair value of the PSUs is based on the fair value of the Company's common stock. During fiscal 2022, the Company granted PSUs subject to the level of achievement of adjusted revenue growth, adjusted operating income growth and a total shareholder return multiplier for the cumulative performance period of three years and the participant's continued employment with the Company over three years. The Company also granted PSUs during fiscal 2022 subject to the level of achievement of actual return on invested capital for the cumulative performance period of three years and the participant's continued employment with the Company over three years. The Company is accounting for the fiscal 2022 grants as performance-based awards, with a market condition, valued utilizing the Monte Carlo Simulation pricing model. The grant-date fair value of the PSUs is based on the fair value of the Company's common stock. No share-based compensation expense was recorded during fiscal 2022 related to PSUs granted during fiscal 2020 as the performance targets for the awards were not met.</w:t>
      </w:r>
    </w:p>
    <w:p>
      <w:pPr>
        <w:spacing w:after="0" w:line="6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On October 13, 2023, the Company's Compensation and Human Resources Committee of the Board of Directors (the "Committee"), pursuant to the terms of the Third Amended and Restated 2013 Stock Incentive Plan and to reflect the separation and distribution of the Company’s Uniform segment that occurred on September 30, 2023, approved amendments to the performance goals and performance periods for the Company’s outstanding PSUs. For the PSUs granted in fiscal 2022, which were subject to performance targets for the three-year period ending September 27, 2024, two-thirds of these PSUs became subject to new adjusted performance targets and an adjusted performance period for the two-year period ending September 29, 2023 and the remaining one-third of these PSUs became subject to new adjusted performance targets for the one-year period ending September 27, 2024. The PSUs granted in fiscal 2023, which were subject to performance targets for the three-year period ending October 3, 2025, were amended to be subject to adjusted performance targets primarily to reflect the Company on a post-spin off basis. The Committee also approved adjustments increasing the maximum aggregate number of shares authorized for awards under the 2023 Stock Plan by an additional 3.5 million shares.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Stock Units</w:t>
            </w:r>
          </w:p>
        </w:tc>
        <w:tc>
          <w:tcPr>
            <w:tcW w:w="11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7720" w:type="dxa"/>
            <w:vAlign w:val="bottom"/>
            <w:gridSpan w:val="2"/>
            <w:vMerge w:val="continue"/>
          </w:tcPr>
          <w:p>
            <w:pPr>
              <w:spacing w:after="0"/>
              <w:rPr>
                <w:sz w:val="17"/>
                <w:szCs w:val="17"/>
                <w:color w:val="auto"/>
              </w:rPr>
            </w:pPr>
          </w:p>
        </w:tc>
        <w:tc>
          <w:tcPr>
            <w:tcW w:w="11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(000s)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9"/>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29, 2023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Awards transferred to Vestis at spin-off </w:t>
            </w:r>
            <w:r>
              <w:rPr>
                <w:rFonts w:ascii="Times New Roman" w:cs="Times New Roman" w:eastAsia="Times New Roman" w:hAnsi="Times New Roman"/>
                <w:sz w:val="23"/>
                <w:szCs w:val="23"/>
                <w:color w:val="auto"/>
                <w:vertAlign w:val="superscript"/>
              </w:rPr>
              <w:t>(1)</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 to Aramark awards related to the spin-off of Vestis</w:t>
            </w:r>
            <w:r>
              <w:rPr>
                <w:rFonts w:ascii="Times New Roman" w:cs="Times New Roman" w:eastAsia="Times New Roman" w:hAnsi="Times New Roman"/>
                <w:sz w:val="23"/>
                <w:szCs w:val="23"/>
                <w:color w:val="auto"/>
                <w:vertAlign w:val="superscript"/>
              </w:rPr>
              <w:t>(2)</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September 27, 2024</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right="120" w:hanging="334"/>
        <w:spacing w:after="0" w:line="229" w:lineRule="auto"/>
        <w:tabs>
          <w:tab w:leader="none" w:pos="36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spin-off of Vestis, all unvested Aramark PSUs which had been granted to Uniform segment employees were converted into Vestis awards. These awards preserved the same intrinsic value, as well as general terms and conditions, of the original Aramark awards.</w:t>
      </w:r>
    </w:p>
    <w:p>
      <w:pPr>
        <w:spacing w:after="0" w:line="25" w:lineRule="exact"/>
        <w:rPr>
          <w:rFonts w:ascii="Times New Roman" w:cs="Times New Roman" w:eastAsia="Times New Roman" w:hAnsi="Times New Roman"/>
          <w:sz w:val="13"/>
          <w:szCs w:val="13"/>
          <w:color w:val="auto"/>
        </w:rPr>
      </w:pPr>
    </w:p>
    <w:p>
      <w:pPr>
        <w:ind w:left="360" w:hanging="334"/>
        <w:spacing w:after="0"/>
        <w:tabs>
          <w:tab w:leader="none" w:pos="36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spin-off of Vestis, all unvested Aramark awards were adjusted to preserve the aggregate value of the awards as measured immediately prior to the spin-off.</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Stock Units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Deferred Stock Units are issued only to non-employee members of the Board of Directors and represent the right to receive shares of the Company's common stock in the future. Each Deferred Stock Unit will be converted to one share of the Company's common stock either on the first day of the seventh month after which such director ceases to serve as a member of the Board of Directors or at the director's election upon vesting. The grant-date fair value of Deferred Stock Units is based on the fair value of the Company's common stock. The Deferred Stock Units vest on the day prior to the next annual meeting of stockholders (which is generally one year after grant). The Company granted 64,421 Deferred Stock Units during fiscal 2024. In addition, directors may elect to defer their cash retainer into Deferred Stock Units which are fully vested upon issuance.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February 2, 2021, the Company’s stockholders approved the Aramark 2021 ESPP. The ESPP allows eligible employees to contribute up to 10% of their eligible pay toward the quarterly purchase of the Company’s common stock, subject to an annual maximum dollar amount. The purchase price is 85% of the lesser of the i) fair market value per share of the Company’s common stock as determined on the purchase date or ii) fair market value per share of the Company’s common stock as determined on the first trading day of the quarterly offering period. Purchases under the ESPP are made in March, June, September, and December. The aggregate number of shares of common stock that may be issued under the ESPP may not exceed 12.5 million shares. There were 0.4 million and 1.3 million shares purchased under the ESPP during the fiscal years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29, 2023 and September 30, 2022, respectively. The Company suspended its ESPP beginning in the second quarter of fiscal 2023.</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EARNINGS PER SHARE: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spacing w:after="0" w:line="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attributable to the Company's stockholders (in thousands, except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16"/>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94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Net income from Continuing Operations attributable</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Aramark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447,676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155,396</w:t>
            </w:r>
          </w:p>
        </w:tc>
        <w:tc>
          <w:tcPr>
            <w:tcW w:w="0" w:type="dxa"/>
            <w:vAlign w:val="bottom"/>
          </w:tcPr>
          <w:p>
            <w:pPr>
              <w:spacing w:after="0"/>
              <w:rPr>
                <w:sz w:val="1"/>
                <w:szCs w:val="1"/>
                <w:color w:val="auto"/>
              </w:rPr>
            </w:pPr>
          </w:p>
        </w:tc>
      </w:tr>
      <w:tr>
        <w:trPr>
          <w:trHeight w:val="223"/>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674,108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194,484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257,314</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23"/>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266,200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262,594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259,074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Aramark stockholders: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29"/>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164"/>
        </w:trPr>
        <w:tc>
          <w:tcPr>
            <w:tcW w:w="5940" w:type="dxa"/>
            <w:vAlign w:val="bottom"/>
            <w:tcBorders>
              <w:top w:val="single" w:sz="8" w:color="CCEEFF"/>
            </w:tcBorders>
            <w:shd w:val="clear" w:color="auto" w:fill="CCEEFF"/>
          </w:tcPr>
          <w:p>
            <w:pPr>
              <w:ind w:left="440"/>
              <w:spacing w:after="0" w:line="164" w:lineRule="exact"/>
              <w:rPr>
                <w:sz w:val="20"/>
                <w:szCs w:val="20"/>
                <w:color w:val="auto"/>
              </w:rPr>
            </w:pPr>
            <w:r>
              <w:rPr>
                <w:rFonts w:ascii="Times New Roman" w:cs="Times New Roman" w:eastAsia="Times New Roman" w:hAnsi="Times New Roman"/>
                <w:sz w:val="18"/>
                <w:szCs w:val="18"/>
                <w:color w:val="auto"/>
              </w:rPr>
              <w:t>Basic earnings per share attributable to Aramark</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27"/>
        </w:trPr>
        <w:tc>
          <w:tcPr>
            <w:tcW w:w="5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Aramark stockholders: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164"/>
        </w:trPr>
        <w:tc>
          <w:tcPr>
            <w:tcW w:w="5940" w:type="dxa"/>
            <w:vAlign w:val="bottom"/>
            <w:tcBorders>
              <w:top w:val="single" w:sz="8" w:color="CCEEFF"/>
            </w:tcBorders>
            <w:shd w:val="clear" w:color="auto" w:fill="CCEEFF"/>
          </w:tcPr>
          <w:p>
            <w:pPr>
              <w:ind w:left="440"/>
              <w:spacing w:after="0" w:line="164" w:lineRule="exact"/>
              <w:rPr>
                <w:sz w:val="20"/>
                <w:szCs w:val="20"/>
                <w:color w:val="auto"/>
              </w:rPr>
            </w:pPr>
            <w:r>
              <w:rPr>
                <w:rFonts w:ascii="Times New Roman" w:cs="Times New Roman" w:eastAsia="Times New Roman" w:hAnsi="Times New Roman"/>
                <w:sz w:val="18"/>
                <w:szCs w:val="18"/>
                <w:color w:val="auto"/>
              </w:rPr>
              <w:t>Diluted earnings per share attributable to Aramark</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27"/>
        </w:trPr>
        <w:tc>
          <w:tcPr>
            <w:tcW w:w="5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shares that were outstanding but were not included in the diluted earnings per common share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6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60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Share-based awards</w:t>
            </w:r>
            <w:r>
              <w:rPr>
                <w:rFonts w:ascii="Times New Roman" w:cs="Times New Roman" w:eastAsia="Times New Roman" w:hAnsi="Times New Roman"/>
                <w:sz w:val="23"/>
                <w:szCs w:val="23"/>
                <w:color w:val="auto"/>
                <w:vertAlign w:val="superscript"/>
              </w:rPr>
              <w:t>(1)</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0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r>
              <w:rPr>
                <w:rFonts w:ascii="Times New Roman" w:cs="Times New Roman" w:eastAsia="Times New Roman" w:hAnsi="Times New Roman"/>
                <w:sz w:val="23"/>
                <w:szCs w:val="23"/>
                <w:color w:val="auto"/>
                <w:vertAlign w:val="superscript"/>
              </w:rPr>
              <w:t>(2)</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ind w:left="320"/>
        <w:spacing w:after="0"/>
        <w:rPr>
          <w:sz w:val="20"/>
          <w:szCs w:val="20"/>
          <w:color w:val="auto"/>
        </w:rPr>
      </w:pPr>
      <w:r>
        <w:rPr>
          <w:rFonts w:ascii="Times New Roman" w:cs="Times New Roman" w:eastAsia="Times New Roman" w:hAnsi="Times New Roman"/>
          <w:sz w:val="13"/>
          <w:szCs w:val="13"/>
          <w:color w:val="auto"/>
        </w:rPr>
        <w:t>Share-based awards were not included in the computation of diluted earnings per common share, as their effect would have been antidilutive.</w:t>
      </w:r>
    </w:p>
    <w:p>
      <w:pPr>
        <w:spacing w:after="0" w:line="12" w:lineRule="exact"/>
        <w:rPr>
          <w:sz w:val="20"/>
          <w:szCs w:val="20"/>
          <w:color w:val="auto"/>
        </w:rPr>
      </w:pPr>
    </w:p>
    <w:p>
      <w:pPr>
        <w:ind w:left="320" w:hanging="294"/>
        <w:spacing w:after="0"/>
        <w:tabs>
          <w:tab w:leader="none" w:pos="3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PSUs were not included in the computation of diluted earnings per common share, as the performance targets were not yet met.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10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has capital and other purchase commitments of approximately $959.0 million at September 27, 2024, primarily in connection with commitments for capital projects to help finance improvements or renovations at the facilities in which the Company operates.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27, 2024, the Company also has letters of credit outstanding in the amount of $85.3 million.</w:t>
      </w:r>
    </w:p>
    <w:p>
      <w:pPr>
        <w:spacing w:after="0" w:line="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From time to time, the Company and its subsidiaries are party to various legal actions, proceedings and investigations involving claims incidental to the conduct of their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environmental laws, ESG-related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was involved in a dispute with a client regarding Aramark’s provision of services pursuant to a contract. During fiscal 2022, the Company resolved the matter by entering into a settlement agreement with the client whereby the Company's obligations totaled $13.6 million, resulting in a reversal of previously reserved amounts of $5.7 million, which is included in "Cost of services provided (exclusive of depreciation and amortization)" on the Consolidated Statements of Income.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SEGMENTS:</w:t>
      </w:r>
    </w:p>
    <w:p>
      <w:pPr>
        <w:spacing w:after="0" w:line="5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The Company reports its operating results in two reportable segments: FSS United States and FSS International. The Company defines its segments as those operations whose results the chief operating decision maker, identified as the Chief Executive Officer, regularly reviews to analyze performance and allocate resources. Approximately 84% of the global revenue is related to food services and 16% is related to facilities services. Financial information by segment is as follows (in millions):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00" w:type="dxa"/>
            <w:vAlign w:val="bottom"/>
            <w:vMerge w:val="continue"/>
          </w:tcPr>
          <w:p>
            <w:pPr>
              <w:spacing w:after="0"/>
              <w:rPr>
                <w:sz w:val="15"/>
                <w:szCs w:val="15"/>
                <w:color w:val="auto"/>
              </w:rPr>
            </w:pPr>
          </w:p>
        </w:tc>
        <w:tc>
          <w:tcPr>
            <w:tcW w:w="17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7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12,576.7</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11,721.4</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10,030.8</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3,656.4</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5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Income</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gridSpan w:val="2"/>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7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(1) Corporate includes general expenses not specifically allocated to an individual segment and share-based compensation expense (see Note 13).</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Income from Continuing Operations Before Income Taxes</w:t>
            </w: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Equity Investments, net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5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2"/>
        </w:trPr>
        <w:tc>
          <w:tcPr>
            <w:tcW w:w="5060" w:type="dxa"/>
            <w:vAlign w:val="bottom"/>
          </w:tcPr>
          <w:p>
            <w:pPr>
              <w:spacing w:after="0"/>
              <w:rPr>
                <w:sz w:val="24"/>
                <w:szCs w:val="24"/>
                <w:color w:val="auto"/>
              </w:rPr>
            </w:pPr>
          </w:p>
        </w:tc>
        <w:tc>
          <w:tcPr>
            <w:tcW w:w="10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S-47</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 Expenditures and Other*</w:t>
            </w:r>
          </w:p>
        </w:tc>
        <w:tc>
          <w:tcPr>
            <w:tcW w:w="1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00" w:type="dxa"/>
            <w:vAlign w:val="bottom"/>
            <w:vMerge w:val="continue"/>
          </w:tcPr>
          <w:p>
            <w:pPr>
              <w:spacing w:after="0"/>
              <w:rPr>
                <w:sz w:val="15"/>
                <w:szCs w:val="15"/>
                <w:color w:val="auto"/>
              </w:rPr>
            </w:pPr>
          </w:p>
        </w:tc>
        <w:tc>
          <w:tcPr>
            <w:tcW w:w="17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7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Includes amounts acquired in business combinations</w:t>
            </w: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59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24"/>
                <w:szCs w:val="24"/>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23"/>
        </w:trPr>
        <w:tc>
          <w:tcPr>
            <w:tcW w:w="5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9,652.5</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1,843.1</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3,124.8</w:t>
            </w:r>
          </w:p>
        </w:tc>
        <w:tc>
          <w:tcPr>
            <w:tcW w:w="0" w:type="dxa"/>
            <w:vAlign w:val="bottom"/>
          </w:tcPr>
          <w:p>
            <w:pPr>
              <w:spacing w:after="0"/>
              <w:rPr>
                <w:sz w:val="1"/>
                <w:szCs w:val="1"/>
                <w:color w:val="auto"/>
              </w:rPr>
            </w:pPr>
          </w:p>
        </w:tc>
      </w:tr>
      <w:tr>
        <w:trPr>
          <w:trHeight w:val="248"/>
        </w:trPr>
        <w:tc>
          <w:tcPr>
            <w:tcW w:w="59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16,871.2</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right="140" w:hanging="374"/>
        <w:spacing w:after="0" w:line="229" w:lineRule="auto"/>
        <w:tabs>
          <w:tab w:leader="none" w:pos="40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anticipation of the separation and distribution of Vestis, the Uniform legal entity executed a cash dividend to Aramark Corporate of approximately $1.5 billion, resulting in an elevated level of identifiable assets within Corporate in fiscal 2023.</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geographic data include revenue generated by subsidiaries within that geographic area and net property and equipment based on physical location (in millions):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00" w:type="dxa"/>
            <w:vAlign w:val="bottom"/>
            <w:vMerge w:val="continue"/>
          </w:tcPr>
          <w:p>
            <w:pPr>
              <w:spacing w:after="0"/>
              <w:rPr>
                <w:sz w:val="15"/>
                <w:szCs w:val="15"/>
                <w:color w:val="auto"/>
              </w:rPr>
            </w:pPr>
          </w:p>
        </w:tc>
        <w:tc>
          <w:tcPr>
            <w:tcW w:w="17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7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12,441.7</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11,536.9</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9,884.3</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3,802.9</w:t>
            </w:r>
          </w:p>
        </w:tc>
      </w:tr>
      <w:tr>
        <w:trPr>
          <w:trHeight w:val="248"/>
        </w:trPr>
        <w:tc>
          <w:tcPr>
            <w:tcW w:w="5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356"/>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24"/>
                <w:szCs w:val="24"/>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5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48"/>
        </w:trPr>
        <w:tc>
          <w:tcPr>
            <w:tcW w:w="5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OF FINANCIAL ASSETS AND FINANCIAL LIABILITIES: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54" w:lineRule="exact"/>
        <w:rPr>
          <w:sz w:val="20"/>
          <w:szCs w:val="20"/>
          <w:color w:val="auto"/>
        </w:rPr>
      </w:pPr>
    </w:p>
    <w:p>
      <w:pPr>
        <w:ind w:left="580" w:hanging="248"/>
        <w:spacing w:after="0"/>
        <w:tabs>
          <w:tab w:leader="none" w:pos="5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w:t>
      </w:r>
    </w:p>
    <w:p>
      <w:pPr>
        <w:spacing w:after="0" w:line="103"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57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6"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marketable securities, accounts receivable, accounts payable, borrowings and derivatives. Management believes that the carrying value of cash and cash equivalents, marketable securities,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September 27, 2024 and September 29, 2023 was $5,300.7 million and $6,606.7 million, respectively. The carrying value of the Company's debt at September 27, 2024 and September 29, 2023 was $5,271.5 million and $6,641.7 million, respectively. The fair values were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line="282" w:lineRule="auto"/>
        <w:rPr>
          <w:sz w:val="20"/>
          <w:szCs w:val="20"/>
          <w:color w:val="auto"/>
        </w:rPr>
      </w:pPr>
      <w:r>
        <w:rPr>
          <w:rFonts w:ascii="Times New Roman" w:cs="Times New Roman" w:eastAsia="Times New Roman" w:hAnsi="Times New Roman"/>
          <w:sz w:val="18"/>
          <w:szCs w:val="18"/>
          <w:color w:val="auto"/>
        </w:rPr>
        <w:t>computed using market quotes, if available, or based on discounted cash flows using market interest rates as of the end of the respective periods. The inputs utilized in estimating the fair value of the Company's debt has been classified as Level 2 in the fair value hierarchy levels.</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part of the Union Supply acquisition completed in fiscal 2022 (see Note 3), the Company recorded a contingent consideration obligation based on the fair value of the expected payments with a separate amount that will be accounted for as compensation expense to be recognized on the Consolidated Statements of Income over the earnout period. The Company performed a fair value assessment of the contingent consideration obligation based on the terms and conditions of the Union Supply purchase agreement,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During fiscal 2023, the Company adjusted the contingent consideration liability to the fair value of the future expected payment, resulting in income of $37.3 million, which is comprised of the adjusted contingent consideration liability recorded as part of the acquisition and reversal of a portion of compensation expense previously recognized in the Consolidated Statements of Income since the acquisition. The income is included in "Cost of services provided (exclusive of depreciation and amortization)" on the Consolidated Statements of Income for the fiscal year ended September 29, 2023. During fiscal 2024, the Company adjusted the remaining contingent consideration liability resulting in income of $9.0 million, which is included in "Cost of services provided (exclusive of depreciation and amortization)" on the Consolidated Statements of Income. The contingent consideration liability at September 27, 2024 and September 29, 2023 was zero and $8.4 million, respectively.</w:t>
      </w:r>
    </w:p>
    <w:p>
      <w:pPr>
        <w:spacing w:after="0" w:line="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the Next Level acquisition completed in fiscal 2021, the Company recorded a contingent consideration obligation based on the fair value of the expected payments. The Company performed a fair value assessment of the contingent consideration obligation based on the terms and conditions of the Next Level purchase agreement, as amended, using internal models. The inputs utilized in estimating the fair value of the contingent consideration have been classified as Level 3 in the fair value hierarchy levels and are subject to risk and uncertainty. During fiscal 2023, the Company adjusted the contingent consideration liability to the fair value of the future expected payment, resulting in income of $48.4 million, which is included in "Cost of services provided (exclusive of depreciation and amortization)" on the Consolidated Statements of Income. During fiscal 2022, the Company paid $9.3 million related to the contingent consideration liability, which was for the calendar 2021 performance period. In addition, the Company adjusted the contingent consideration liability to the fair value of future expected payments during fiscal 2022, resulting in income of $20.7 million, which is included in "Cost of services provided (exclusive of depreciation and amortization)" on the Consolidated Statements of Income. The earnout period has ended and the fair value of the contingent consideration liability at September 27, 2024 and September 29, 2023 was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 AND RESERVES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27, 2024, SEPTEMBER 29, 2023 AND SEPTEMBER 30, 2022</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Beginning of</w:t>
            </w:r>
          </w:p>
        </w:tc>
        <w:tc>
          <w:tcPr>
            <w:tcW w:w="160" w:type="dxa"/>
            <w:vAlign w:val="bottom"/>
          </w:tcPr>
          <w:p>
            <w:pPr>
              <w:spacing w:after="0"/>
              <w:rPr>
                <w:sz w:val="13"/>
                <w:szCs w:val="13"/>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Charge/(Reversal) to</w:t>
            </w: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4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Write-offs and Other </w:t>
            </w:r>
            <w:r>
              <w:rPr>
                <w:rFonts w:ascii="Times New Roman" w:cs="Times New Roman" w:eastAsia="Times New Roman" w:hAnsi="Times New Roman"/>
                <w:sz w:val="18"/>
                <w:szCs w:val="18"/>
                <w:b w:val="1"/>
                <w:bCs w:val="1"/>
                <w:color w:val="auto"/>
                <w:vertAlign w:val="superscript"/>
              </w:rPr>
              <w:t>(2)</w:t>
            </w:r>
          </w:p>
        </w:tc>
        <w:tc>
          <w:tcPr>
            <w:tcW w:w="320" w:type="dxa"/>
            <w:vAlign w:val="bottom"/>
          </w:tcPr>
          <w:p>
            <w:pPr>
              <w:spacing w:after="0"/>
              <w:rPr>
                <w:sz w:val="12"/>
                <w:szCs w:val="12"/>
                <w:color w:val="auto"/>
              </w:rPr>
            </w:pPr>
          </w:p>
        </w:tc>
        <w:tc>
          <w:tcPr>
            <w:tcW w:w="136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Income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2024</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20,102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34,259</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2023</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17,573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2022</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8"/>
              </w:rPr>
              <w:t>(7,788)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40" w:hanging="380"/>
        <w:spacing w:after="0"/>
        <w:tabs>
          <w:tab w:leader="none" w:pos="440" w:val="left"/>
        </w:tabs>
        <w:numPr>
          <w:ilvl w:val="0"/>
          <w:numId w:val="7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Represents an increase (or decrease) in the reserve for estimated future credit losses charged to expense.</w:t>
      </w:r>
    </w:p>
    <w:p>
      <w:pPr>
        <w:spacing w:after="0" w:line="114" w:lineRule="exact"/>
        <w:rPr>
          <w:rFonts w:ascii="Times New Roman" w:cs="Times New Roman" w:eastAsia="Times New Roman" w:hAnsi="Times New Roman"/>
          <w:sz w:val="25"/>
          <w:szCs w:val="25"/>
          <w:color w:val="auto"/>
          <w:vertAlign w:val="superscript"/>
        </w:rPr>
      </w:pPr>
    </w:p>
    <w:p>
      <w:pPr>
        <w:ind w:left="440" w:hanging="380"/>
        <w:spacing w:after="0" w:line="180" w:lineRule="auto"/>
        <w:tabs>
          <w:tab w:leader="none" w:pos="440" w:val="left"/>
        </w:tabs>
        <w:numPr>
          <w:ilvl w:val="0"/>
          <w:numId w:val="7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Amounts determined not to be collectible and charged against the reserve and translation. These amounts do not impact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Copies of any of the following exhibits are available to Stockholders for the cost of reproduction upon written request to the Secretary, Aramark, 2400 Market Street, Philadelphia, PA 19103.</w:t>
      </w:r>
    </w:p>
    <w:p>
      <w:pPr>
        <w:spacing w:after="0" w:line="79" w:lineRule="exact"/>
        <w:rPr>
          <w:sz w:val="20"/>
          <w:szCs w:val="20"/>
          <w:color w:val="auto"/>
        </w:rPr>
      </w:pPr>
    </w:p>
    <w:p>
      <w:pPr>
        <w:ind w:left="380"/>
        <w:spacing w:after="0"/>
        <w:tabs>
          <w:tab w:leader="none" w:pos="512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8" w:lineRule="exact"/>
        <w:rPr>
          <w:sz w:val="20"/>
          <w:szCs w:val="20"/>
          <w:color w:val="auto"/>
        </w:rPr>
      </w:pPr>
    </w:p>
    <w:p>
      <w:pPr>
        <w:ind w:left="1120" w:right="1160" w:hanging="354"/>
        <w:spacing w:after="0" w:line="244" w:lineRule="auto"/>
        <w:rPr>
          <w:rFonts w:ascii="Times New Roman" w:cs="Times New Roman" w:eastAsia="Times New Roman" w:hAnsi="Times New Roman"/>
          <w:sz w:val="17"/>
          <w:szCs w:val="17"/>
          <w:u w:val="single" w:color="auto"/>
          <w:color w:val="0000FF"/>
        </w:rPr>
      </w:pPr>
      <w:hyperlink r:id="rId127">
        <w:r>
          <w:rPr>
            <w:rFonts w:ascii="Times New Roman" w:cs="Times New Roman" w:eastAsia="Times New Roman" w:hAnsi="Times New Roman"/>
            <w:sz w:val="17"/>
            <w:szCs w:val="17"/>
            <w:u w:val="single" w:color="auto"/>
            <w:color w:val="0000FF"/>
          </w:rPr>
          <w:t>2.1 Separation and Distribution Agreement, dated as of September 29, 2023, by and between Aramark and Vestis</w:t>
        </w:r>
      </w:hyperlink>
      <w:r>
        <w:rPr>
          <w:rFonts w:ascii="Times New Roman" w:cs="Times New Roman" w:eastAsia="Times New Roman" w:hAnsi="Times New Roman"/>
          <w:sz w:val="17"/>
          <w:szCs w:val="17"/>
          <w:u w:val="single" w:color="auto"/>
          <w:color w:val="0000FF"/>
        </w:rPr>
        <w:t xml:space="preserve"> </w:t>
      </w:r>
      <w:hyperlink r:id="rId127">
        <w:r>
          <w:rPr>
            <w:rFonts w:ascii="Times New Roman" w:cs="Times New Roman" w:eastAsia="Times New Roman" w:hAnsi="Times New Roman"/>
            <w:sz w:val="17"/>
            <w:szCs w:val="17"/>
            <w:u w:val="single" w:color="auto"/>
            <w:color w:val="0000FF"/>
          </w:rPr>
          <w:t>Corporation (incorporated by reference to Exhibit 2.1 to Aramark’s Current Report on Form 8-K filed with the SEC 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-248920</wp:posOffset>
            </wp:positionV>
            <wp:extent cx="5537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ind w:left="1120"/>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October 2, 2023, pursuant to the Exchange Act (file number 001-36223)).</w:t>
        </w:r>
      </w:hyperlink>
    </w:p>
    <w:p>
      <w:pPr>
        <w:spacing w:after="0" w:line="7" w:lineRule="exact"/>
        <w:rPr>
          <w:sz w:val="20"/>
          <w:szCs w:val="20"/>
          <w:color w:val="auto"/>
        </w:rPr>
      </w:pPr>
    </w:p>
    <w:p>
      <w:pPr>
        <w:jc w:val="right"/>
        <w:ind w:left="760" w:right="1400"/>
        <w:spacing w:after="0" w:line="220"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3.1  Second Amended and Restated Certificate of Incorporation of Aramark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Aramark’s Current Report on Form 8-K filed with the SEC on January 31, 2020, pursuant to the Exchange Act (file</w:t>
        </w:r>
      </w:hyperlink>
    </w:p>
    <w:p>
      <w:pPr>
        <w:ind w:left="112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number 001-36223)).</w:t>
        </w:r>
      </w:hyperlink>
    </w:p>
    <w:p>
      <w:pPr>
        <w:spacing w:after="0" w:line="7" w:lineRule="exact"/>
        <w:rPr>
          <w:sz w:val="20"/>
          <w:szCs w:val="20"/>
          <w:color w:val="auto"/>
        </w:rPr>
      </w:pPr>
    </w:p>
    <w:p>
      <w:pPr>
        <w:ind w:left="1120" w:right="1100" w:hanging="354"/>
        <w:spacing w:after="0" w:line="234"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3.2 Certificate of Ownership and Merger (incorporated by reference to Exhibit 3.1 to Aramark’s Current Report on Form 8-</w:t>
        </w:r>
      </w:hyperlink>
      <w:hyperlink r:id="rId130">
        <w:r>
          <w:rPr>
            <w:rFonts w:ascii="Times New Roman" w:cs="Times New Roman" w:eastAsia="Times New Roman" w:hAnsi="Times New Roman"/>
            <w:sz w:val="18"/>
            <w:szCs w:val="18"/>
            <w:u w:val="single" w:color="auto"/>
            <w:color w:val="0000FF"/>
          </w:rPr>
          <w:t>K filed with the SEC on May 15, 2014, pursuant to the Exchange Act (file number 001-36223)).</w:t>
        </w:r>
      </w:hyperlink>
    </w:p>
    <w:p>
      <w:pPr>
        <w:spacing w:after="0" w:line="10" w:lineRule="exact"/>
        <w:rPr>
          <w:sz w:val="20"/>
          <w:szCs w:val="20"/>
          <w:color w:val="auto"/>
        </w:rPr>
      </w:pPr>
    </w:p>
    <w:p>
      <w:pPr>
        <w:jc w:val="center"/>
        <w:ind w:right="380"/>
        <w:spacing w:after="0" w:line="222"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3.3  Fourth Amended and Restated By-Laws of Aramark, dated August 1, 2023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Aramark’s Current Report on Form 8-K filed with the SEC on August 3, 2023, pursuant to the Exchange Act (file</w:t>
        </w:r>
      </w:hyperlink>
    </w:p>
    <w:p>
      <w:pPr>
        <w:spacing w:after="0" w:line="2" w:lineRule="exact"/>
        <w:rPr>
          <w:sz w:val="20"/>
          <w:szCs w:val="20"/>
          <w:color w:val="auto"/>
        </w:rPr>
      </w:pPr>
    </w:p>
    <w:p>
      <w:pPr>
        <w:ind w:left="112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number 001-36223)).</w:t>
        </w:r>
      </w:hyperlink>
    </w:p>
    <w:p>
      <w:pPr>
        <w:spacing w:after="0" w:line="7" w:lineRule="exact"/>
        <w:rPr>
          <w:sz w:val="20"/>
          <w:szCs w:val="20"/>
          <w:color w:val="auto"/>
        </w:rPr>
      </w:pPr>
    </w:p>
    <w:p>
      <w:pPr>
        <w:ind w:left="1120" w:right="1540" w:hanging="354"/>
        <w:spacing w:after="0" w:line="220"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4.1 Indenture dated as of March 22, 2017, among Aramark Services, Inc., as issuer, Aramark, as parent guarantor, the</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subsidiary guarantors named therein and The Bank of New York Mellon, as trustee (incorporated by reference to</w:t>
        </w:r>
      </w:hyperlink>
    </w:p>
    <w:p>
      <w:pPr>
        <w:ind w:left="1120" w:right="1120"/>
        <w:spacing w:after="0" w:line="226"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Exhibit 4.1 of Aramark's Current Report on Form 8-K filed with the SEC on March 28, 2017, pursuant to the Exchange</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Act (file number 001-36223)).</w:t>
        </w:r>
      </w:hyperlink>
    </w:p>
    <w:p>
      <w:pPr>
        <w:ind w:left="1120" w:right="1340" w:hanging="354"/>
        <w:spacing w:after="0" w:line="233" w:lineRule="auto"/>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7"/>
            <w:szCs w:val="17"/>
            <w:u w:val="single" w:color="auto"/>
            <w:color w:val="0000FF"/>
          </w:rPr>
          <w:t>4.2 Indenture dated as of March 27, 2017, among Aramark International Finance S.à.r.l., as issuer, Aramark, as parent</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guarantor, Aramark Services, Inc., the other guarantors named therein and The Bank of New York Mellon, as trustee</w:t>
        </w:r>
      </w:hyperlink>
    </w:p>
    <w:p>
      <w:pPr>
        <w:jc w:val="both"/>
        <w:ind w:left="1120" w:right="1180"/>
        <w:spacing w:after="0" w:line="218"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and registrar, and The Bank of New York Mellon, London Branch, as paying agent and transfer agent (incorporated by</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reference to Exhibit 4.2 of Aramark's Current Report on Form 8-K filed with the SEC on March 28, 2017, pursuant to</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120" w:right="1400" w:hanging="354"/>
        <w:spacing w:after="0" w:line="222"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4.3 Indenture, dated as of January 18, 2018, among Aramark Services, Inc., as issuer, Aramark, as parent guarantor, the</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subsidiary guarantors named therein and U.S. Bank National Association, as trustee (incorporated by reference to</w:t>
        </w:r>
      </w:hyperlink>
    </w:p>
    <w:p>
      <w:pPr>
        <w:spacing w:after="0" w:line="2" w:lineRule="exact"/>
        <w:rPr>
          <w:sz w:val="20"/>
          <w:szCs w:val="20"/>
          <w:color w:val="auto"/>
        </w:rPr>
      </w:pPr>
    </w:p>
    <w:p>
      <w:pPr>
        <w:ind w:left="1120" w:right="1060"/>
        <w:spacing w:after="0" w:line="226"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Exhibit 4.1 to Aramark’s Current Report on Form 8-K filed with the SEC on January 24, 2018 pursuant to the Exchange</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Act (file number 001-36223)).</w:t>
        </w:r>
      </w:hyperlink>
    </w:p>
    <w:p>
      <w:pPr>
        <w:ind w:left="1120" w:right="1520" w:hanging="354"/>
        <w:spacing w:after="0" w:line="233" w:lineRule="auto"/>
        <w:rPr>
          <w:rFonts w:ascii="Times New Roman" w:cs="Times New Roman" w:eastAsia="Times New Roman" w:hAnsi="Times New Roman"/>
          <w:sz w:val="17"/>
          <w:szCs w:val="17"/>
          <w:u w:val="single" w:color="auto"/>
          <w:color w:val="0000FF"/>
        </w:rPr>
      </w:pPr>
      <w:hyperlink r:id="rId135">
        <w:r>
          <w:rPr>
            <w:rFonts w:ascii="Times New Roman" w:cs="Times New Roman" w:eastAsia="Times New Roman" w:hAnsi="Times New Roman"/>
            <w:sz w:val="17"/>
            <w:szCs w:val="17"/>
            <w:u w:val="single" w:color="auto"/>
            <w:color w:val="0000FF"/>
          </w:rPr>
          <w:t>4.4 Indenture, dated as of April 27, 2020, among Aramark Services, Inc., as issuer, Aramark Intermediate Holdco</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Corporation, as parent guarantor, the subsidiary guarantors named therein and U.S. Bank National Association, as</w:t>
        </w:r>
      </w:hyperlink>
    </w:p>
    <w:p>
      <w:pPr>
        <w:ind w:left="1120" w:right="1120"/>
        <w:spacing w:after="0" w:line="226"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trustee (incorporated by reference to Exhibit 4.1 of Aramark’s Current Report on Form 8-K filed with the SEC on April</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28, 2020, pursuant to the Exchange Act (file number 001-36223)).</w:t>
        </w:r>
      </w:hyperlink>
    </w:p>
    <w:p>
      <w:pPr>
        <w:ind w:left="1120" w:right="1120" w:hanging="354"/>
        <w:spacing w:after="0" w:line="220"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4.5 Second Supplemental Indenture governing the 5.000% Senior Notes due April 2025, dated as of April 30, 2021, among</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the subsidiary guarantors named therein, each a subsidiary of Aramark Services, Inc., and The Bank of New York</w:t>
        </w:r>
      </w:hyperlink>
    </w:p>
    <w:p>
      <w:pPr>
        <w:ind w:left="1120" w:right="1140"/>
        <w:spacing w:after="0" w:line="226"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Mellon, as trustee (incorporated by reference to Exhibit 4.1 to Aramark's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SEC on May 11, 2021, pursuant to the Exchange Act (file number 001-36223)).</w:t>
        </w:r>
      </w:hyperlink>
    </w:p>
    <w:p>
      <w:pPr>
        <w:ind w:left="1120" w:right="1120" w:hanging="354"/>
        <w:spacing w:after="0" w:line="220"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4.6 Second Supplemental Indenture governing the 3.125% Senior Notes due April 2025, dated as of April 30, 2021, among</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the subsidiary guarantors named therein, each a subsidiary of Aramark Services, Inc., and The Bank of New York</w:t>
        </w:r>
      </w:hyperlink>
    </w:p>
    <w:p>
      <w:pPr>
        <w:ind w:left="1120" w:right="1140"/>
        <w:spacing w:after="0" w:line="226"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Mellon, as trustee (incorporated by reference to Exhibit 4.2 to Aramark's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SEC on May 11, 2021, pursuant to the Exchange Act (file number 001-36223)).</w:t>
        </w:r>
      </w:hyperlink>
    </w:p>
    <w:p>
      <w:pPr>
        <w:ind w:left="1120" w:right="1280" w:hanging="354"/>
        <w:spacing w:after="0" w:line="233" w:lineRule="auto"/>
        <w:rPr>
          <w:rFonts w:ascii="Times New Roman" w:cs="Times New Roman" w:eastAsia="Times New Roman" w:hAnsi="Times New Roman"/>
          <w:sz w:val="17"/>
          <w:szCs w:val="17"/>
          <w:u w:val="single" w:color="auto"/>
          <w:color w:val="0000FF"/>
        </w:rPr>
      </w:pPr>
      <w:hyperlink r:id="rId138">
        <w:r>
          <w:rPr>
            <w:rFonts w:ascii="Times New Roman" w:cs="Times New Roman" w:eastAsia="Times New Roman" w:hAnsi="Times New Roman"/>
            <w:sz w:val="17"/>
            <w:szCs w:val="17"/>
            <w:u w:val="single" w:color="auto"/>
            <w:color w:val="0000FF"/>
          </w:rPr>
          <w:t>4.7 Second Supplemental Indenture governing the 5.000% Senior Notes due February 2028, dated as of April 30, 2021,</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among the subsidiary guarantors named therein, each a subsidiary of Aramark Services, Inc., and U.S. Bank National</w:t>
        </w:r>
      </w:hyperlink>
    </w:p>
    <w:p>
      <w:pPr>
        <w:ind w:left="1120" w:right="1060"/>
        <w:spacing w:after="0" w:line="226"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Association, as trustee (incorporated by reference to Exhibit 4.5 to Aramark's Quarterly Report on Form 10-Q filed with</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the SEC on May 11, 2021, pursuant to the Exchange Act (file number 001-36223)).</w:t>
        </w:r>
      </w:hyperlink>
    </w:p>
    <w:p>
      <w:pPr>
        <w:jc w:val="right"/>
        <w:ind w:left="760" w:right="1400"/>
        <w:spacing w:after="0" w:line="220"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4.8  Third Supplemental Indenture governing the 3.125% Senior Notes due April 2025, dated as of December 16, 2022,</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among the subsidiary guarantors named therein, each a subsidiary of Aramark Services, Inc., and The Bank of New</w:t>
        </w:r>
      </w:hyperlink>
    </w:p>
    <w:p>
      <w:pPr>
        <w:ind w:left="1120" w:right="1360"/>
        <w:spacing w:after="0" w:line="226"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York Mellon, as trustee (incorporated by reference to Exhibit 4.2 to Aramark's Quarterly Report on Form 10-Q filed</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with the SEC on February 7, 2023, pursuant to the Exchange Act (file number 001-36223)).</w:t>
        </w:r>
      </w:hyperlink>
    </w:p>
    <w:p>
      <w:pPr>
        <w:jc w:val="right"/>
        <w:ind w:left="760" w:right="1400"/>
        <w:spacing w:after="0" w:line="220"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4.9  Third Supplemental Indenture governing the 5.000% Senior Notes due April 2025, dated as of December 16, 2022,</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among the subsidiary guarantors named therein, each a subsidiary of Aramark Services, Inc., and The Bank of New</w:t>
        </w:r>
      </w:hyperlink>
    </w:p>
    <w:p>
      <w:pPr>
        <w:ind w:left="1120" w:right="1360"/>
        <w:spacing w:after="0" w:line="226"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York Mellon, as trustee (incorporated by reference to Exhibit 4.2 to Aramark's Quarterly Report on Form 10-Q filed</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with the SEC on February 7, 2023, pursuant to the Exchange Act (file number 001-36223)).</w:t>
        </w:r>
      </w:hyperlink>
    </w:p>
    <w:p>
      <w:pPr>
        <w:ind w:left="1120" w:right="1160" w:hanging="444"/>
        <w:spacing w:after="0" w:line="220"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4.10 Third Supplemental Indenture governing the 5.000% Senior Notes due February 2028, dated as of December 16, 2022,</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among the subsidiary guarantors named therein, each a subsidiary of Aramark Services, Inc., and U.S. Bank National</w:t>
        </w:r>
      </w:hyperlink>
    </w:p>
    <w:p>
      <w:pPr>
        <w:ind w:left="1120" w:right="1060"/>
        <w:spacing w:after="0" w:line="226"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Association, as trustee (incorporated by reference to Exhibit 4.4 to Aramark's Quarterly Report on Form 10-Q filed with</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the SEC on February 7, 2023, pursuant to the Exchange Act (file number 001-36223)).</w:t>
        </w:r>
      </w:hyperlink>
    </w:p>
    <w:p>
      <w:pPr>
        <w:ind w:left="1120" w:right="1180" w:hanging="438"/>
        <w:spacing w:after="0" w:line="233" w:lineRule="auto"/>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7"/>
            <w:szCs w:val="17"/>
            <w:u w:val="single" w:color="auto"/>
            <w:color w:val="0000FF"/>
          </w:rPr>
          <w:t>4.11 Description of the Company's Common Stock, par value $0.01 per share (incorporated by reference to Exhibit 4.6 to</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Aramark’s Annual Report on Form 10-K filed with the SEC on November 24, 2020 pursuant to the Exchange Act (file</w:t>
        </w:r>
      </w:hyperlink>
    </w:p>
    <w:p>
      <w:pPr>
        <w:ind w:left="112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number 001-36223)).</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75" w:right="7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20" w:right="739" w:hanging="444"/>
        <w:spacing w:after="0" w:line="216"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10.1 Credit Agreement, dated as of March 28, 2017, among Aramark Services, Inc., Aramark Intermediate HoldCo</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Corporation, ARAMARK Canada Ltd., ARAMARK Investments Limited, ARAMARK Ireland Holdings Limited,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ARAMARK Regional Treasury Europe, Designated Activity Company, ARAMARK Holdings GmbH &amp; Co. KG,</w:t>
        </w:r>
      </w:hyperlink>
    </w:p>
    <w:p>
      <w:pPr>
        <w:spacing w:after="0" w:line="1" w:lineRule="exact"/>
        <w:rPr>
          <w:rFonts w:ascii="Times New Roman" w:cs="Times New Roman" w:eastAsia="Times New Roman" w:hAnsi="Times New Roman"/>
          <w:sz w:val="18"/>
          <w:szCs w:val="18"/>
          <w:u w:val="single" w:color="auto"/>
          <w:color w:val="0000FF"/>
        </w:rPr>
      </w:pPr>
    </w:p>
    <w:p>
      <w:pPr>
        <w:ind w:left="1120" w:right="459"/>
        <w:spacing w:after="0" w:line="208"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Aramark International Finance S.à.r.l., each subsidiary of the United States Borrower that from time to time becomes a</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party thereto, the financial institutions from time to time party thereto, the issuing banks named therein, JPMorgan</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Chase Bank, N.A., as administrative agent for the lenders and collateral agent for the secured parties thereunder</w:t>
        </w:r>
      </w:hyperlink>
    </w:p>
    <w:p>
      <w:pPr>
        <w:spacing w:after="0" w:line="2" w:lineRule="exact"/>
        <w:rPr>
          <w:rFonts w:ascii="Times New Roman" w:cs="Times New Roman" w:eastAsia="Times New Roman" w:hAnsi="Times New Roman"/>
          <w:sz w:val="18"/>
          <w:szCs w:val="18"/>
          <w:u w:val="single" w:color="auto"/>
          <w:color w:val="0000FF"/>
        </w:rPr>
      </w:pPr>
    </w:p>
    <w:p>
      <w:pPr>
        <w:ind w:left="1120" w:right="579"/>
        <w:spacing w:after="0" w:line="226"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(incorporated by reference to Exhibit 10.1 of Aramark’s Current Report on Form 8-K/A filed with the SEC on March</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29, 2017, pursuant to the Exchange Act (file number 001-36223)).</w:t>
        </w:r>
      </w:hyperlink>
    </w:p>
    <w:p>
      <w:pPr>
        <w:spacing w:after="0" w:line="9" w:lineRule="exact"/>
        <w:rPr>
          <w:sz w:val="20"/>
          <w:szCs w:val="20"/>
          <w:color w:val="auto"/>
        </w:rPr>
      </w:pPr>
    </w:p>
    <w:p>
      <w:pPr>
        <w:ind w:left="1120" w:right="339" w:hanging="444"/>
        <w:spacing w:after="0" w:line="229" w:lineRule="auto"/>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7"/>
            <w:szCs w:val="17"/>
            <w:u w:val="single" w:color="auto"/>
            <w:color w:val="0000FF"/>
          </w:rPr>
          <w:t>10.2 Incremental Amendment No. 1, dated as of September 20, 2017, among Aramark Services, Inc. (the “Company”)</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Aramark Intermediate HoldCo Corporation, ARAMARK Canada Ltd. (“Aramark Canada”), ARAMARK Investments</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Limited (“Aramark UK”), and certain wholly-owned subsidiaries of the Company, the financial institutions party thereto</w:t>
        </w:r>
      </w:hyperlink>
    </w:p>
    <w:p>
      <w:pPr>
        <w:jc w:val="both"/>
        <w:ind w:left="1120" w:right="419"/>
        <w:spacing w:after="0" w:line="220" w:lineRule="auto"/>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7"/>
            <w:szCs w:val="17"/>
            <w:u w:val="single" w:color="auto"/>
            <w:color w:val="0000FF"/>
          </w:rPr>
          <w:t>and JPMorgan Chase Bank, N.A. as administrative agent for the Lenders (as defined below) and collateral agent for the</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secured parties thereunder to the credit agreement, dated March 28, 2017, among the Company, Aramark Intermediate</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HoldCo Corporation, Aramark Canada, Aramark UK, ARAMARK Ireland Holdings Limited, ARAMARK Regional</w:t>
        </w:r>
      </w:hyperlink>
    </w:p>
    <w:p>
      <w:pPr>
        <w:spacing w:after="0" w:line="2" w:lineRule="exact"/>
        <w:rPr>
          <w:rFonts w:ascii="Times New Roman" w:cs="Times New Roman" w:eastAsia="Times New Roman" w:hAnsi="Times New Roman"/>
          <w:sz w:val="17"/>
          <w:szCs w:val="17"/>
          <w:u w:val="single" w:color="auto"/>
          <w:color w:val="0000FF"/>
        </w:rPr>
      </w:pPr>
    </w:p>
    <w:p>
      <w:pPr>
        <w:ind w:left="1120" w:right="459"/>
        <w:spacing w:after="0" w:line="220" w:lineRule="auto"/>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7"/>
            <w:szCs w:val="17"/>
            <w:u w:val="single" w:color="auto"/>
            <w:color w:val="0000FF"/>
          </w:rPr>
          <w:t>Treasury Europe, Designated Activity Company, ARAMARK Holdings GmbH &amp; Co. KG, Aramark International</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Finance S.à.r.l. and certain wholly-owned domestic subsidiaries of the Company, the financial institutions from time to</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time party thereto (including the financial institutions party to the Incremental Amendment, the “Lenders”), the issuing</w:t>
        </w:r>
      </w:hyperlink>
    </w:p>
    <w:p>
      <w:pPr>
        <w:spacing w:after="0" w:line="2" w:lineRule="exact"/>
        <w:rPr>
          <w:rFonts w:ascii="Times New Roman" w:cs="Times New Roman" w:eastAsia="Times New Roman" w:hAnsi="Times New Roman"/>
          <w:sz w:val="17"/>
          <w:szCs w:val="17"/>
          <w:u w:val="single" w:color="auto"/>
          <w:color w:val="0000FF"/>
        </w:rPr>
      </w:pPr>
    </w:p>
    <w:p>
      <w:pPr>
        <w:ind w:left="1120" w:right="499"/>
        <w:spacing w:after="0" w:line="218"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banks named therein and JPMorgan Chase Bank, N.A., as administrative agent for the Lenders and collateral agent for</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the secured parties thereunder (incorporated by reference to Exhibit 10.1 to Aramark's Current Report on Form 8-K</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filed with the SEC on September 26, 2017,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120" w:right="499" w:hanging="444"/>
        <w:spacing w:after="0" w:line="21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10.3 Incremental Amendment No. 2, dated as of December 11, 2017, among Aramark Services, Inc., Aramark Intermediate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HoldCo Corporation (“Holdings”) and certain wholly-owned subsidiaries of Aramark Services, Inc., the financial</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institutions party thereto and JPMorgan Chase Bank, N.A. as administrative agent for the Lenders (as defined below)</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120" w:right="499"/>
        <w:spacing w:after="0" w:line="220" w:lineRule="auto"/>
        <w:rPr>
          <w:rFonts w:ascii="Times New Roman" w:cs="Times New Roman" w:eastAsia="Times New Roman" w:hAnsi="Times New Roman"/>
          <w:sz w:val="17"/>
          <w:szCs w:val="17"/>
          <w:u w:val="single" w:color="auto"/>
          <w:color w:val="0000FF"/>
        </w:rPr>
      </w:pPr>
      <w:hyperlink r:id="rId146">
        <w:r>
          <w:rPr>
            <w:rFonts w:ascii="Times New Roman" w:cs="Times New Roman" w:eastAsia="Times New Roman" w:hAnsi="Times New Roman"/>
            <w:sz w:val="17"/>
            <w:szCs w:val="17"/>
            <w:u w:val="single" w:color="auto"/>
            <w:color w:val="0000FF"/>
          </w:rPr>
          <w:t>and collateral agent for the secured parties thereunder to the credit agreement, dated March 28, 2017, among Aramark</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Services, Inc., Holdings, ARAMARK Canada Ltd., ARAMARK Investments Limited, ARAMARK Ireland Holdings</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Limited, ARAMARK Regional Treasury Europe, Designated Activity Company, ARAMARK Holdings GmbH &amp; Co.</w:t>
        </w:r>
      </w:hyperlink>
    </w:p>
    <w:p>
      <w:pPr>
        <w:spacing w:after="0" w:line="2" w:lineRule="exact"/>
        <w:rPr>
          <w:rFonts w:ascii="Times New Roman" w:cs="Times New Roman" w:eastAsia="Times New Roman" w:hAnsi="Times New Roman"/>
          <w:sz w:val="17"/>
          <w:szCs w:val="17"/>
          <w:u w:val="single" w:color="auto"/>
          <w:color w:val="0000FF"/>
        </w:rPr>
      </w:pPr>
    </w:p>
    <w:p>
      <w:pPr>
        <w:ind w:left="1120" w:right="359"/>
        <w:spacing w:after="0" w:line="220" w:lineRule="auto"/>
        <w:rPr>
          <w:rFonts w:ascii="Times New Roman" w:cs="Times New Roman" w:eastAsia="Times New Roman" w:hAnsi="Times New Roman"/>
          <w:sz w:val="17"/>
          <w:szCs w:val="17"/>
          <w:u w:val="single" w:color="auto"/>
          <w:color w:val="0000FF"/>
        </w:rPr>
      </w:pPr>
      <w:hyperlink r:id="rId146">
        <w:r>
          <w:rPr>
            <w:rFonts w:ascii="Times New Roman" w:cs="Times New Roman" w:eastAsia="Times New Roman" w:hAnsi="Times New Roman"/>
            <w:sz w:val="17"/>
            <w:szCs w:val="17"/>
            <w:u w:val="single" w:color="auto"/>
            <w:color w:val="0000FF"/>
          </w:rPr>
          <w:t>KG, Aramark International Finance S.à.r.l. and certain wholly-owned domestic subsidiaries of Aramark Services, Inc.,</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the financial institutions from time to time party thereto (the “Lenders”), the issuing banks named therein and JPMorgan</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Chase Bank, N.A., as administrative agent for the Lenders and collateral agent for the secured parties thereunder</w:t>
        </w:r>
      </w:hyperlink>
    </w:p>
    <w:p>
      <w:pPr>
        <w:spacing w:after="0" w:line="2" w:lineRule="exact"/>
        <w:rPr>
          <w:rFonts w:ascii="Times New Roman" w:cs="Times New Roman" w:eastAsia="Times New Roman" w:hAnsi="Times New Roman"/>
          <w:sz w:val="17"/>
          <w:szCs w:val="17"/>
          <w:u w:val="single" w:color="auto"/>
          <w:color w:val="0000FF"/>
        </w:rPr>
      </w:pPr>
    </w:p>
    <w:p>
      <w:pPr>
        <w:ind w:left="1120" w:right="499"/>
        <w:spacing w:after="0" w:line="22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(incorporated by reference to Exhibit 10.1 to Aramark’s Current Report on Form 8-K filed with the SEC on December</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12, 2017 pursuant to the Exchange Act (file number 001-36223)).</w:t>
        </w:r>
      </w:hyperlink>
    </w:p>
    <w:p>
      <w:pPr>
        <w:spacing w:after="0" w:line="9" w:lineRule="exact"/>
        <w:rPr>
          <w:sz w:val="20"/>
          <w:szCs w:val="20"/>
          <w:color w:val="auto"/>
        </w:rPr>
      </w:pPr>
    </w:p>
    <w:p>
      <w:pPr>
        <w:ind w:left="1120" w:right="339" w:hanging="444"/>
        <w:spacing w:after="0" w:line="21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10.4 Incremental Amendment No. 3, dated as of February 28, 2018, among Aramark Services, Inc., ARAMARK Canada</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Ltd., and Aramark Intermediate HoldCo Corporation (“Holdings”), the financial institutions party thereto and JPMorgan</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Chase Bank, N.A. as administrative agent for the Lenders (as defined below) and collateral agent for the secured parties</w:t>
        </w:r>
      </w:hyperlink>
    </w:p>
    <w:p>
      <w:pPr>
        <w:spacing w:after="0" w:line="1" w:lineRule="exact"/>
        <w:rPr>
          <w:rFonts w:ascii="Times New Roman" w:cs="Times New Roman" w:eastAsia="Times New Roman" w:hAnsi="Times New Roman"/>
          <w:sz w:val="18"/>
          <w:szCs w:val="18"/>
          <w:u w:val="single" w:color="auto"/>
          <w:color w:val="0000FF"/>
        </w:rPr>
      </w:pPr>
    </w:p>
    <w:p>
      <w:pPr>
        <w:ind w:left="1120" w:right="339"/>
        <w:spacing w:after="0" w:line="220" w:lineRule="auto"/>
        <w:rPr>
          <w:rFonts w:ascii="Times New Roman" w:cs="Times New Roman" w:eastAsia="Times New Roman" w:hAnsi="Times New Roman"/>
          <w:sz w:val="17"/>
          <w:szCs w:val="17"/>
          <w:u w:val="single" w:color="auto"/>
          <w:color w:val="0000FF"/>
        </w:rPr>
      </w:pPr>
      <w:hyperlink r:id="rId147">
        <w:r>
          <w:rPr>
            <w:rFonts w:ascii="Times New Roman" w:cs="Times New Roman" w:eastAsia="Times New Roman" w:hAnsi="Times New Roman"/>
            <w:sz w:val="17"/>
            <w:szCs w:val="17"/>
            <w:u w:val="single" w:color="auto"/>
            <w:color w:val="0000FF"/>
          </w:rPr>
          <w:t>thereunder to the credit agreement, dated March 28, 2017, among Aramark Services, Inc., Holdings, ARAMARK</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Canada Ltd., ARAMARK Investments Limited, ARAMARK Ireland Holdings Limited, ARAMARK Regional Treasury</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Europe, Designated Activity Company, ARAMARK Holdings GmbH &amp; Co. KG, Aramark International Finance S.à.r.l.</w:t>
        </w:r>
      </w:hyperlink>
    </w:p>
    <w:p>
      <w:pPr>
        <w:spacing w:after="0" w:line="2" w:lineRule="exact"/>
        <w:rPr>
          <w:rFonts w:ascii="Times New Roman" w:cs="Times New Roman" w:eastAsia="Times New Roman" w:hAnsi="Times New Roman"/>
          <w:sz w:val="17"/>
          <w:szCs w:val="17"/>
          <w:u w:val="single" w:color="auto"/>
          <w:color w:val="0000FF"/>
        </w:rPr>
      </w:pPr>
    </w:p>
    <w:p>
      <w:pPr>
        <w:ind w:left="1120" w:right="359"/>
        <w:spacing w:after="0" w:line="220" w:lineRule="auto"/>
        <w:rPr>
          <w:rFonts w:ascii="Times New Roman" w:cs="Times New Roman" w:eastAsia="Times New Roman" w:hAnsi="Times New Roman"/>
          <w:sz w:val="17"/>
          <w:szCs w:val="17"/>
          <w:u w:val="single" w:color="auto"/>
          <w:color w:val="0000FF"/>
        </w:rPr>
      </w:pPr>
      <w:hyperlink r:id="rId147">
        <w:r>
          <w:rPr>
            <w:rFonts w:ascii="Times New Roman" w:cs="Times New Roman" w:eastAsia="Times New Roman" w:hAnsi="Times New Roman"/>
            <w:sz w:val="17"/>
            <w:szCs w:val="17"/>
            <w:u w:val="single" w:color="auto"/>
            <w:color w:val="0000FF"/>
          </w:rPr>
          <w:t>and certain wholly-owned domestic subsidiaries of Aramark Services, Inc., the financial institutions from time to time</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party thereto (the “Lenders”), the issuing banks named therein and JPMorgan Chase Bank, N.A., as administrative agent</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for the Lenders and collateral agent for the secured parties thereunder (incorporated by reference to Exhibit 10.1 to</w:t>
        </w:r>
      </w:hyperlink>
    </w:p>
    <w:p>
      <w:pPr>
        <w:spacing w:after="0" w:line="2" w:lineRule="exact"/>
        <w:rPr>
          <w:rFonts w:ascii="Times New Roman" w:cs="Times New Roman" w:eastAsia="Times New Roman" w:hAnsi="Times New Roman"/>
          <w:sz w:val="17"/>
          <w:szCs w:val="17"/>
          <w:u w:val="single" w:color="auto"/>
          <w:color w:val="0000FF"/>
        </w:rPr>
      </w:pPr>
    </w:p>
    <w:p>
      <w:pPr>
        <w:ind w:left="1120" w:right="799"/>
        <w:spacing w:after="0" w:line="22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Aramark's Quarterly Report on Form 10-Q filed with the SEC on May 8, 2018, pursuant to the Exchange Act (file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number 001-36223)).</w:t>
        </w:r>
      </w:hyperlink>
    </w:p>
    <w:p>
      <w:pPr>
        <w:spacing w:after="0" w:line="9" w:lineRule="exact"/>
        <w:rPr>
          <w:sz w:val="20"/>
          <w:szCs w:val="20"/>
          <w:color w:val="auto"/>
        </w:rPr>
      </w:pPr>
    </w:p>
    <w:p>
      <w:pPr>
        <w:ind w:left="1120" w:right="419" w:hanging="444"/>
        <w:spacing w:after="0" w:line="229" w:lineRule="auto"/>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7"/>
            <w:szCs w:val="17"/>
            <w:u w:val="single" w:color="auto"/>
            <w:color w:val="0000FF"/>
          </w:rPr>
          <w:t>10.5 Amendment No. 4, dated as of May 11, 2018, among Aramark Services, Inc. (the “Company”), Sumitomo Mitsui</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Banking Corp. (the “Yen Term C Lender”) and JPMorgan Chase Bank, N.A. as administrative agent for the Lenders (as</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defined below) and collateral agent for the secured parties thereunder to the credit agreement, dated March 28, 2017,</w:t>
        </w:r>
      </w:hyperlink>
    </w:p>
    <w:p>
      <w:pPr>
        <w:ind w:left="1120" w:right="499"/>
        <w:spacing w:after="0" w:line="220" w:lineRule="auto"/>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7"/>
            <w:szCs w:val="17"/>
            <w:u w:val="single" w:color="auto"/>
            <w:color w:val="0000FF"/>
          </w:rPr>
          <w:t>among the Company, Aramark Intermediate Holdco Corporation, ARAMARK Canada Ltd., ARAMARK Investments</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Limited, ARAMARK Ireland Holdings Limited, ARAMARK Regional Treasury Europe, Designated Activity</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Company, ARAMARK Holdings GmbH &amp; Co. KG, Aramark International Finance S.à.r.l. and certain wholly-owned</w:t>
        </w:r>
      </w:hyperlink>
    </w:p>
    <w:p>
      <w:pPr>
        <w:spacing w:after="0" w:line="2" w:lineRule="exact"/>
        <w:rPr>
          <w:rFonts w:ascii="Times New Roman" w:cs="Times New Roman" w:eastAsia="Times New Roman" w:hAnsi="Times New Roman"/>
          <w:sz w:val="17"/>
          <w:szCs w:val="17"/>
          <w:u w:val="single" w:color="auto"/>
          <w:color w:val="0000FF"/>
        </w:rPr>
      </w:pPr>
    </w:p>
    <w:p>
      <w:pPr>
        <w:ind w:left="1120" w:right="619"/>
        <w:spacing w:after="0" w:line="208"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domestic subsidiaries of the Company, the financial institutions from time to time party thereto (the “Lenders”), the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issuing banks named therein and JPMorgan Chase Bank, N.A., as administrative agent for the Lenders and collateral</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agent for the secured parties thereunder (incorporated by reference to Exhibit 10.1 to Aramark's Quarterly Report on</w:t>
        </w:r>
      </w:hyperlink>
    </w:p>
    <w:p>
      <w:pPr>
        <w:spacing w:after="0" w:line="2" w:lineRule="exact"/>
        <w:rPr>
          <w:rFonts w:ascii="Times New Roman" w:cs="Times New Roman" w:eastAsia="Times New Roman" w:hAnsi="Times New Roman"/>
          <w:sz w:val="18"/>
          <w:szCs w:val="18"/>
          <w:u w:val="single" w:color="auto"/>
          <w:color w:val="0000FF"/>
        </w:rPr>
      </w:pPr>
    </w:p>
    <w:p>
      <w:pPr>
        <w:ind w:left="112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Form 10-Q filed with the SEC on August 7, 2018, pursuant to the Exchange Act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4" w:lineRule="exact"/>
        <w:rPr>
          <w:rFonts w:ascii="Times New Roman" w:cs="Times New Roman" w:eastAsia="Times New Roman" w:hAnsi="Times New Roman"/>
          <w:sz w:val="18"/>
          <w:szCs w:val="18"/>
          <w:u w:val="single" w:color="auto"/>
          <w:color w:val="0000FF"/>
        </w:rPr>
      </w:pPr>
    </w:p>
    <w:p>
      <w:pPr>
        <w:ind w:left="5460"/>
        <w:spacing w:after="0"/>
        <w:rPr>
          <w:sz w:val="20"/>
          <w:szCs w:val="20"/>
          <w:color w:val="auto"/>
        </w:rPr>
      </w:pPr>
      <w:r>
        <w:rPr>
          <w:rFonts w:ascii="Times New Roman" w:cs="Times New Roman" w:eastAsia="Times New Roman" w:hAnsi="Times New Roman"/>
          <w:sz w:val="18"/>
          <w:szCs w:val="18"/>
          <w:color w:val="auto"/>
        </w:rPr>
        <w:t>S-52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120" w:right="479" w:hanging="444"/>
        <w:spacing w:after="0" w:line="229" w:lineRule="auto"/>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10.6 Amendment No. 5, dated as of May 24, 2018, among Aramark Services, Inc. (the “Company”), Aramark Intermediate</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HoldCo Corporation (“Holdings”), certain wholly-owned subsidiaries of the Company, each Converting United States</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Term B-2 Lender (as defined therein), the Additional United States Term B-2 Lender (as defined therein), the financial</w:t>
        </w:r>
      </w:hyperlink>
    </w:p>
    <w:p>
      <w:pPr>
        <w:ind w:left="1120" w:right="599"/>
        <w:spacing w:after="0" w:line="220" w:lineRule="auto"/>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institutions party thereto and JPMorgan Chase Bank, N.A. as administrative agent for the Lenders (as defined below)</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and collateral agent for the secured parties thereunder to the credit agreement, dated March 28, 2017, among the</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Company, Holdings, ARAMARK Canada Ltd., ARAMARK Investments Limited, ARAMARK Ireland Holdings</w:t>
        </w:r>
      </w:hyperlink>
    </w:p>
    <w:p>
      <w:pPr>
        <w:spacing w:after="0" w:line="2" w:lineRule="exact"/>
        <w:rPr>
          <w:rFonts w:ascii="Times New Roman" w:cs="Times New Roman" w:eastAsia="Times New Roman" w:hAnsi="Times New Roman"/>
          <w:sz w:val="17"/>
          <w:szCs w:val="17"/>
          <w:u w:val="single" w:color="auto"/>
          <w:color w:val="0000FF"/>
        </w:rPr>
      </w:pPr>
    </w:p>
    <w:p>
      <w:pPr>
        <w:ind w:left="1120" w:right="499"/>
        <w:spacing w:after="0" w:line="208"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Limited, ARAMARK Regional Treasury Europe, Designated Activity Company, ARAMARK Holdings GmbH &amp; Co.</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KG, Aramark International Finance S.à.r.l. and certain wholly-owned domestic subsidiaries of the Company, the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financial institutions from time to time party thereto (the “Lenders”), the issuing banks named therein and JPMorgan</w:t>
        </w:r>
      </w:hyperlink>
    </w:p>
    <w:p>
      <w:pPr>
        <w:spacing w:after="0" w:line="2" w:lineRule="exact"/>
        <w:rPr>
          <w:rFonts w:ascii="Times New Roman" w:cs="Times New Roman" w:eastAsia="Times New Roman" w:hAnsi="Times New Roman"/>
          <w:sz w:val="18"/>
          <w:szCs w:val="18"/>
          <w:u w:val="single" w:color="auto"/>
          <w:color w:val="0000FF"/>
        </w:rPr>
      </w:pPr>
    </w:p>
    <w:p>
      <w:pPr>
        <w:ind w:left="1120" w:right="639"/>
        <w:spacing w:after="0" w:line="218"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Chase Bank, N.A., as administrative agent for the Lenders and collateral agent for the secured parties thereunder</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(incorporated by reference to Exhibit 10.1 to Aramark’s Current Report on Form 8-K filed with the SEC on May 31,</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2018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120" w:right="479" w:hanging="444"/>
        <w:spacing w:after="0" w:line="229" w:lineRule="auto"/>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10.7 Amendment No. 6, dated as of June 12, 2018, among Aramark Services, Inc. (the “Company”), Aramark Intermediate</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HoldCo Corporation (“Holdings”), certain wholly-owned subsidiaries of the Company, each Converting United States</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Term B-3 Lender (as defined therein), the Additional United States Term B-3 Lender (as defined therein), the financial</w:t>
        </w:r>
      </w:hyperlink>
    </w:p>
    <w:p>
      <w:pPr>
        <w:ind w:left="1120" w:right="599"/>
        <w:spacing w:after="0" w:line="220" w:lineRule="auto"/>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institutions party thereto and JPMorgan Chase Bank, N.A. as administrative agent for the Lenders (as defined below)</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and collateral agent for the secured parties thereunder to the credit agreement, dated March 28, 2017, among the</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Company, Holdings, ARAMARK Canada Ltd., ARAMARK Investments Limited, ARAMARK Ireland Holdings</w:t>
        </w:r>
      </w:hyperlink>
    </w:p>
    <w:p>
      <w:pPr>
        <w:spacing w:after="0" w:line="2" w:lineRule="exact"/>
        <w:rPr>
          <w:rFonts w:ascii="Times New Roman" w:cs="Times New Roman" w:eastAsia="Times New Roman" w:hAnsi="Times New Roman"/>
          <w:sz w:val="17"/>
          <w:szCs w:val="17"/>
          <w:u w:val="single" w:color="auto"/>
          <w:color w:val="0000FF"/>
        </w:rPr>
      </w:pPr>
    </w:p>
    <w:p>
      <w:pPr>
        <w:ind w:left="1120" w:right="499"/>
        <w:spacing w:after="0" w:line="208"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Limited, ARAMARK Regional Treasury Europe, Designated Activity Company, ARAMARK Holdings GmbH &amp; Co.</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KG, Aramark International Finance S.à.r.l. and certain wholly-owned domestic subsidiaries of the Company, the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financial institutions from time to time party thereto (the “Lenders”), the issuing banks named therein and JPMorgan</w:t>
        </w:r>
      </w:hyperlink>
    </w:p>
    <w:p>
      <w:pPr>
        <w:spacing w:after="0" w:line="2" w:lineRule="exact"/>
        <w:rPr>
          <w:rFonts w:ascii="Times New Roman" w:cs="Times New Roman" w:eastAsia="Times New Roman" w:hAnsi="Times New Roman"/>
          <w:sz w:val="18"/>
          <w:szCs w:val="18"/>
          <w:u w:val="single" w:color="auto"/>
          <w:color w:val="0000FF"/>
        </w:rPr>
      </w:pPr>
    </w:p>
    <w:p>
      <w:pPr>
        <w:ind w:left="1120" w:right="639"/>
        <w:spacing w:after="0" w:line="218"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Chase Bank, N.A., as administrative agent for the Lenders and collateral agent for the secured parties thereunder</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(incorporated by reference to Exhibit 10.1 to Aramark’s Current Report on Form 8-K filed with the SEC on June 18,</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2018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120" w:right="519" w:hanging="444"/>
        <w:spacing w:after="0" w:line="216"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10.8 Amendment No. 7 (the “Amendment”), dated as of October 1, 2018, among Aramark Services, Inc. (the “Company”),</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Aramark Intermediate HoldCo Corporation (“Holdings”), Aramark Intermediate HoldCo Corporation (“Holdings”),</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ARAMARK Canada Ltd. (the “Canadian Borrower”), ARAMARK Investments Limited, ARAMARK Limited</w:t>
        </w:r>
      </w:hyperlink>
    </w:p>
    <w:p>
      <w:pPr>
        <w:spacing w:after="0" w:line="1" w:lineRule="exact"/>
        <w:rPr>
          <w:rFonts w:ascii="Times New Roman" w:cs="Times New Roman" w:eastAsia="Times New Roman" w:hAnsi="Times New Roman"/>
          <w:sz w:val="18"/>
          <w:szCs w:val="18"/>
          <w:u w:val="single" w:color="auto"/>
          <w:color w:val="0000FF"/>
        </w:rPr>
      </w:pPr>
    </w:p>
    <w:p>
      <w:pPr>
        <w:ind w:left="1120" w:right="579"/>
        <w:spacing w:after="0" w:line="220" w:lineRule="auto"/>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(together with ARAMARK Investments Limited, the “UK Borrowers”), ARAMARK Ireland Holdings Limited,</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ARAMARK Regional Treasury Europe, Designated Activity Company (together with ARAMARK Ireland Holdings</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Limited, the “Irish Borrowers”), ARAMARK Holdings Deutschland GMBH (as successor by merger to ARAMARK</w:t>
        </w:r>
      </w:hyperlink>
    </w:p>
    <w:p>
      <w:pPr>
        <w:spacing w:after="0" w:line="2" w:lineRule="exact"/>
        <w:rPr>
          <w:rFonts w:ascii="Times New Roman" w:cs="Times New Roman" w:eastAsia="Times New Roman" w:hAnsi="Times New Roman"/>
          <w:sz w:val="17"/>
          <w:szCs w:val="17"/>
          <w:u w:val="single" w:color="auto"/>
          <w:color w:val="0000FF"/>
        </w:rPr>
      </w:pPr>
    </w:p>
    <w:p>
      <w:pPr>
        <w:ind w:left="1120" w:right="719"/>
        <w:spacing w:after="0" w:line="208"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Holdings GmbH &amp; Co. KG, the “German Borrower”), Aramark International Finance S.à.r.l. (the “Luxembourg</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Borrower”), certain other wholly-owned subsidiaries of the Company, the financial institutions party thereto and</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JPMorgan Chase Bank, N.A. as administrative agent for the Lenders (as defined below) and collateral agent for the</w:t>
        </w:r>
      </w:hyperlink>
    </w:p>
    <w:p>
      <w:pPr>
        <w:spacing w:after="0" w:line="2" w:lineRule="exact"/>
        <w:rPr>
          <w:rFonts w:ascii="Times New Roman" w:cs="Times New Roman" w:eastAsia="Times New Roman" w:hAnsi="Times New Roman"/>
          <w:sz w:val="18"/>
          <w:szCs w:val="18"/>
          <w:u w:val="single" w:color="auto"/>
          <w:color w:val="0000FF"/>
        </w:rPr>
      </w:pPr>
    </w:p>
    <w:p>
      <w:pPr>
        <w:ind w:left="1120" w:right="399"/>
        <w:spacing w:after="0" w:line="220" w:lineRule="auto"/>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secured parties thereunder to the credit agreement, dated March 28, 2017, among the Company, Holdings, the Canadian</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Borrower, the UK Borrower, the Irish Borrowers, the German Borrower, the Luxembourg Borrower and certain other</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wholly-owned domestic subsidiaries of the Company, the financial institutions from time to time party thereto (the</w:t>
        </w:r>
      </w:hyperlink>
    </w:p>
    <w:p>
      <w:pPr>
        <w:spacing w:after="0" w:line="2" w:lineRule="exact"/>
        <w:rPr>
          <w:rFonts w:ascii="Times New Roman" w:cs="Times New Roman" w:eastAsia="Times New Roman" w:hAnsi="Times New Roman"/>
          <w:sz w:val="17"/>
          <w:szCs w:val="17"/>
          <w:u w:val="single" w:color="auto"/>
          <w:color w:val="0000FF"/>
        </w:rPr>
      </w:pPr>
    </w:p>
    <w:p>
      <w:pPr>
        <w:jc w:val="both"/>
        <w:ind w:left="1120" w:right="499"/>
        <w:spacing w:after="0" w:line="231" w:lineRule="auto"/>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“Lenders”), the issuing banks named therein and JPMorgan Chase Bank, N.A., as administrative agent for the Lenders</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and collateral agent for the secured parties thereunder (incorporated by reference to Exhibit 10.1 to Aramark’s Current</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Report on Form 8-K filed with the SEC on October 4, 2018 pursuant to the Exchange Act (file number 001-36223)).</w:t>
        </w:r>
      </w:hyperlink>
    </w:p>
    <w:p>
      <w:pPr>
        <w:spacing w:after="0" w:line="10" w:lineRule="exact"/>
        <w:rPr>
          <w:rFonts w:ascii="Times New Roman" w:cs="Times New Roman" w:eastAsia="Times New Roman" w:hAnsi="Times New Roman"/>
          <w:sz w:val="17"/>
          <w:szCs w:val="17"/>
          <w:u w:val="single" w:color="auto"/>
          <w:color w:val="0000FF"/>
        </w:rPr>
      </w:pPr>
    </w:p>
    <w:p>
      <w:pPr>
        <w:ind w:left="1120" w:right="419" w:hanging="444"/>
        <w:spacing w:after="0" w:line="229" w:lineRule="auto"/>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10.9 Incremental Amendment No. 8 (the “Incremental Amendment”), dated as of January 15, 2020, among Aramark</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Services, Inc. (the “Company”), Aramark Intermediate HoldCo Corporation (“Holdings”), certain wholly-owned</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subsidiaries of the Company, the United States Term B-4 Lenders (as defined therein) and JPMorgan Chase Bank, N.A.</w:t>
        </w:r>
      </w:hyperlink>
    </w:p>
    <w:p>
      <w:pPr>
        <w:ind w:left="1120" w:right="619"/>
        <w:spacing w:after="0" w:line="220" w:lineRule="auto"/>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as administrative agent for the Lenders (as defined therein) and collateral agent for the secured parties thereunder</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amending that certain credit agreement, dated March 28, 2017, among the Company, Holdings, ARAMARK Canada</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Ltd., ARAMARK Investments Limited, ARAMARK Limited, ARAMARK Ireland Holdings Limited, ARAMARK</w:t>
        </w:r>
      </w:hyperlink>
    </w:p>
    <w:p>
      <w:pPr>
        <w:spacing w:after="0" w:line="2" w:lineRule="exact"/>
        <w:rPr>
          <w:rFonts w:ascii="Times New Roman" w:cs="Times New Roman" w:eastAsia="Times New Roman" w:hAnsi="Times New Roman"/>
          <w:sz w:val="17"/>
          <w:szCs w:val="17"/>
          <w:u w:val="single" w:color="auto"/>
          <w:color w:val="0000FF"/>
        </w:rPr>
      </w:pPr>
    </w:p>
    <w:p>
      <w:pPr>
        <w:ind w:left="1120" w:right="399"/>
        <w:spacing w:after="0" w:line="220" w:lineRule="auto"/>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Regional Treasury Europe, Designated Activity Company, ARAMARK Holdings Deutschland GMBH (as successor by</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merger to ARAMARK Holdings GmbH &amp; Co. KG), Aramark International Finance S.à.r.l. and certain other wholly-</w:t>
        </w:r>
      </w:hyperlink>
      <w:hyperlink r:id="rId153">
        <w:r>
          <w:rPr>
            <w:rFonts w:ascii="Times New Roman" w:cs="Times New Roman" w:eastAsia="Times New Roman" w:hAnsi="Times New Roman"/>
            <w:sz w:val="17"/>
            <w:szCs w:val="17"/>
            <w:u w:val="single" w:color="auto"/>
            <w:color w:val="0000FF"/>
          </w:rPr>
          <w:t>owned domestic subsidiaries of the Company, the financial institutions from time to time party thereto (including the</w:t>
        </w:r>
      </w:hyperlink>
    </w:p>
    <w:p>
      <w:pPr>
        <w:spacing w:after="0" w:line="2" w:lineRule="exact"/>
        <w:rPr>
          <w:rFonts w:ascii="Times New Roman" w:cs="Times New Roman" w:eastAsia="Times New Roman" w:hAnsi="Times New Roman"/>
          <w:sz w:val="17"/>
          <w:szCs w:val="17"/>
          <w:u w:val="single" w:color="auto"/>
          <w:color w:val="0000FF"/>
        </w:rPr>
      </w:pPr>
    </w:p>
    <w:p>
      <w:pPr>
        <w:ind w:left="1120" w:right="479"/>
        <w:spacing w:after="0" w:line="220" w:lineRule="auto"/>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financial institutions party to the Incremental Amendment, the “Lenders”), the issuing banks named therein and</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JPMorgan Chase Bank, N.A., as administrative agent for the Lenders and collateral agent for the secured parties</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thereunder (incorporated by reference to Exhibit 10.1 to Aramark’s Current Report on Form 8-K filed with the SEC on</w:t>
        </w:r>
      </w:hyperlink>
    </w:p>
    <w:p>
      <w:pPr>
        <w:spacing w:after="0" w:line="2" w:lineRule="exact"/>
        <w:rPr>
          <w:rFonts w:ascii="Times New Roman" w:cs="Times New Roman" w:eastAsia="Times New Roman" w:hAnsi="Times New Roman"/>
          <w:sz w:val="17"/>
          <w:szCs w:val="17"/>
          <w:u w:val="single" w:color="auto"/>
          <w:color w:val="0000FF"/>
        </w:rPr>
      </w:pPr>
    </w:p>
    <w:p>
      <w:pPr>
        <w:ind w:left="112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January 16, 2020 pursuant to the Exchange Act (file number 001-36223)).</w:t>
        </w:r>
      </w:hyperlink>
    </w:p>
    <w:p>
      <w:pPr>
        <w:spacing w:after="0" w:line="7" w:lineRule="exact"/>
        <w:rPr>
          <w:rFonts w:ascii="Times New Roman" w:cs="Times New Roman" w:eastAsia="Times New Roman" w:hAnsi="Times New Roman"/>
          <w:sz w:val="17"/>
          <w:szCs w:val="17"/>
          <w:u w:val="single" w:color="auto"/>
          <w:color w:val="0000FF"/>
        </w:rPr>
      </w:pPr>
    </w:p>
    <w:p>
      <w:pPr>
        <w:ind w:left="1120" w:right="459" w:hanging="534"/>
        <w:spacing w:after="0" w:line="214"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10.10 Amendment No. 9, dated as of April 22, 2020, among Aramark Services, Inc., as borrower, Aramark Intermediate</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Holdco Corporation, ARAMARK Canada Ltd., ARAMARK Investments Limited, ARAMARK Limited, ARAMARK</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Ireland Holdings Limited, ARAMARK Regional Treasury Europe, Designated Activity Company, ARAMARK</w:t>
        </w:r>
      </w:hyperlink>
    </w:p>
    <w:p>
      <w:pPr>
        <w:spacing w:after="0" w:line="1" w:lineRule="exact"/>
        <w:rPr>
          <w:rFonts w:ascii="Times New Roman" w:cs="Times New Roman" w:eastAsia="Times New Roman" w:hAnsi="Times New Roman"/>
          <w:sz w:val="18"/>
          <w:szCs w:val="18"/>
          <w:u w:val="single" w:color="auto"/>
          <w:color w:val="0000FF"/>
        </w:rPr>
      </w:pPr>
    </w:p>
    <w:p>
      <w:pPr>
        <w:ind w:left="1120" w:right="579"/>
        <w:spacing w:after="0" w:line="220" w:lineRule="auto"/>
        <w:rPr>
          <w:rFonts w:ascii="Times New Roman" w:cs="Times New Roman" w:eastAsia="Times New Roman" w:hAnsi="Times New Roman"/>
          <w:sz w:val="17"/>
          <w:szCs w:val="17"/>
          <w:u w:val="single" w:color="auto"/>
          <w:color w:val="0000FF"/>
        </w:rPr>
      </w:pPr>
      <w:hyperlink r:id="rId154">
        <w:r>
          <w:rPr>
            <w:rFonts w:ascii="Times New Roman" w:cs="Times New Roman" w:eastAsia="Times New Roman" w:hAnsi="Times New Roman"/>
            <w:sz w:val="17"/>
            <w:szCs w:val="17"/>
            <w:u w:val="single" w:color="auto"/>
            <w:color w:val="0000FF"/>
          </w:rPr>
          <w:t>Holdings Deutschland GMBH (as successor by merger to ARAMARK Holdings GmbH &amp; Co. KG), Aramark</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International Finance S.à.r.l., each lender party thereto and JPMorgan Chase Bank, N.A. as administrative agent</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(incorporated by reference to Exhibit 10.1 of Aramark’s Current Report on Form 8-K filed with the SEC on April 28,</w:t>
        </w:r>
      </w:hyperlink>
    </w:p>
    <w:p>
      <w:pPr>
        <w:spacing w:after="0" w:line="2" w:lineRule="exact"/>
        <w:rPr>
          <w:rFonts w:ascii="Times New Roman" w:cs="Times New Roman" w:eastAsia="Times New Roman" w:hAnsi="Times New Roman"/>
          <w:sz w:val="17"/>
          <w:szCs w:val="17"/>
          <w:u w:val="single" w:color="auto"/>
          <w:color w:val="0000FF"/>
        </w:rPr>
      </w:pPr>
    </w:p>
    <w:p>
      <w:pPr>
        <w:ind w:left="112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2020, pursuant to the Exchange Act (file number 001-36223)).</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24" w:lineRule="exact"/>
        <w:rPr>
          <w:rFonts w:ascii="Times New Roman" w:cs="Times New Roman" w:eastAsia="Times New Roman" w:hAnsi="Times New Roman"/>
          <w:sz w:val="17"/>
          <w:szCs w:val="17"/>
          <w:u w:val="single" w:color="auto"/>
          <w:color w:val="0000FF"/>
        </w:rPr>
      </w:pPr>
    </w:p>
    <w:p>
      <w:pPr>
        <w:ind w:left="5460"/>
        <w:spacing w:after="0"/>
        <w:rPr>
          <w:sz w:val="20"/>
          <w:szCs w:val="20"/>
          <w:color w:val="auto"/>
        </w:rPr>
      </w:pPr>
      <w:r>
        <w:rPr>
          <w:rFonts w:ascii="Times New Roman" w:cs="Times New Roman" w:eastAsia="Times New Roman" w:hAnsi="Times New Roman"/>
          <w:sz w:val="18"/>
          <w:szCs w:val="18"/>
          <w:color w:val="auto"/>
        </w:rPr>
        <w:t>S-53</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20" w:right="479" w:hanging="527"/>
        <w:spacing w:after="0" w:line="216"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10.11 Amendment No. 10, dated as of November 12, 2020, among Aramark Services, Inc., Aramark Intermediate HoldCo</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Corporation, ARAMARK Canada Ltd., ARAMARK Investments Limited, ARAMARK Limited, ARAMARK Ireland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Holdings Limited, ARAMARK Regional Treasury Europe, Designated Activity Company, ARAMARK Holdings</w:t>
        </w:r>
      </w:hyperlink>
    </w:p>
    <w:p>
      <w:pPr>
        <w:spacing w:after="0" w:line="1" w:lineRule="exact"/>
        <w:rPr>
          <w:rFonts w:ascii="Times New Roman" w:cs="Times New Roman" w:eastAsia="Times New Roman" w:hAnsi="Times New Roman"/>
          <w:sz w:val="18"/>
          <w:szCs w:val="18"/>
          <w:u w:val="single" w:color="auto"/>
          <w:color w:val="0000FF"/>
        </w:rPr>
      </w:pPr>
    </w:p>
    <w:p>
      <w:pPr>
        <w:ind w:left="1120" w:right="699"/>
        <w:spacing w:after="0" w:line="220" w:lineRule="auto"/>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7"/>
            <w:szCs w:val="17"/>
            <w:u w:val="single" w:color="auto"/>
            <w:color w:val="0000FF"/>
          </w:rPr>
          <w:t>Deutschland GMBH (as successor by merger to ARAMARK Holdings GmbH &amp; Co. KG), Aramark International</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Finance S.à.r.l., each lender party thereto and JPMorgan Chase Bank, N.A. as administrative agent (incorporated by</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reference to Exhibit 10.11 to Aramark’s Annual Report on Form 10-K filed with the SEC on November 24, 2020</w:t>
        </w:r>
      </w:hyperlink>
    </w:p>
    <w:p>
      <w:pPr>
        <w:spacing w:after="0" w:line="2" w:lineRule="exact"/>
        <w:rPr>
          <w:rFonts w:ascii="Times New Roman" w:cs="Times New Roman" w:eastAsia="Times New Roman" w:hAnsi="Times New Roman"/>
          <w:sz w:val="17"/>
          <w:szCs w:val="17"/>
          <w:u w:val="single" w:color="auto"/>
          <w:color w:val="0000FF"/>
        </w:rPr>
      </w:pPr>
    </w:p>
    <w:p>
      <w:pPr>
        <w:ind w:left="112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pursuant to the Exchange Act (file number 001-36223)).</w:t>
        </w:r>
      </w:hyperlink>
    </w:p>
    <w:p>
      <w:pPr>
        <w:spacing w:after="0" w:line="7" w:lineRule="exact"/>
        <w:rPr>
          <w:rFonts w:ascii="Times New Roman" w:cs="Times New Roman" w:eastAsia="Times New Roman" w:hAnsi="Times New Roman"/>
          <w:sz w:val="17"/>
          <w:szCs w:val="17"/>
          <w:u w:val="single" w:color="auto"/>
          <w:color w:val="0000FF"/>
        </w:rPr>
      </w:pPr>
    </w:p>
    <w:p>
      <w:pPr>
        <w:jc w:val="both"/>
        <w:ind w:left="1120" w:right="619" w:hanging="534"/>
        <w:spacing w:after="0" w:line="214"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10.12 Amendment No. 11 (the “Amendment”), dated as of April 6, 2021, among Aramark Services, Inc. (the “Company”),</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Aramark Intermediate HoldCo Corporation (“Holdings”), Aramark Intermediate HoldCo Corporation (“Holdings”),</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ARAMARK Canada Ltd. (the “Canadian Borrower”), ARAMARK Investments Limited, ARAMARK Limited</w:t>
        </w:r>
      </w:hyperlink>
    </w:p>
    <w:p>
      <w:pPr>
        <w:spacing w:after="0" w:line="1" w:lineRule="exact"/>
        <w:rPr>
          <w:rFonts w:ascii="Times New Roman" w:cs="Times New Roman" w:eastAsia="Times New Roman" w:hAnsi="Times New Roman"/>
          <w:sz w:val="18"/>
          <w:szCs w:val="18"/>
          <w:u w:val="single" w:color="auto"/>
          <w:color w:val="0000FF"/>
        </w:rPr>
      </w:pPr>
    </w:p>
    <w:p>
      <w:pPr>
        <w:ind w:left="1120" w:right="579"/>
        <w:spacing w:after="0" w:line="220" w:lineRule="auto"/>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(together with ARAMARK Investments Limited, the “UK Borrowers”), ARAMARK Ireland Holdings Limited,</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ARAMARK Regional Treasury Europe, Designated Activity Company (together with ARAMARK Ireland Holdings</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Limited, the “Irish Borrowers”), ARAMARK Holdings Deutschland GMBH (as successor by merger to ARAMARK</w:t>
        </w:r>
      </w:hyperlink>
    </w:p>
    <w:p>
      <w:pPr>
        <w:spacing w:after="0" w:line="2" w:lineRule="exact"/>
        <w:rPr>
          <w:rFonts w:ascii="Times New Roman" w:cs="Times New Roman" w:eastAsia="Times New Roman" w:hAnsi="Times New Roman"/>
          <w:sz w:val="17"/>
          <w:szCs w:val="17"/>
          <w:u w:val="single" w:color="auto"/>
          <w:color w:val="0000FF"/>
        </w:rPr>
      </w:pPr>
    </w:p>
    <w:p>
      <w:pPr>
        <w:ind w:left="1120" w:right="719"/>
        <w:spacing w:after="0" w:line="208"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Holdings GmbH &amp; Co. KG, the “German Borrower”), Aramark International Finance S.à.r.l. (the “Luxembourg</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Borrower”), certain other wholly-owned subsidiaries of the Company, the financial institutions party thereto and</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JPMorgan Chase Bank, N.A. as administrative agent for the Lenders (as defined below) and collateral agent for the</w:t>
        </w:r>
      </w:hyperlink>
    </w:p>
    <w:p>
      <w:pPr>
        <w:spacing w:after="0" w:line="2" w:lineRule="exact"/>
        <w:rPr>
          <w:rFonts w:ascii="Times New Roman" w:cs="Times New Roman" w:eastAsia="Times New Roman" w:hAnsi="Times New Roman"/>
          <w:sz w:val="18"/>
          <w:szCs w:val="18"/>
          <w:u w:val="single" w:color="auto"/>
          <w:color w:val="0000FF"/>
        </w:rPr>
      </w:pPr>
    </w:p>
    <w:p>
      <w:pPr>
        <w:ind w:left="1120" w:right="399"/>
        <w:spacing w:after="0" w:line="220" w:lineRule="auto"/>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secured parties thereunder to the credit agreement, dated March 28, 2017, among the Company, Holdings, the Canadian</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Borrower, the UK Borrower, the Irish Borrowers, the German Borrower, the Luxembourg Borrower and certain other</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wholly-owned domestic subsidiaries of the Company, the financial institutions from time to time party thereto</w:t>
        </w:r>
      </w:hyperlink>
    </w:p>
    <w:p>
      <w:pPr>
        <w:spacing w:after="0" w:line="2" w:lineRule="exact"/>
        <w:rPr>
          <w:rFonts w:ascii="Times New Roman" w:cs="Times New Roman" w:eastAsia="Times New Roman" w:hAnsi="Times New Roman"/>
          <w:sz w:val="17"/>
          <w:szCs w:val="17"/>
          <w:u w:val="single" w:color="auto"/>
          <w:color w:val="0000FF"/>
        </w:rPr>
      </w:pPr>
    </w:p>
    <w:p>
      <w:pPr>
        <w:ind w:left="1120" w:right="479"/>
        <w:spacing w:after="0" w:line="220" w:lineRule="auto"/>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(including the financial institutions party to the Amendment, the “Lenders”), the issuing banks named therein and</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JPMorgan Chase Bank, N.A., as administrative agent for the Lenders and collateral agent for the secured parties</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thereunder (incorporated by reference to Exhibit 10.1 to Aramark's Quarterly Report on Form 10-Q filed with the SEC</w:t>
        </w:r>
      </w:hyperlink>
    </w:p>
    <w:p>
      <w:pPr>
        <w:spacing w:after="0" w:line="2" w:lineRule="exact"/>
        <w:rPr>
          <w:rFonts w:ascii="Times New Roman" w:cs="Times New Roman" w:eastAsia="Times New Roman" w:hAnsi="Times New Roman"/>
          <w:sz w:val="17"/>
          <w:szCs w:val="17"/>
          <w:u w:val="single" w:color="auto"/>
          <w:color w:val="0000FF"/>
        </w:rPr>
      </w:pPr>
    </w:p>
    <w:p>
      <w:pPr>
        <w:ind w:left="112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on August 10, 2021, pursuant to the Exchange Act (file number 001-36223)).</w:t>
        </w:r>
      </w:hyperlink>
    </w:p>
    <w:p>
      <w:pPr>
        <w:spacing w:after="0" w:line="7" w:lineRule="exact"/>
        <w:rPr>
          <w:rFonts w:ascii="Times New Roman" w:cs="Times New Roman" w:eastAsia="Times New Roman" w:hAnsi="Times New Roman"/>
          <w:sz w:val="17"/>
          <w:szCs w:val="17"/>
          <w:u w:val="single" w:color="auto"/>
          <w:color w:val="0000FF"/>
        </w:rPr>
      </w:pPr>
    </w:p>
    <w:p>
      <w:pPr>
        <w:ind w:left="1120" w:right="459" w:hanging="534"/>
        <w:spacing w:after="0" w:line="227" w:lineRule="auto"/>
        <w:rPr>
          <w:rFonts w:ascii="Times New Roman" w:cs="Times New Roman" w:eastAsia="Times New Roman" w:hAnsi="Times New Roman"/>
          <w:sz w:val="17"/>
          <w:szCs w:val="17"/>
          <w:u w:val="single" w:color="auto"/>
          <w:color w:val="0000FF"/>
        </w:rPr>
      </w:pPr>
      <w:hyperlink r:id="rId158">
        <w:r>
          <w:rPr>
            <w:rFonts w:ascii="Times New Roman" w:cs="Times New Roman" w:eastAsia="Times New Roman" w:hAnsi="Times New Roman"/>
            <w:sz w:val="17"/>
            <w:szCs w:val="17"/>
            <w:u w:val="single" w:color="auto"/>
            <w:color w:val="0000FF"/>
          </w:rPr>
          <w:t>10.13 Amendment No. 12 (the “Amendment”), dated as of June 22, 2023, among Aramark Services, Inc. (the “Company”),</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Aramark Intermediate HoldCo Corporation (“Holdings”), certain wholly-owned subsidiaries of the Company, the</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financial institutions party thereto and JPMorgan Chase Bank, N.A. as administrative agent for the Lenders (as defined</w:t>
        </w:r>
      </w:hyperlink>
    </w:p>
    <w:p>
      <w:pPr>
        <w:jc w:val="both"/>
        <w:ind w:left="1120" w:right="499"/>
        <w:spacing w:after="0" w:line="220" w:lineRule="auto"/>
        <w:rPr>
          <w:rFonts w:ascii="Times New Roman" w:cs="Times New Roman" w:eastAsia="Times New Roman" w:hAnsi="Times New Roman"/>
          <w:sz w:val="17"/>
          <w:szCs w:val="17"/>
          <w:u w:val="single" w:color="auto"/>
          <w:color w:val="0000FF"/>
        </w:rPr>
      </w:pPr>
      <w:hyperlink r:id="rId158">
        <w:r>
          <w:rPr>
            <w:rFonts w:ascii="Times New Roman" w:cs="Times New Roman" w:eastAsia="Times New Roman" w:hAnsi="Times New Roman"/>
            <w:sz w:val="17"/>
            <w:szCs w:val="17"/>
            <w:u w:val="single" w:color="auto"/>
            <w:color w:val="0000FF"/>
          </w:rPr>
          <w:t>below) and collateral agent for the secured parties thereunder to the Credit Agreement, dated March 28, 2017, among</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the Company, Holdings, certain other borrowers party thereto, the financial institutions from time to time party thereto</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(including the financial institutions party to the Amendment, the “Lenders”), the issuing banks named therein and</w:t>
        </w:r>
      </w:hyperlink>
    </w:p>
    <w:p>
      <w:pPr>
        <w:spacing w:after="0" w:line="2" w:lineRule="exact"/>
        <w:rPr>
          <w:rFonts w:ascii="Times New Roman" w:cs="Times New Roman" w:eastAsia="Times New Roman" w:hAnsi="Times New Roman"/>
          <w:sz w:val="17"/>
          <w:szCs w:val="17"/>
          <w:u w:val="single" w:color="auto"/>
          <w:color w:val="0000FF"/>
        </w:rPr>
      </w:pPr>
    </w:p>
    <w:p>
      <w:pPr>
        <w:ind w:left="1120" w:right="479"/>
        <w:spacing w:after="0" w:line="218"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JPMorgan Chase Bank, N.A., as administrative agent for the Lenders and collateral agent for the secured parties</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thereunder (incorporated by reference to Exhibit 10.2 to Aramark’s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June 27, 2023,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120" w:right="519" w:hanging="534"/>
        <w:spacing w:after="0" w:line="229" w:lineRule="auto"/>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10.14 Amendment No. 13 (the “Amendment”), dated as of June 29, 2023, among Aramark Services, Inc. (the “Company”),</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Aramark Intermediate HoldCo Corporation (“Holdings”) and JPMorgan Chase Bank, N.A. as administrative agent for</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the Lenders (as defined below) and collateral agent for the secured parties thereunder to the Credit Agreement, dated</w:t>
        </w:r>
      </w:hyperlink>
    </w:p>
    <w:p>
      <w:pPr>
        <w:ind w:left="1120" w:right="339"/>
        <w:spacing w:after="0" w:line="220" w:lineRule="auto"/>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March 28, 2017, among the Company, Holdings, certain other borrowers party thereto, the financial institutions from</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time to time party thereto (including the financial institutions party to the Amendment, the “Lenders”), the issuing banks</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named therein and JPMorgan Chase Bank, N.A., as administrative agent for the Lenders and collateral agent for the</w:t>
        </w:r>
      </w:hyperlink>
    </w:p>
    <w:p>
      <w:pPr>
        <w:spacing w:after="0" w:line="2" w:lineRule="exact"/>
        <w:rPr>
          <w:rFonts w:ascii="Times New Roman" w:cs="Times New Roman" w:eastAsia="Times New Roman" w:hAnsi="Times New Roman"/>
          <w:sz w:val="17"/>
          <w:szCs w:val="17"/>
          <w:u w:val="single" w:color="auto"/>
          <w:color w:val="0000FF"/>
        </w:rPr>
      </w:pPr>
    </w:p>
    <w:p>
      <w:pPr>
        <w:ind w:left="1120" w:right="359"/>
        <w:spacing w:after="0" w:line="226"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secured parties thereunder (incorporated by reference to Exhibit 10.2 to Aramark’s Quarterly Report on Form 10-Q filed</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with the SEC on August 8, 2023, pursuant to the Exchange Act (file number 001-36223)).</w:t>
        </w:r>
      </w:hyperlink>
    </w:p>
    <w:p>
      <w:pPr>
        <w:spacing w:after="0" w:line="9" w:lineRule="exact"/>
        <w:rPr>
          <w:sz w:val="20"/>
          <w:szCs w:val="20"/>
          <w:color w:val="auto"/>
        </w:rPr>
      </w:pPr>
    </w:p>
    <w:p>
      <w:pPr>
        <w:ind w:left="1120" w:right="439" w:hanging="534"/>
        <w:spacing w:after="0" w:line="216"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10.15 Amendment No. 14 (the “Amendment”), dated as of March 27, 2024, among Aramark Services, Inc. (the “Company”),</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Aramark Intermediate HoldCo Corporation (“Holdings”), certain wholly-owned subsidiaries of the Company, the</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financial institutions party thereto and JPMorgan Chase Bank, N.A. as administrative agent for the Lenders (as defined</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120" w:right="499"/>
        <w:spacing w:after="0" w:line="220" w:lineRule="auto"/>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7"/>
            <w:szCs w:val="17"/>
            <w:u w:val="single" w:color="auto"/>
            <w:color w:val="0000FF"/>
          </w:rPr>
          <w:t>below) and collateral agent for the secured parties thereunder to the Credit Agreement, dated March 28, 2017, among</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the Company, Holdings, certain other borrowers party thereto, the financial institutions from time to time party thereto</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(including the financial institutions party to the Amendment, the “Lenders”), the issuing banks named therein and</w:t>
        </w:r>
      </w:hyperlink>
    </w:p>
    <w:p>
      <w:pPr>
        <w:spacing w:after="0" w:line="2" w:lineRule="exact"/>
        <w:rPr>
          <w:rFonts w:ascii="Times New Roman" w:cs="Times New Roman" w:eastAsia="Times New Roman" w:hAnsi="Times New Roman"/>
          <w:sz w:val="17"/>
          <w:szCs w:val="17"/>
          <w:u w:val="single" w:color="auto"/>
          <w:color w:val="0000FF"/>
        </w:rPr>
      </w:pPr>
    </w:p>
    <w:p>
      <w:pPr>
        <w:ind w:left="1120" w:right="679"/>
        <w:spacing w:after="0" w:line="218"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JPMorgan Chase Bank, N.A., as administrative agent for the Lenders and collateral agent for the secured parties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thereunder (incorporated by reference to Exhibit 10.1 to Aramark’s Current Report filed with the SEC on March 27,</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2024, pursuant to the Exchange Act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1" w:lineRule="exact"/>
        <w:rPr>
          <w:rFonts w:ascii="Times New Roman" w:cs="Times New Roman" w:eastAsia="Times New Roman" w:hAnsi="Times New Roman"/>
          <w:sz w:val="18"/>
          <w:szCs w:val="18"/>
          <w:u w:val="single" w:color="auto"/>
          <w:color w:val="0000FF"/>
        </w:rPr>
      </w:pPr>
    </w:p>
    <w:p>
      <w:pPr>
        <w:ind w:left="5460"/>
        <w:spacing w:after="0"/>
        <w:rPr>
          <w:sz w:val="20"/>
          <w:szCs w:val="20"/>
          <w:color w:val="auto"/>
        </w:rPr>
      </w:pPr>
      <w:r>
        <w:rPr>
          <w:rFonts w:ascii="Times New Roman" w:cs="Times New Roman" w:eastAsia="Times New Roman" w:hAnsi="Times New Roman"/>
          <w:sz w:val="18"/>
          <w:szCs w:val="18"/>
          <w:color w:val="auto"/>
        </w:rPr>
        <w:t>S-54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20" w:right="479" w:hanging="534"/>
        <w:spacing w:after="0" w:line="216"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10.16 Amendment No. 15 (the “Amendment”), dated as of August 2, 2024, among Aramark Services, Inc. (the “Company”),</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Aramark Intermediate HoldCo Corporation (“Holdings”), ARAMARK Canada Ltd. (the “Canadian Borrower”),</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ARAMARK Investments Limited, ARAMARK Limited (together with ARAMARK Investments Limited, the “UK</w:t>
        </w:r>
      </w:hyperlink>
    </w:p>
    <w:p>
      <w:pPr>
        <w:spacing w:after="0" w:line="1" w:lineRule="exact"/>
        <w:rPr>
          <w:rFonts w:ascii="Times New Roman" w:cs="Times New Roman" w:eastAsia="Times New Roman" w:hAnsi="Times New Roman"/>
          <w:sz w:val="18"/>
          <w:szCs w:val="18"/>
          <w:u w:val="single" w:color="auto"/>
          <w:color w:val="0000FF"/>
        </w:rPr>
      </w:pPr>
    </w:p>
    <w:p>
      <w:pPr>
        <w:ind w:left="1120" w:right="659"/>
        <w:spacing w:after="0" w:line="220" w:lineRule="auto"/>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Borrowers”), ARAMARK Ireland Holdings Limited, ARAMARK Regional Treasury Europe, Designated Activity</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Company (together with ARAMARK Ireland Holdings Limited, the “Irish Borrowers”), ARAMARK Holdings</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Deutschland GMBH (as successor by merger to ARAMARK Holdings GmbH &amp; Co. KG, the “German Borrower”),</w:t>
        </w:r>
      </w:hyperlink>
    </w:p>
    <w:p>
      <w:pPr>
        <w:spacing w:after="0" w:line="2" w:lineRule="exact"/>
        <w:rPr>
          <w:rFonts w:ascii="Times New Roman" w:cs="Times New Roman" w:eastAsia="Times New Roman" w:hAnsi="Times New Roman"/>
          <w:sz w:val="17"/>
          <w:szCs w:val="17"/>
          <w:u w:val="single" w:color="auto"/>
          <w:color w:val="0000FF"/>
        </w:rPr>
      </w:pPr>
    </w:p>
    <w:p>
      <w:pPr>
        <w:ind w:left="1120" w:right="459"/>
        <w:spacing w:after="0" w:line="220" w:lineRule="auto"/>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Aramark International Finance S.à r.l. (the “Luxembourg Borrower”), certain other wholly-owned subsidiaries of the</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Company, the financial institutions party thereto and JPMorgan Chase Bank, N.A. as administrative agent for the</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Lenders (as defined below) and collateral agent for the secured parties thereunder to the credit agreement, dated March</w:t>
        </w:r>
      </w:hyperlink>
    </w:p>
    <w:p>
      <w:pPr>
        <w:spacing w:after="0" w:line="2" w:lineRule="exact"/>
        <w:rPr>
          <w:rFonts w:ascii="Times New Roman" w:cs="Times New Roman" w:eastAsia="Times New Roman" w:hAnsi="Times New Roman"/>
          <w:sz w:val="17"/>
          <w:szCs w:val="17"/>
          <w:u w:val="single" w:color="auto"/>
          <w:color w:val="0000FF"/>
        </w:rPr>
      </w:pPr>
    </w:p>
    <w:p>
      <w:pPr>
        <w:ind w:left="1120" w:right="439"/>
        <w:spacing w:after="0" w:line="220" w:lineRule="auto"/>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28, 2017 (as amended, restated, amended and restated, supplemented or otherwise modified), among the Company,</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Holdings, the Canadian Borrower, the UK Borrower, the Irish Borrowers, the German Borrower, the Luxembourg</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Borrower and certain other wholly-owned domestic subsidiaries of the Company, the financial institutions from time to</w:t>
        </w:r>
      </w:hyperlink>
    </w:p>
    <w:p>
      <w:pPr>
        <w:spacing w:after="0" w:line="2" w:lineRule="exact"/>
        <w:rPr>
          <w:rFonts w:ascii="Times New Roman" w:cs="Times New Roman" w:eastAsia="Times New Roman" w:hAnsi="Times New Roman"/>
          <w:sz w:val="17"/>
          <w:szCs w:val="17"/>
          <w:u w:val="single" w:color="auto"/>
          <w:color w:val="0000FF"/>
        </w:rPr>
      </w:pPr>
    </w:p>
    <w:p>
      <w:pPr>
        <w:ind w:left="1120" w:right="359"/>
        <w:spacing w:after="0" w:line="220" w:lineRule="auto"/>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time party thereto (including the financial institutions party to the Amendment, the “Lenders”), the issuing banks named</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therein and JPMorgan Chase Bank, N.A., as administrative agent for the Lenders and collateral agent for the secured</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parties thereunder (incorporated by reference to Exhibit 10.1 to Aramark’s Current Report filed with the SEC on August</w:t>
        </w:r>
      </w:hyperlink>
    </w:p>
    <w:p>
      <w:pPr>
        <w:spacing w:after="0" w:line="2" w:lineRule="exact"/>
        <w:rPr>
          <w:rFonts w:ascii="Times New Roman" w:cs="Times New Roman" w:eastAsia="Times New Roman" w:hAnsi="Times New Roman"/>
          <w:sz w:val="17"/>
          <w:szCs w:val="17"/>
          <w:u w:val="single" w:color="auto"/>
          <w:color w:val="0000FF"/>
        </w:rPr>
      </w:pPr>
    </w:p>
    <w:p>
      <w:pPr>
        <w:ind w:left="112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6, 2024, pursuant to the Exchange Act (file number 001-36223)).</w:t>
        </w:r>
      </w:hyperlink>
    </w:p>
    <w:p>
      <w:pPr>
        <w:spacing w:after="0" w:line="7" w:lineRule="exact"/>
        <w:rPr>
          <w:rFonts w:ascii="Times New Roman" w:cs="Times New Roman" w:eastAsia="Times New Roman" w:hAnsi="Times New Roman"/>
          <w:sz w:val="17"/>
          <w:szCs w:val="17"/>
          <w:u w:val="single" w:color="auto"/>
          <w:color w:val="0000FF"/>
        </w:rPr>
      </w:pPr>
    </w:p>
    <w:p>
      <w:pPr>
        <w:ind w:left="1120" w:right="359" w:hanging="624"/>
        <w:spacing w:after="0" w:line="214" w:lineRule="auto"/>
        <w:rPr>
          <w:sz w:val="20"/>
          <w:szCs w:val="20"/>
          <w:color w:val="auto"/>
        </w:rPr>
      </w:pPr>
      <w:r>
        <w:rPr>
          <w:rFonts w:ascii="Times New Roman" w:cs="Times New Roman" w:eastAsia="Times New Roman" w:hAnsi="Times New Roman"/>
          <w:sz w:val="18"/>
          <w:szCs w:val="18"/>
          <w:u w:val="single" w:color="auto"/>
          <w:color w:val="0000FF"/>
        </w:rPr>
        <w:t>10.17* Amendment No. 16 to the Credit Agreement, dated as of August 23, 2024, by and among Aramark Services, Inc., a Delaware corporation, Aramark Intermediate HoldCo Corporation, a Delaware corporation, each of the other Borrowers party thereto, each of the Lenders party thereto, and JPMorgan Chase Bank, N.A., as administrative agent for the</w:t>
      </w:r>
    </w:p>
    <w:p>
      <w:pPr>
        <w:spacing w:after="0" w:line="1" w:lineRule="exact"/>
        <w:rPr>
          <w:rFonts w:ascii="Times New Roman" w:cs="Times New Roman" w:eastAsia="Times New Roman" w:hAnsi="Times New Roman"/>
          <w:sz w:val="17"/>
          <w:szCs w:val="17"/>
          <w:u w:val="single" w:color="auto"/>
          <w:color w:val="0000FF"/>
        </w:rPr>
      </w:pPr>
    </w:p>
    <w:p>
      <w:pPr>
        <w:ind w:left="1120"/>
        <w:spacing w:after="0"/>
        <w:rPr>
          <w:sz w:val="20"/>
          <w:szCs w:val="20"/>
          <w:color w:val="auto"/>
        </w:rPr>
      </w:pPr>
      <w:r>
        <w:rPr>
          <w:rFonts w:ascii="Times New Roman" w:cs="Times New Roman" w:eastAsia="Times New Roman" w:hAnsi="Times New Roman"/>
          <w:sz w:val="18"/>
          <w:szCs w:val="18"/>
          <w:u w:val="single" w:color="auto"/>
          <w:color w:val="0000FF"/>
        </w:rPr>
        <w:t>Lenders and collateral agent for the Secured Parties.</w:t>
      </w:r>
    </w:p>
    <w:p>
      <w:pPr>
        <w:spacing w:after="0" w:line="7" w:lineRule="exact"/>
        <w:rPr>
          <w:rFonts w:ascii="Times New Roman" w:cs="Times New Roman" w:eastAsia="Times New Roman" w:hAnsi="Times New Roman"/>
          <w:sz w:val="17"/>
          <w:szCs w:val="17"/>
          <w:u w:val="single" w:color="auto"/>
          <w:color w:val="0000FF"/>
        </w:rPr>
      </w:pPr>
    </w:p>
    <w:p>
      <w:pPr>
        <w:jc w:val="both"/>
        <w:ind w:left="1120" w:right="719" w:hanging="534"/>
        <w:spacing w:after="0" w:line="224"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10.18 Joinder Agreement, dated as of November 18, 2022, between each New Subsidiary listed on Schedule I thereto and</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JPMorgan Chase Bank, N.A., as agent (incorporated by reference to Exhibit 10.1 to Aramark's Quarterly Report on</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Form 10-Q filed with the SEC on February 7, 2023,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120" w:right="359" w:hanging="534"/>
        <w:spacing w:after="0" w:line="216"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10.19 United States Pledge and Security Agreement, dated as of March 28, 2017 by and among Aramark Intermediate HoldCo</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Corporation, Aramark Services, Inc., the Subsidiary Parties from time to time party thereto and JPMorgan Chase Bank,</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N.A. as collateral agent (incorporated by reference to Exhibit 10.2 to Aramark's Quarterly Report on Form 10-Q filed</w:t>
        </w:r>
      </w:hyperlink>
    </w:p>
    <w:p>
      <w:pPr>
        <w:spacing w:after="0" w:line="1" w:lineRule="exact"/>
        <w:rPr>
          <w:rFonts w:ascii="Times New Roman" w:cs="Times New Roman" w:eastAsia="Times New Roman" w:hAnsi="Times New Roman"/>
          <w:sz w:val="18"/>
          <w:szCs w:val="18"/>
          <w:u w:val="single" w:color="auto"/>
          <w:color w:val="0000FF"/>
        </w:rPr>
      </w:pPr>
    </w:p>
    <w:p>
      <w:pPr>
        <w:ind w:left="1120"/>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with the SEC on May 9, 2017, pursuant to the Exchange Act (file number 001-36223)).</w:t>
        </w:r>
      </w:hyperlink>
    </w:p>
    <w:p>
      <w:pPr>
        <w:spacing w:after="0" w:line="7" w:lineRule="exact"/>
        <w:rPr>
          <w:rFonts w:ascii="Times New Roman" w:cs="Times New Roman" w:eastAsia="Times New Roman" w:hAnsi="Times New Roman"/>
          <w:sz w:val="18"/>
          <w:szCs w:val="18"/>
          <w:u w:val="single" w:color="auto"/>
          <w:color w:val="0000FF"/>
        </w:rPr>
      </w:pPr>
    </w:p>
    <w:p>
      <w:pPr>
        <w:ind w:left="1120" w:right="379" w:hanging="534"/>
        <w:spacing w:after="0" w:line="224"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10.20 Amended and Restated Registration Rights and Coordination Committee Agreement, dated as of December 10, 2013,</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among Aramark and the other parties thereto (incorporated by reference to Exhibit 10.2 to Aramark’s Current Report on</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Form 8-K filed with the SEC on December 16, 2013,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120" w:right="359" w:hanging="624"/>
        <w:spacing w:after="0" w:line="239" w:lineRule="auto"/>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10.21† Form of Agreement Relating to Employment and Post-Employment Competition and Schedule 1 listing each Executive</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Officer who is a party to such Agreement (incorporated by reference to Exhibit 10.1 to Aramark Services, Inc.’s Current</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Report on Form 8-K filed with the SEC on July 19, 2007, pursuant to the Exchange Act (file number 001-04762)).</w:t>
        </w:r>
      </w:hyperlink>
    </w:p>
    <w:p>
      <w:pPr>
        <w:spacing w:after="0" w:line="10" w:lineRule="exact"/>
        <w:rPr>
          <w:rFonts w:ascii="Times New Roman" w:cs="Times New Roman" w:eastAsia="Times New Roman" w:hAnsi="Times New Roman"/>
          <w:sz w:val="17"/>
          <w:szCs w:val="17"/>
          <w:u w:val="single" w:color="auto"/>
          <w:color w:val="0000FF"/>
        </w:rPr>
      </w:pPr>
    </w:p>
    <w:p>
      <w:pPr>
        <w:ind w:left="1120" w:right="379" w:hanging="624"/>
        <w:spacing w:after="0" w:line="226"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10.22† Form of Amendment to Agreement Relating to Employment and Post-Employment Competition (incorporated by</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reference to Exhibit 10.8 to Aramark Services, Inc.’s Annual Report on Form 10-K filed with the SEC on December 15,</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2008, pursuant to the Exchange Act (file number 001-04762)).</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20" w:right="439" w:hanging="624"/>
        <w:spacing w:after="0" w:line="226"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10.23† Offer Letter dated February 4, 2019 between Aramark and Lauren A. Harrington (incorporated by reference to Exhibit</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10.21 to Aramark’s Annual Report on Form 10-K filed with the SEC on November 26, 2019, pursuant to the Exchange</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399" w:hanging="624"/>
        <w:spacing w:after="0" w:line="226"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10.24† Amended and Restated Agreement Relating to Employment and Post-Employment Competition dated July 16, 2020</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between Aramark and Lauren A. Harrington (incorporated by reference to Exhibit 10.5 of Aramark’s Current Report on</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Form 8-K filed with the SEC on July 17,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479" w:hanging="624"/>
        <w:spacing w:after="0" w:line="226"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10.25† Offer Letter by and between Aramark and John J. Zillmer, dated October 6, 2019 (incorporated by reference to Exhibit</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10.2 to Aramark’s Current Report on Form 8-K filed with the SEC on October 7, 2019, pursuant to the Exchange Act</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439" w:hanging="624"/>
        <w:spacing w:after="0" w:line="226"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10.26† Amended and Restated Agreement Relating to Employment and Post-Employment Competition dated July 16, 2020</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between Aramark and John J. Zillmer (incorporated by reference to Exhibit 10.1 of Aramark’s Current Report on Form</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8-K filed with the SEC on July 17,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579" w:hanging="624"/>
        <w:spacing w:after="0" w:line="226"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10.27† Offer Letter, dated as of January 5, 2020, by and between Thomas Ondrof and Aramark (incorporated by reference to</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Exhibit 10.2 to Aramark’s Current Report on Form 8-K filed with the SEC on January 6, 2020, pursuant to the</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379" w:hanging="624"/>
        <w:spacing w:after="0" w:line="226"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10.28† Amended and Restated Agreement Relating to Employment and Post-Employment Competition dated July 16, 2020</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between Aramark and Thomas Ondrof (incorporated by reference to Exhibit 10.2 of Aramark’s Current Report on Form</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8-K filed with the SEC on July 17,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379" w:hanging="624"/>
        <w:spacing w:after="0" w:line="226"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10.29† Letter Agreement, dated as of December 11, 2023 by and between Aramark and Thomas Ondrof (incorporated by</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reference to Exhibit 10.3 to Aramark's Current Report on Form 8-K filed with the SEC on December 11, 2023, pursuant</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to the Exchange Act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0" w:lineRule="exact"/>
        <w:rPr>
          <w:rFonts w:ascii="Times New Roman" w:cs="Times New Roman" w:eastAsia="Times New Roman" w:hAnsi="Times New Roman"/>
          <w:sz w:val="18"/>
          <w:szCs w:val="18"/>
          <w:u w:val="single" w:color="auto"/>
          <w:color w:val="0000FF"/>
        </w:rPr>
      </w:pPr>
    </w:p>
    <w:p>
      <w:pPr>
        <w:ind w:left="5460"/>
        <w:spacing w:after="0"/>
        <w:rPr>
          <w:sz w:val="20"/>
          <w:szCs w:val="20"/>
          <w:color w:val="auto"/>
        </w:rPr>
      </w:pPr>
      <w:r>
        <w:rPr>
          <w:rFonts w:ascii="Times New Roman" w:cs="Times New Roman" w:eastAsia="Times New Roman" w:hAnsi="Times New Roman"/>
          <w:sz w:val="18"/>
          <w:szCs w:val="18"/>
          <w:color w:val="auto"/>
        </w:rPr>
        <w:t>S-55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120" w:right="499" w:hanging="624"/>
        <w:spacing w:after="0" w:line="226" w:lineRule="auto"/>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10.30† Amendment, dated May 29, 2024, to the Letter Agreement dated December 11, 2023, by and between Thomas Ondrof</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and Aramark (incorporated by reference to Exhibit 10.1 to Aramark's Current Report on Form 8-K filed with the SEC</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on May 29, 2024,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379" w:hanging="624"/>
        <w:spacing w:after="0" w:line="226"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10.31† Amended and Restated Agreement Relating to Employment and Post-Employment Competition dated July 16, 2020</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between Aramark and Lynn B. McKee (incorporated by reference to Exhibit 10.3 of Aramark’s Current Report on Form</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8-K filed with the SEC on July 17,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399" w:hanging="624"/>
        <w:spacing w:after="0" w:line="226"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10.32† Letter Agreement, dated as of December 2, 2022 by and between Aramark and Lynn McKee (incorporated by reference</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to Exhibit 10.1 to Aramark's Current Report on Form 8-K filed with the SEC on December 5, 2022, pursuant to the</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20" w:right="459" w:hanging="624"/>
        <w:spacing w:after="0" w:line="226" w:lineRule="auto"/>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10.33† Offer Letter dated December 4, 2019 between Aramark and Marc Bruno (incorporated by reference to Exhibit 10.29 to</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Aramark’s Annual Report on Form 10-K filed with the SEC on November 24, 2020 pursuant to the Exchange Act (file</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number 001-36223)).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20" w:right="599" w:hanging="624"/>
        <w:spacing w:after="0" w:line="226"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10.34† Amended and Restated Agreement Relating to Employment and Post-Employment Competition dated July 16, 2020</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between Aramark and Marc Bruno (incorporated by reference to Exhibit 10.30 to Aramark’s Annual Report on Form</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10-K filed with the SEC on November 24,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659" w:hanging="624"/>
        <w:spacing w:after="0" w:line="226"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10.35† Offer Letter dated December 2, 2022 between Aramark and Abigail A. Charpentier (incorporated by reference to</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Exhibit 10.29 to Aramark’s Annual Report on Form 10-K filed with the SEC on November 21, 2023 pursuant to the</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599" w:hanging="624"/>
        <w:spacing w:after="0" w:line="229"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10.36† Amended and Restated Agreement Relating to Employment and Post-Employment Competition dated December 3,</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2022 between Aramark and Abigail A. Charpentier (incorporated by reference to Exhibit 10.30 to Aramark’s Annual</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Report on Form 10-K filed with the SEC on November 21, 2023 pursuant to the Exchange Act (file number 001-</w:t>
        </w:r>
      </w:hyperlink>
    </w:p>
    <w:p>
      <w:pPr>
        <w:ind w:left="1120"/>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36223)).</w:t>
        </w:r>
      </w:hyperlink>
    </w:p>
    <w:p>
      <w:pPr>
        <w:spacing w:after="0" w:line="7" w:lineRule="exact"/>
        <w:rPr>
          <w:rFonts w:ascii="Times New Roman" w:cs="Times New Roman" w:eastAsia="Times New Roman" w:hAnsi="Times New Roman"/>
          <w:sz w:val="17"/>
          <w:szCs w:val="17"/>
          <w:u w:val="single" w:color="auto"/>
          <w:color w:val="0000FF"/>
        </w:rPr>
      </w:pPr>
    </w:p>
    <w:p>
      <w:pPr>
        <w:ind w:left="1120" w:right="439" w:hanging="624"/>
        <w:spacing w:after="0" w:line="224"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10.37† Offer Letter, dated as of December 11, 2023, by and between James Tarangelo and Aramark (incorporated by reference</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to Exhibit 10.1 to Aramark's Current Report on Form 8-K filed with the SEC on December 11, 2023, pursuant to the</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120" w:right="359" w:hanging="624"/>
        <w:spacing w:after="0" w:line="226"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10.38† Agreement relating to Employment and Post-Employment Competition, dated as of December 11, 2023, by and</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between James Tarangelo and Aramark (incorporated by reference to Exhibit 10.1 to Aramark's Current Report on Form</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8-K filed with the SEC on December 11, 2023,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399" w:hanging="624"/>
        <w:spacing w:after="0" w:line="226"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10.39† Form of Indemnification Agreement and attached schedule (incorporated by reference to Exhibit 10.4 to Aramark</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Services, Inc.’s Current Report on Form 8-K filed with the SEC on August 10, 2005, pursuant to the Exchange Act (file</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number 001-16807)).</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20" w:right="859" w:hanging="624"/>
        <w:spacing w:after="0" w:line="226"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10.40† Form of Indemnification Agreement (Directors) (incorporated by reference to Exhibit 10.17 to Aramark's Annual</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Report on Form 10-K filed with the SEC on November 22, 2017 pursuant to the Exchange Act (file number 001-</w:t>
        </w:r>
      </w:hyperlink>
      <w:hyperlink r:id="rId186">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20" w:right="639" w:hanging="624"/>
        <w:spacing w:after="0" w:line="226"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10.41† Form of Indemnification Agreement (Executive Officers) (incorporated by reference to Exhibit 10.29 to Aramark’s</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Annual Report on Form 10-K filed with the SEC on November 26, 2019, pursuant to the Exchange Act (file number</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339" w:hanging="624"/>
        <w:spacing w:after="0" w:line="226"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10.42† Indemnification Agreement dated February 4, 2014 between Stephen Sadove and Aramark (incorporated by reference to</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Exhibit 10.2 to Aramark’s Quarterly Report on Form 10-Q filed with the SEC on February 5, 2014, pursuant to the</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759" w:hanging="624"/>
        <w:spacing w:after="0" w:line="237"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10.43† Aramark 2001 Deferred Compensation Plan (incorporated by reference to Exhibit 10.1 to Aramark Services, Inc.’s</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Registration Statement on Form S-8 filed with the SEC on May 24, 2002 (file number 333-89120)).</w:t>
        </w:r>
      </w:hyperlink>
    </w:p>
    <w:p>
      <w:pPr>
        <w:spacing w:after="0" w:line="10" w:lineRule="exact"/>
        <w:rPr>
          <w:sz w:val="20"/>
          <w:szCs w:val="20"/>
          <w:color w:val="auto"/>
        </w:rPr>
      </w:pPr>
    </w:p>
    <w:p>
      <w:pPr>
        <w:ind w:left="1120" w:right="399" w:hanging="624"/>
        <w:spacing w:after="0" w:line="237"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10.44† Second Amended and Restated Aramark Savings Incentive Retirement Plan (incorporated by reference to Exhibit 10.45</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to Aramark’s Form S-1/A filed with the SEC on November 19, 2013, (file number 333-191057)).</w:t>
        </w:r>
      </w:hyperlink>
    </w:p>
    <w:p>
      <w:pPr>
        <w:jc w:val="center"/>
        <w:ind w:right="-120"/>
        <w:spacing w:after="0" w:line="237"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 xml:space="preserve">45†  </w:t>
      </w:r>
      <w:hyperlink r:id="rId191">
        <w:r>
          <w:rPr>
            <w:rFonts w:ascii="Times New Roman" w:cs="Times New Roman" w:eastAsia="Times New Roman" w:hAnsi="Times New Roman"/>
            <w:sz w:val="18"/>
            <w:szCs w:val="18"/>
            <w:u w:val="single" w:color="auto"/>
            <w:color w:val="0000FF"/>
          </w:rPr>
          <w:t>Amendment 2019-1 to the Second Amended and Restated Aramark Savings Incentive Retirement Plan (incorporated by</w:t>
        </w:r>
      </w:hyperlink>
    </w:p>
    <w:p>
      <w:pPr>
        <w:spacing w:after="0" w:line="1" w:lineRule="exact"/>
        <w:rPr>
          <w:sz w:val="20"/>
          <w:szCs w:val="20"/>
          <w:color w:val="auto"/>
        </w:rPr>
      </w:pPr>
    </w:p>
    <w:p>
      <w:pPr>
        <w:ind w:left="1120" w:right="979"/>
        <w:spacing w:after="0" w:line="226"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reference to Exhibit 10.6 to Aramark’s Quarterly Report on Form 10-Q filed with the SEC on February 4, 2020,</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pursuant to the Exchange Act (file number 001-36233)).</w:t>
        </w:r>
      </w:hyperlink>
    </w:p>
    <w:p>
      <w:pPr>
        <w:spacing w:after="0" w:line="9" w:lineRule="exact"/>
        <w:rPr>
          <w:sz w:val="20"/>
          <w:szCs w:val="20"/>
          <w:color w:val="auto"/>
        </w:rPr>
      </w:pPr>
    </w:p>
    <w:p>
      <w:pPr>
        <w:ind w:left="1120" w:right="439" w:hanging="624"/>
        <w:spacing w:after="0" w:line="226"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10.46† Amended Survivor Income Protection Plan (incorporated by reference to Exhibit 10.5 to Aramark Services, Inc.’s</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Quarterly Report on Form 10-Q filed with the SEC on August 8, 2007, pursuant to the Exchange Act (file number 001-</w:t>
        </w:r>
      </w:hyperlink>
      <w:hyperlink r:id="rId192">
        <w:r>
          <w:rPr>
            <w:rFonts w:ascii="Times New Roman" w:cs="Times New Roman" w:eastAsia="Times New Roman" w:hAnsi="Times New Roman"/>
            <w:sz w:val="18"/>
            <w:szCs w:val="18"/>
            <w:u w:val="single" w:color="auto"/>
            <w:color w:val="0000FF"/>
          </w:rPr>
          <w:t>04762)).</w:t>
        </w:r>
      </w:hyperlink>
    </w:p>
    <w:p>
      <w:pPr>
        <w:spacing w:after="0" w:line="9" w:lineRule="exact"/>
        <w:rPr>
          <w:rFonts w:ascii="Times New Roman" w:cs="Times New Roman" w:eastAsia="Times New Roman" w:hAnsi="Times New Roman"/>
          <w:sz w:val="18"/>
          <w:szCs w:val="18"/>
          <w:u w:val="single" w:color="auto"/>
          <w:color w:val="0000FF"/>
        </w:rPr>
      </w:pPr>
    </w:p>
    <w:p>
      <w:pPr>
        <w:ind w:left="1120" w:right="399" w:hanging="624"/>
        <w:spacing w:after="0" w:line="237"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10.47† Second Amended and Restated Aramark 2005 Deferred Compensation Plan (incorporated by reference to Exhibit 10.48</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to Aramark’s Form S-1/A filed with the SEC on November 19, 2013 (file number 333-191057)).</w:t>
        </w:r>
      </w:hyperlink>
    </w:p>
    <w:p>
      <w:pPr>
        <w:spacing w:after="0" w:line="10" w:lineRule="exact"/>
        <w:rPr>
          <w:sz w:val="20"/>
          <w:szCs w:val="20"/>
          <w:color w:val="auto"/>
        </w:rPr>
      </w:pPr>
    </w:p>
    <w:p>
      <w:pPr>
        <w:ind w:left="1120" w:right="379" w:hanging="624"/>
        <w:spacing w:after="0" w:line="226"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10.48† Third Amended and Restated 2005 Deferred Compensation Plan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Aramark’s Quarterly Report on Form 10-Q filed with the SEC on February 10, 2016, pursuant to the Exchange Act (file</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number 001-36233)).</w:t>
        </w:r>
      </w:hyperlink>
    </w:p>
    <w:p>
      <w:pPr>
        <w:spacing w:after="0" w:line="9" w:lineRule="exact"/>
        <w:rPr>
          <w:rFonts w:ascii="Times New Roman" w:cs="Times New Roman" w:eastAsia="Times New Roman" w:hAnsi="Times New Roman"/>
          <w:sz w:val="18"/>
          <w:szCs w:val="18"/>
          <w:u w:val="single" w:color="auto"/>
          <w:color w:val="0000FF"/>
        </w:rPr>
      </w:pPr>
    </w:p>
    <w:p>
      <w:pPr>
        <w:ind w:left="1120" w:right="499" w:hanging="624"/>
        <w:spacing w:after="0" w:line="226"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10.49† Amended and Restated Aramark Management Incentive Bonus Plan (incorporated by reference to Exhibit 10.39 to</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Aramark's Annual Report on Form 10-K filed with the SEC on November 23, 2021 pursuant to the Exchange Act (file</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719" w:hanging="624"/>
        <w:spacing w:after="0" w:line="237"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10.50† Aramark 2005 Deferred Compensation Plan for Directors (incorporated by reference to Exhibit 10.67 to Aramark’s</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20" w:right="579" w:hanging="624"/>
        <w:spacing w:after="0" w:line="226"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10.51† Aramark's Amended and Restated 2013 Stock Incentive Plan (incorporated by reference to Exhibit 10.1 to Aramark's</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Quarterly Report on Form 10-Q filed with the SEC on February 7, 2017, pursuant to the Exchange Act (file number</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001-36233)).</w:t>
        </w:r>
      </w:hyperlink>
    </w:p>
    <w:p>
      <w:pPr>
        <w:spacing w:after="0" w:line="9" w:lineRule="exact"/>
        <w:rPr>
          <w:rFonts w:ascii="Times New Roman" w:cs="Times New Roman" w:eastAsia="Times New Roman" w:hAnsi="Times New Roman"/>
          <w:sz w:val="18"/>
          <w:szCs w:val="18"/>
          <w:u w:val="single" w:color="auto"/>
          <w:color w:val="0000FF"/>
        </w:rPr>
      </w:pPr>
    </w:p>
    <w:p>
      <w:pPr>
        <w:ind w:left="1120" w:right="439" w:hanging="624"/>
        <w:spacing w:after="0" w:line="237"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10.52† Second Amended and Restated 2013 Stock Incentive Plan of Aramark (incorporated by reference to Appendix A to the</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Company's Proxy Statement filed with the SEC on December 20, 2019 (file number 001-36223)).</w:t>
        </w:r>
      </w:hyperlink>
    </w:p>
    <w:p>
      <w:pPr>
        <w:spacing w:after="0" w:line="10" w:lineRule="exact"/>
        <w:rPr>
          <w:sz w:val="20"/>
          <w:szCs w:val="20"/>
          <w:color w:val="auto"/>
        </w:rPr>
      </w:pPr>
    </w:p>
    <w:p>
      <w:pPr>
        <w:ind w:left="1120" w:right="339" w:hanging="624"/>
        <w:spacing w:after="0" w:line="237"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10.53† Aramark Third Amended and Restated 2013 Stock Incentive Plan of Aramark (incorporated by reference to Appendix A</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to the Company's Proxy Statement filed with the SEC on December 23, 2020 (file number 001-36223)).</w:t>
        </w:r>
      </w:hyperlink>
    </w:p>
    <w:p>
      <w:pPr>
        <w:spacing w:after="0" w:line="10" w:lineRule="exact"/>
        <w:rPr>
          <w:sz w:val="20"/>
          <w:szCs w:val="20"/>
          <w:color w:val="auto"/>
        </w:rPr>
      </w:pPr>
    </w:p>
    <w:p>
      <w:pPr>
        <w:ind w:left="1120" w:right="339" w:hanging="624"/>
        <w:spacing w:after="0" w:line="226"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10.54† Form of Non-Qualified Stock Option Award Agreement (incorporated by reference to Exhibit 10.2 to Aramark Services,</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Inc.’s Current Report on Form 8-K filed with the SEC on June 26, 2013, pursuant to the Exchange Act (file number</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001-04762)).</w:t>
        </w:r>
      </w:hyperlink>
    </w:p>
    <w:p>
      <w:pPr>
        <w:spacing w:after="0" w:line="9" w:lineRule="exact"/>
        <w:rPr>
          <w:rFonts w:ascii="Times New Roman" w:cs="Times New Roman" w:eastAsia="Times New Roman" w:hAnsi="Times New Roman"/>
          <w:sz w:val="18"/>
          <w:szCs w:val="18"/>
          <w:u w:val="single" w:color="auto"/>
          <w:color w:val="0000FF"/>
        </w:rPr>
      </w:pPr>
    </w:p>
    <w:p>
      <w:pPr>
        <w:ind w:left="1120" w:right="559" w:hanging="624"/>
        <w:spacing w:after="0" w:line="226" w:lineRule="auto"/>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10.55† Form of Replacement Stock Option Award Agreement with Aramark (incorporated by reference to Exhibit 10.5 to</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Aramark Services, Inc.’s Current Report on Form 8-K filed with the SEC on June 26, 2013, pursuant to the Exchange</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Act (file number 001-04762)).</w:t>
        </w:r>
      </w:hyperlink>
    </w:p>
    <w:p>
      <w:pPr>
        <w:ind w:left="500"/>
        <w:spacing w:after="0" w:line="237"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 xml:space="preserve">56†  </w:t>
      </w:r>
      <w:hyperlink r:id="rId203">
        <w:r>
          <w:rPr>
            <w:rFonts w:ascii="Times New Roman" w:cs="Times New Roman" w:eastAsia="Times New Roman" w:hAnsi="Times New Roman"/>
            <w:sz w:val="18"/>
            <w:szCs w:val="18"/>
            <w:u w:val="single" w:color="auto"/>
            <w:color w:val="0000FF"/>
          </w:rPr>
          <w:t>Revised Schedule 1s to Outstanding Non-Qualified Stock Option Agreements (incorporated by reference to Exhibit</w:t>
        </w:r>
      </w:hyperlink>
    </w:p>
    <w:p>
      <w:pPr>
        <w:ind w:left="1120"/>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10.68 to Aramark’s Form S-1/A filed with the SEC on November 19, 2013 (file number 333-191057)).</w:t>
        </w:r>
      </w:hyperlink>
    </w:p>
    <w:p>
      <w:pPr>
        <w:spacing w:after="0" w:line="5"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 xml:space="preserve">57†  </w:t>
      </w:r>
      <w:hyperlink r:id="rId204">
        <w:r>
          <w:rPr>
            <w:rFonts w:ascii="Times New Roman" w:cs="Times New Roman" w:eastAsia="Times New Roman" w:hAnsi="Times New Roman"/>
            <w:sz w:val="18"/>
            <w:szCs w:val="18"/>
            <w:u w:val="single" w:color="auto"/>
            <w:color w:val="0000FF"/>
          </w:rPr>
          <w:t>Form of Amendment to Outstanding Non-Qualified Stock Option Agreement (incorporated by reference to Exhibit</w:t>
        </w:r>
      </w:hyperlink>
    </w:p>
    <w:p>
      <w:pPr>
        <w:ind w:left="1120"/>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10.69 to Aramark’s Form S-1/A filed with the SEC on November 19, 2013 (file number 333-191057)).</w:t>
        </w:r>
      </w:hyperlink>
    </w:p>
    <w:p>
      <w:pPr>
        <w:spacing w:after="0" w:line="16" w:lineRule="exact"/>
        <w:rPr>
          <w:sz w:val="20"/>
          <w:szCs w:val="20"/>
          <w:color w:val="auto"/>
        </w:rPr>
      </w:pPr>
    </w:p>
    <w:p>
      <w:pPr>
        <w:ind w:left="1120" w:right="339" w:hanging="624"/>
        <w:spacing w:after="0" w:line="237"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10.58† Form of Non-Qualified Stock Option Award under the Aramark 2013 Stock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Exhibit 10.71 to Aramark’s Form S-1/A filed with the SEC on November 19, 2013 (file number 333-191057)).</w:t>
        </w:r>
      </w:hyperlink>
    </w:p>
    <w:p>
      <w:pPr>
        <w:spacing w:after="0" w:line="10" w:lineRule="exact"/>
        <w:rPr>
          <w:sz w:val="20"/>
          <w:szCs w:val="20"/>
          <w:color w:val="auto"/>
        </w:rPr>
      </w:pPr>
    </w:p>
    <w:p>
      <w:pPr>
        <w:ind w:left="1120" w:right="479" w:hanging="624"/>
        <w:spacing w:after="0" w:line="226" w:lineRule="auto"/>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10.59† Form of Non-Qualified Stock Option Award (Retirement Notice/Full Vest) (incorporated by reference to Exhibit 10.72</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to Aramark's Annual Report on Form 10-K filed with the SEC on November 22, 2017 pursuant to the Exchange Act</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379" w:hanging="624"/>
        <w:spacing w:after="0" w:line="226"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10.60† Form of Restricted Stock Unit Award (Time Vesting) (Retirement Notice/2Y Vest) (incorporated by reference to Exhibit</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10.73 to Aramark's Annual Report on Form 10-K filed with the SEC on November 22, 2017 pursuant to the Exchange</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Act (file number 001-36223)).</w:t>
        </w:r>
      </w:hyperlink>
    </w:p>
    <w:p>
      <w:pPr>
        <w:ind w:left="500"/>
        <w:spacing w:after="0" w:line="183"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34"/>
            <w:szCs w:val="34"/>
            <w:u w:val="single" w:color="auto"/>
            <w:color w:val="0000FF"/>
            <w:vertAlign w:val="superscript"/>
          </w:rPr>
          <w:t>10.61†</w:t>
        </w:r>
        <w:r>
          <w:rPr>
            <w:rFonts w:ascii="Times New Roman" w:cs="Times New Roman" w:eastAsia="Times New Roman" w:hAnsi="Times New Roman"/>
            <w:sz w:val="18"/>
            <w:szCs w:val="18"/>
            <w:u w:val="single" w:color="auto"/>
            <w:color w:val="0000FF"/>
          </w:rPr>
          <w:t xml:space="preserve">  Form of Performance Stock Unit Award (Retirement Notice/2Y Vest) (incorporated by reference to Exhibit 10.74 to</w:t>
        </w:r>
      </w:hyperlink>
    </w:p>
    <w:p>
      <w:pPr>
        <w:spacing w:after="0" w:line="1" w:lineRule="exact"/>
        <w:rPr>
          <w:rFonts w:ascii="Times New Roman" w:cs="Times New Roman" w:eastAsia="Times New Roman" w:hAnsi="Times New Roman"/>
          <w:sz w:val="18"/>
          <w:szCs w:val="18"/>
          <w:u w:val="single" w:color="auto"/>
          <w:color w:val="0000FF"/>
        </w:rPr>
      </w:pPr>
    </w:p>
    <w:p>
      <w:pPr>
        <w:ind w:left="1120" w:right="499"/>
        <w:spacing w:after="0" w:line="226"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Aramark's Annual Report on Form 10-K filed with the SEC on November 22, 2017 pursuant to the Exchange Act (file</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number 001-36223)).</w:t>
        </w:r>
      </w:hyperlink>
    </w:p>
    <w:p>
      <w:pPr>
        <w:spacing w:after="0" w:line="90" w:lineRule="exact"/>
        <w:rPr>
          <w:sz w:val="20"/>
          <w:szCs w:val="20"/>
          <w:color w:val="auto"/>
        </w:rPr>
      </w:pPr>
    </w:p>
    <w:p>
      <w:pPr>
        <w:ind w:left="1120" w:right="359" w:hanging="624"/>
        <w:spacing w:after="0" w:line="226" w:lineRule="auto"/>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10.62† Form of Non-Qualified Stock Option Award (Retirement Notice/2Y Vest) (incorporated by reference to Exhibit 10.75 to</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Aramark's Annual Report on Form 10-K filed with the SEC on November 22, 2017 pursuant to the Exchange Act (file</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number 001-36223)).</w:t>
        </w:r>
      </w:hyperlink>
    </w:p>
    <w:p>
      <w:pPr>
        <w:spacing w:after="0" w:line="9" w:lineRule="exact"/>
        <w:rPr>
          <w:rFonts w:ascii="Times New Roman" w:cs="Times New Roman" w:eastAsia="Times New Roman" w:hAnsi="Times New Roman"/>
          <w:sz w:val="18"/>
          <w:szCs w:val="18"/>
          <w:u w:val="single" w:color="auto"/>
          <w:color w:val="0000FF"/>
        </w:rPr>
      </w:pPr>
    </w:p>
    <w:p>
      <w:pPr>
        <w:jc w:val="center"/>
        <w:ind w:left="820"/>
        <w:spacing w:after="0" w:line="237" w:lineRule="auto"/>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10.63†  Form of Non-Qualified Stock Option Award (incorporated by reference to Exhibit 10.93 to Aramark’s Annual Report on</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Form 10-K filed with the SEC on November 26, 2019, pursuant to the Exchange Act (file number 001-36223)).</w:t>
        </w:r>
      </w:hyperlink>
    </w:p>
    <w:p>
      <w:pPr>
        <w:spacing w:after="0" w:line="10" w:lineRule="exact"/>
        <w:rPr>
          <w:sz w:val="20"/>
          <w:szCs w:val="20"/>
          <w:color w:val="auto"/>
        </w:rPr>
      </w:pPr>
    </w:p>
    <w:p>
      <w:pPr>
        <w:ind w:left="1120" w:right="479" w:hanging="624"/>
        <w:spacing w:after="0" w:line="226" w:lineRule="auto"/>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10.64† Form of Restricted Stock Unit Award (Time Vesting) (incorporated by reference to Exhibit 10.94 to Aramark’s Annual</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Report on Form 10-K filed with the SEC on November 26, 2019, pursuant to the Exchange Act (file number 001-</w:t>
        </w:r>
      </w:hyperlink>
      <w:hyperlink r:id="rId211">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639" w:hanging="624"/>
        <w:spacing w:after="0" w:line="237" w:lineRule="auto"/>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10.65† Form of Performance Stock Unit Award (incorporated by reference to Exhibit 10.95 to Aramark’s Annual Report on</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Form 10-K filed with the SEC on November 26, 2019, pursuant to the Exchange Act (file number 001-36223)).</w:t>
        </w:r>
      </w:hyperlink>
    </w:p>
    <w:p>
      <w:pPr>
        <w:spacing w:after="0" w:line="10" w:lineRule="exact"/>
        <w:rPr>
          <w:sz w:val="20"/>
          <w:szCs w:val="20"/>
          <w:color w:val="auto"/>
        </w:rPr>
      </w:pPr>
    </w:p>
    <w:p>
      <w:pPr>
        <w:ind w:left="1120" w:right="419" w:hanging="624"/>
        <w:spacing w:after="0" w:line="226" w:lineRule="auto"/>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10.66† Form of Schedule I to Performance Stock Unit Award (incorporated by reference to Exhibit 10.96 to Aramark’s Annual</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Report on Form 10-K filed with the SEC on November 26, 2019, pursuant to the Exchange Act (file number 001-</w:t>
        </w:r>
      </w:hyperlink>
      <w:hyperlink r:id="rId213">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339" w:hanging="624"/>
        <w:spacing w:after="0" w:line="226"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10.67† Amended and Restated Form of Non-Qualified Stock Option Award dated July 16, 2020 between Aramark and John J.</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Zillmer (incorporated by reference to Exhibit 10.6 of Aramark’s Current Report on Form 8-K filed with the SEC on July</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17,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339" w:hanging="624"/>
        <w:spacing w:after="0" w:line="226"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10.68† Amended and Restated Restricted Stock Unit Award (Time Vesting) dated July 16, 2020 between Aramark and John J.</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Zillmer (incorporated by reference to Exhibit 10.7 of Aramark’s Current Report on Form 8-K filed with the SEC on July</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17,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339" w:hanging="624"/>
        <w:spacing w:after="0" w:line="226"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10.69† Amended and Restated Form of Performance Stock Unit Award dated July 16, 2020 between Aramark and John J.</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Zillmer (incorporated by reference to Exhibit 10.8 of Aramark’s Current Report on Form 8-K filed with the SEC on July</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17,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499" w:hanging="624"/>
        <w:spacing w:after="0" w:line="226" w:lineRule="auto"/>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10.70† Amended and Restated Form of Non-Qualified Stock Option Award dated September 4, 2020 between Aramark and</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John J. Zillmer (incorporated by reference to Exhibit 10.104 to Aramark’s Annual Report on Form 10-K filed with the</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SEC on November 24,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479" w:hanging="624"/>
        <w:spacing w:after="0" w:line="237"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10.71† Form of Non-Qualified Stock Option Award (incorporated by reference to Exhibit 10.105 to Aramark’s Annual Report</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on Form 10-K filed with the SEC on November 24, 2020 pursuant to the Exchange Act (file number 001-36223)).</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20" w:right="499" w:hanging="624"/>
        <w:spacing w:after="0" w:line="226"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10.72† Amended and Restated Form of Non-Qualified Stock Option Award dated September 4, 2020 between Aramark and</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John J. Zillmer (incorporated by reference to Exhibit 10.106 to Aramark’s Annual Report on Form 10-K filed with the</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SEC on November 24,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499" w:hanging="624"/>
        <w:spacing w:after="0" w:line="226" w:lineRule="auto"/>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10.73† Amended and Restated Restricted Stock Unit Award (Time Vesting) dated September 4, 2020 between Aramark and</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John J. Zillmer (incorporated by reference to Exhibit 10.107 to Aramark’s Annual Report on Form 10-K filed with the</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SEC on November 24,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479" w:hanging="624"/>
        <w:spacing w:after="0" w:line="237"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10.74† Form of Non-Qualified Stock Option Award (incorporated by reference to Exhibit 10.108 to Aramark’s Annual Report</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on Form 10-K filed with the SEC on November 24, 2020 pursuant to the Exchange Act (file number 001-36223)).</w:t>
        </w:r>
      </w:hyperlink>
    </w:p>
    <w:p>
      <w:pPr>
        <w:spacing w:after="0" w:line="10" w:lineRule="exact"/>
        <w:rPr>
          <w:sz w:val="20"/>
          <w:szCs w:val="20"/>
          <w:color w:val="auto"/>
        </w:rPr>
      </w:pPr>
    </w:p>
    <w:p>
      <w:pPr>
        <w:ind w:left="1120" w:right="379" w:hanging="624"/>
        <w:spacing w:after="0" w:line="22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10.75† Form of Restricted Stock Unit Award (Time Vesting) (incorporated by reference to Exhibit 10.109 to Aramark’s Annual</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Report on Form 10-K filed with the SEC on November 24, 2020 pursuant to the Exchange Act (file number 001-</w:t>
        </w:r>
      </w:hyperlink>
      <w:hyperlink r:id="rId223">
        <w:r>
          <w:rPr>
            <w:rFonts w:ascii="Times New Roman" w:cs="Times New Roman" w:eastAsia="Times New Roman" w:hAnsi="Times New Roman"/>
            <w:sz w:val="18"/>
            <w:szCs w:val="18"/>
            <w:u w:val="single" w:color="auto"/>
            <w:color w:val="0000FF"/>
          </w:rPr>
          <w:t>36223)).</w:t>
        </w:r>
      </w:hyperlink>
    </w:p>
    <w:p>
      <w:pPr>
        <w:ind w:left="500"/>
        <w:spacing w:after="0" w:line="237"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 xml:space="preserve">76†  </w:t>
      </w:r>
      <w:hyperlink r:id="rId224">
        <w:r>
          <w:rPr>
            <w:rFonts w:ascii="Times New Roman" w:cs="Times New Roman" w:eastAsia="Times New Roman" w:hAnsi="Times New Roman"/>
            <w:sz w:val="18"/>
            <w:szCs w:val="18"/>
            <w:u w:val="single" w:color="auto"/>
            <w:color w:val="0000FF"/>
          </w:rPr>
          <w:t>Form of Deferred Stock Unit Award under the Aramark 2013 Stock Incentive Plan (incorporated by reference to Exhibit</w:t>
        </w:r>
      </w:hyperlink>
    </w:p>
    <w:p>
      <w:pPr>
        <w:ind w:left="1120"/>
        <w:spacing w:after="0"/>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10.73 to Aramark’s Form S-1/A filed with the SEC on November 19, 2013 (file number 333-191057)).</w:t>
        </w:r>
      </w:hyperlink>
    </w:p>
    <w:p>
      <w:pPr>
        <w:spacing w:after="0" w:line="16" w:lineRule="exact"/>
        <w:rPr>
          <w:sz w:val="20"/>
          <w:szCs w:val="20"/>
          <w:color w:val="auto"/>
        </w:rPr>
      </w:pPr>
    </w:p>
    <w:p>
      <w:pPr>
        <w:ind w:left="1120" w:right="459" w:hanging="624"/>
        <w:spacing w:after="0" w:line="226"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 xml:space="preserve">10.77† </w:t>
        </w:r>
      </w:hyperlink>
      <w:hyperlink r:id="rId226">
        <w:r>
          <w:rPr>
            <w:rFonts w:ascii="Times New Roman" w:cs="Times New Roman" w:eastAsia="Times New Roman" w:hAnsi="Times New Roman"/>
            <w:sz w:val="18"/>
            <w:szCs w:val="18"/>
            <w:u w:val="single" w:color="auto"/>
            <w:color w:val="0000FF"/>
          </w:rPr>
          <w:t>Form of Deferred Stock Unit Award Agreement under the Aramark 2013 Stock Incentive Plan (Revised) (incorporated</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by reference to Exhibit 10.77 to Aramark’s Annual Report on Form 10-K filed with the SEC on December 3, 2014,</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599" w:hanging="624"/>
        <w:spacing w:after="0" w:line="226" w:lineRule="auto"/>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10.78† Form of Deferred Stock Unit Agreement under the Aramark 2013 Stock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Exhibit 10.4 to Aramark’s Quarterly Report on Form 10-Q filed with the SEC on May 13, 2015, pursuant to the</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539" w:hanging="624"/>
        <w:spacing w:after="0" w:line="237" w:lineRule="auto"/>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10.79† Form of Aircraft Timesharing Agreement (incorporated by reference to Exhibit 10.69 to Aramark’s Annual Report on</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Form 10-K filed with the SEC on December 1, 2015, pursuant to the Exchange Act (file number 001-36223)).</w:t>
        </w:r>
      </w:hyperlink>
    </w:p>
    <w:p>
      <w:pPr>
        <w:spacing w:after="0" w:line="10" w:lineRule="exact"/>
        <w:rPr>
          <w:sz w:val="20"/>
          <w:szCs w:val="20"/>
          <w:color w:val="auto"/>
        </w:rPr>
      </w:pPr>
    </w:p>
    <w:p>
      <w:pPr>
        <w:ind w:left="1120" w:right="859" w:hanging="624"/>
        <w:spacing w:after="0" w:line="237" w:lineRule="auto"/>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10.80† Aramark 2021 Employee Stock Purchase Plan (incorporated by reference to Appendix B to the Company's Proxy</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Statement filed with the SEC on December 23, 2020 (file number 001-36223)).</w:t>
        </w:r>
      </w:hyperlink>
    </w:p>
    <w:p>
      <w:pPr>
        <w:spacing w:after="0" w:line="10" w:lineRule="exact"/>
        <w:rPr>
          <w:sz w:val="20"/>
          <w:szCs w:val="20"/>
          <w:color w:val="auto"/>
        </w:rPr>
      </w:pPr>
    </w:p>
    <w:p>
      <w:pPr>
        <w:ind w:left="1120" w:right="339" w:hanging="624"/>
        <w:spacing w:after="0" w:line="226" w:lineRule="auto"/>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10.81† Amendment Number One to the Aramark 2021 Employee Stock Purchase Plan effective November 7th, 2022</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(incorporated by reference to Exhibit 10.87 to Aramark's Annual Report on Form 10-K filed with the SEC on November</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22, 2022,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539" w:hanging="624"/>
        <w:spacing w:after="0" w:line="237" w:lineRule="auto"/>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10.82† Form of ELT Stock Option Grant Agreement (incorporated by reference to Exhibit 10.88 to Aramark's Annual Report</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on Form 10-K filed with the SEC on November 22, 2022, pursuant to the Exchange Act (file number 001-36223)).</w:t>
        </w:r>
      </w:hyperlink>
    </w:p>
    <w:p>
      <w:pPr>
        <w:spacing w:after="0" w:line="10" w:lineRule="exact"/>
        <w:rPr>
          <w:sz w:val="20"/>
          <w:szCs w:val="20"/>
          <w:color w:val="auto"/>
        </w:rPr>
      </w:pPr>
    </w:p>
    <w:p>
      <w:pPr>
        <w:ind w:left="1120" w:right="479" w:hanging="624"/>
        <w:spacing w:after="0" w:line="226" w:lineRule="auto"/>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10.83† Form of ELT Restricted Stock Unit Grant Agreement (incorporated by reference to Exhibit 10.89 to Aramark's Annual</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Report on Form 10-K filed with the SEC on November 22, 2022, pursuant to the Exchange Act (file number 001-</w:t>
        </w:r>
      </w:hyperlink>
      <w:hyperlink r:id="rId232">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639" w:hanging="624"/>
        <w:spacing w:after="0" w:line="226" w:lineRule="auto"/>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10.84† Form of ELT Performance Stock Unit Grant Agreement (incorporated by reference to Exhibit 10.90 to Aramark's</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Annual Report on Form 10-K filed with the SEC on November 22, 2022, pursuant to the Exchange Act (file number</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639" w:hanging="624"/>
        <w:spacing w:after="0" w:line="226"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10.85† Form of CEO Performance Stock Unit Grant Agreement (incorporated by reference to Exhibit 10.91 to Aramark's</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Annual Report on Form 10-K filed with the SEC on November 22, 2022, pursuant to the Exchange Act (file number</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379" w:hanging="624"/>
        <w:spacing w:after="0" w:line="226" w:lineRule="auto"/>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10.86† Form of CEO Restrictive Stock Unit Grant Agreement (incorporated by reference to Exhibit 10.92 to Aramark's Annual</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Report on Form 10-K filed with the SEC on November 22, 2022, pursuant to the Exchange Act (file number 001-</w:t>
        </w:r>
      </w:hyperlink>
      <w:hyperlink r:id="rId235">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479" w:hanging="624"/>
        <w:spacing w:after="0" w:line="237" w:lineRule="auto"/>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10.87† Form of CEO Stock Option Grant Agreement (incorporated by reference to Exhibit 10.93 to Aramark's Annual Report</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on Form 10-K filed with the SEC on November 22, 2022, pursuant to the Exchange Act (file number 001-36223)).</w:t>
        </w:r>
      </w:hyperlink>
    </w:p>
    <w:p>
      <w:pPr>
        <w:spacing w:after="0" w:line="10" w:lineRule="exact"/>
        <w:rPr>
          <w:sz w:val="20"/>
          <w:szCs w:val="20"/>
          <w:color w:val="auto"/>
        </w:rPr>
      </w:pPr>
    </w:p>
    <w:p>
      <w:pPr>
        <w:ind w:left="1120" w:right="339" w:hanging="624"/>
        <w:spacing w:after="0" w:line="237" w:lineRule="auto"/>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10.88† Form of Schedule I to Performance Stock Units (incorporated by reference to Exhibit 10.94 to Aramark's Annual Report</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on Form 10-K filed with the SEC on November 22, 2022, pursuant to the Exchange Act (file number 001-36223)).</w:t>
        </w:r>
      </w:hyperlink>
    </w:p>
    <w:p>
      <w:pPr>
        <w:spacing w:after="0" w:line="10" w:lineRule="exact"/>
        <w:rPr>
          <w:sz w:val="20"/>
          <w:szCs w:val="20"/>
          <w:color w:val="auto"/>
        </w:rPr>
      </w:pPr>
    </w:p>
    <w:p>
      <w:pPr>
        <w:ind w:left="1120" w:right="379" w:hanging="624"/>
        <w:spacing w:after="0" w:line="237" w:lineRule="auto"/>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10.89† Aramark 2023 Stock Incentive Plan (incorporated by reference to Appendix A to Aramark’s Definitive Proxy Statement</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filed with the SEC on December 23, 2022, pursuant to the Exchange Act (file number 001-36223)).</w:t>
        </w:r>
      </w:hyperlink>
    </w:p>
    <w:p>
      <w:pPr>
        <w:spacing w:after="0" w:line="10" w:lineRule="exact"/>
        <w:rPr>
          <w:sz w:val="20"/>
          <w:szCs w:val="20"/>
          <w:color w:val="auto"/>
        </w:rPr>
      </w:pPr>
    </w:p>
    <w:p>
      <w:pPr>
        <w:jc w:val="both"/>
        <w:ind w:left="1120" w:right="459" w:hanging="624"/>
        <w:spacing w:after="0" w:line="226" w:lineRule="auto"/>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10.90† Form of Annual Deferred Stock Unit Grant Agreement under the Aramark 2023 Stock Incentive Plan (incorporated by</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reference to Exhibit 10.1 to Aramark's Quarterly Report on Form 10-Q filed with the SEC on May 9, 2023, pursuant to</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20" w:right="459" w:hanging="624"/>
        <w:spacing w:after="0" w:line="226" w:lineRule="auto"/>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10.91† Form of Quarterly Deferred Retainer Grant Agreement under the Aramark 2023 Stock Incentive Plan (incorporated by</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reference to Exhibit 10.2 to Aramark's Quarterly Report on Form 10-Q filed with the SEC on May 9, 2023, pursuant to</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the Exchange Act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0" w:lineRule="exact"/>
        <w:rPr>
          <w:rFonts w:ascii="Times New Roman" w:cs="Times New Roman" w:eastAsia="Times New Roman" w:hAnsi="Times New Roman"/>
          <w:sz w:val="18"/>
          <w:szCs w:val="18"/>
          <w:u w:val="single" w:color="auto"/>
          <w:color w:val="0000FF"/>
        </w:rPr>
      </w:pPr>
    </w:p>
    <w:p>
      <w:pPr>
        <w:ind w:left="5460"/>
        <w:spacing w:after="0"/>
        <w:rPr>
          <w:sz w:val="20"/>
          <w:szCs w:val="20"/>
          <w:color w:val="auto"/>
        </w:rPr>
      </w:pPr>
      <w:r>
        <w:rPr>
          <w:rFonts w:ascii="Times New Roman" w:cs="Times New Roman" w:eastAsia="Times New Roman" w:hAnsi="Times New Roman"/>
          <w:sz w:val="18"/>
          <w:szCs w:val="18"/>
          <w:color w:val="auto"/>
        </w:rPr>
        <w:t>S-58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20" w:right="619" w:hanging="624"/>
        <w:spacing w:after="0" w:line="226" w:lineRule="auto"/>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10.92† Amended and Restated Aramark Management Incentive Bonus Plan (incorporated by reference to Exhibit 10.3 to</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Aramark's Quarterly Report on Form 10-Q filed with the SEC on August 8, 2023, pursuant to the Exchange Act (file</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499" w:hanging="534"/>
        <w:spacing w:after="0" w:line="226" w:lineRule="auto"/>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10.93 Transition Services Agreement, dated as of September 29, 2023, by and between Aramark and Vestis Corporation</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(incorporated by reference to Exhibit 10.1 to Aramark's Current Report on Form 8-K filed with the SEC on October 2,</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2023,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20" w:right="339" w:hanging="534"/>
        <w:spacing w:after="0" w:line="226" w:lineRule="auto"/>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10.94 Tax Matters Agreement, dated as of September 29, 2023, by and between Aramark and Vestis Corporation (incorporated</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by reference to Exhibit 10.2 to Aramark's Current Report on Form 8-K filed with the SEC on October 2, 2023, pursuant</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499" w:hanging="624"/>
        <w:spacing w:after="0" w:line="226" w:lineRule="auto"/>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10.95† Employee Matters Agreement, dated as of September 29, 2023, by and between Aramark and Vestis Corporation</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(incorporated by reference to Exhibit 10.3 to Aramark's Current Report on Form 8-K filed with the SEC on October 2,</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2023,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20" w:right="679" w:hanging="624"/>
        <w:spacing w:after="0" w:line="226" w:lineRule="auto"/>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10.96† Form of ELT Stock Option Grant Agreement (2023 Plan) (incorporated by reference to Exhibit 10.94 to Aramark’s</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Annual Report on Form 10-K filed with the SEC on November 21, 2023 pursuant to the Exchange Act (file number</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759" w:hanging="624"/>
        <w:spacing w:after="0" w:line="226" w:lineRule="auto"/>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10.97† Form of ELT RSU Grant Agreement (2023 Plan) (incorporated by reference to Exhibit 10.95 to Aramark’s Annual</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Report on Form 10-K filed with the SEC on November 21, 2023 pursuant to the Exchange Act (file number 001-</w:t>
        </w:r>
      </w:hyperlink>
      <w:hyperlink r:id="rId247">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779" w:hanging="624"/>
        <w:spacing w:after="0" w:line="226" w:lineRule="auto"/>
        <w:rPr>
          <w:rFonts w:ascii="Times New Roman" w:cs="Times New Roman" w:eastAsia="Times New Roman" w:hAnsi="Times New Roman"/>
          <w:sz w:val="18"/>
          <w:szCs w:val="18"/>
          <w:u w:val="single" w:color="auto"/>
          <w:color w:val="0000FF"/>
        </w:rPr>
      </w:pPr>
      <w:hyperlink r:id="rId248">
        <w:r>
          <w:rPr>
            <w:rFonts w:ascii="Times New Roman" w:cs="Times New Roman" w:eastAsia="Times New Roman" w:hAnsi="Times New Roman"/>
            <w:sz w:val="18"/>
            <w:szCs w:val="18"/>
            <w:u w:val="single" w:color="auto"/>
            <w:color w:val="0000FF"/>
          </w:rPr>
          <w:t>10.98† Form of ELT PSU Grant Agreement (2023 Plan) (incorporated by reference to Exhibit 10.96 to Aramark’s Annual</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Report on Form 10-K filed with the SEC on November 21, 2023 pursuant to the Exchange Act (file number 001-</w:t>
        </w:r>
      </w:hyperlink>
      <w:hyperlink r:id="rId248">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20" w:right="679" w:hanging="624"/>
        <w:spacing w:after="0" w:line="226" w:lineRule="auto"/>
        <w:rPr>
          <w:rFonts w:ascii="Times New Roman" w:cs="Times New Roman" w:eastAsia="Times New Roman" w:hAnsi="Times New Roman"/>
          <w:sz w:val="18"/>
          <w:szCs w:val="18"/>
          <w:u w:val="single" w:color="auto"/>
          <w:color w:val="0000FF"/>
        </w:rPr>
      </w:pPr>
      <w:hyperlink r:id="rId249">
        <w:r>
          <w:rPr>
            <w:rFonts w:ascii="Times New Roman" w:cs="Times New Roman" w:eastAsia="Times New Roman" w:hAnsi="Times New Roman"/>
            <w:sz w:val="18"/>
            <w:szCs w:val="18"/>
            <w:u w:val="single" w:color="auto"/>
            <w:color w:val="0000FF"/>
          </w:rPr>
          <w:t>10.99† Form of CEO Stock Option Grant Agreement (2023 Plan) (incorporated by reference to Exhibit 10.97 to Aramark’s</w:t>
        </w:r>
      </w:hyperlink>
      <w:r>
        <w:rPr>
          <w:rFonts w:ascii="Times New Roman" w:cs="Times New Roman" w:eastAsia="Times New Roman" w:hAnsi="Times New Roman"/>
          <w:sz w:val="18"/>
          <w:szCs w:val="18"/>
          <w:u w:val="single" w:color="auto"/>
          <w:color w:val="0000FF"/>
        </w:rPr>
        <w:t xml:space="preserve"> </w:t>
      </w:r>
      <w:hyperlink r:id="rId249">
        <w:r>
          <w:rPr>
            <w:rFonts w:ascii="Times New Roman" w:cs="Times New Roman" w:eastAsia="Times New Roman" w:hAnsi="Times New Roman"/>
            <w:sz w:val="18"/>
            <w:szCs w:val="18"/>
            <w:u w:val="single" w:color="auto"/>
            <w:color w:val="0000FF"/>
          </w:rPr>
          <w:t>Annual Report on Form 10-K filed with the SEC on November 21, 2023 pursuant to the Exchange Act (file number</w:t>
        </w:r>
      </w:hyperlink>
      <w:r>
        <w:rPr>
          <w:rFonts w:ascii="Times New Roman" w:cs="Times New Roman" w:eastAsia="Times New Roman" w:hAnsi="Times New Roman"/>
          <w:sz w:val="18"/>
          <w:szCs w:val="18"/>
          <w:u w:val="single" w:color="auto"/>
          <w:color w:val="0000FF"/>
        </w:rPr>
        <w:t xml:space="preserve"> </w:t>
      </w:r>
      <w:hyperlink r:id="rId249">
        <w:r>
          <w:rPr>
            <w:rFonts w:ascii="Times New Roman" w:cs="Times New Roman" w:eastAsia="Times New Roman" w:hAnsi="Times New Roman"/>
            <w:sz w:val="18"/>
            <w:szCs w:val="18"/>
            <w:u w:val="single" w:color="auto"/>
            <w:color w:val="0000FF"/>
          </w:rPr>
          <w:t>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719" w:hanging="714"/>
        <w:spacing w:after="0" w:line="226" w:lineRule="auto"/>
        <w:rPr>
          <w:rFonts w:ascii="Times New Roman" w:cs="Times New Roman" w:eastAsia="Times New Roman" w:hAnsi="Times New Roman"/>
          <w:sz w:val="18"/>
          <w:szCs w:val="18"/>
          <w:u w:val="single" w:color="auto"/>
          <w:color w:val="0000FF"/>
        </w:rPr>
      </w:pPr>
      <w:hyperlink r:id="rId250">
        <w:r>
          <w:rPr>
            <w:rFonts w:ascii="Times New Roman" w:cs="Times New Roman" w:eastAsia="Times New Roman" w:hAnsi="Times New Roman"/>
            <w:sz w:val="18"/>
            <w:szCs w:val="18"/>
            <w:u w:val="single" w:color="auto"/>
            <w:color w:val="0000FF"/>
          </w:rPr>
          <w:t>10.100† Form of CEO RSU Grant Agreement (2023 Plan) (incorporated by reference to Exhibit 10.98 to Aramark’s Annual</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Report on Form 10-K filed with the SEC on November 21, 2023 pursuant to the Exchange Act (file number 001-</w:t>
        </w:r>
      </w:hyperlink>
      <w:hyperlink r:id="rId250">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739" w:hanging="714"/>
        <w:spacing w:after="0" w:line="226" w:lineRule="auto"/>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10.101† Form of CEO PSU Grant Agreement (2023 Plan) (incorporated by reference to Exhibit 10.99 to Aramark’s Annual</w:t>
        </w:r>
      </w:hyperlink>
      <w:r>
        <w:rPr>
          <w:rFonts w:ascii="Times New Roman" w:cs="Times New Roman" w:eastAsia="Times New Roman" w:hAnsi="Times New Roman"/>
          <w:sz w:val="18"/>
          <w:szCs w:val="18"/>
          <w:u w:val="single" w:color="auto"/>
          <w:color w:val="0000FF"/>
        </w:rPr>
        <w:t xml:space="preserve"> </w:t>
      </w:r>
      <w:hyperlink r:id="rId251">
        <w:r>
          <w:rPr>
            <w:rFonts w:ascii="Times New Roman" w:cs="Times New Roman" w:eastAsia="Times New Roman" w:hAnsi="Times New Roman"/>
            <w:sz w:val="18"/>
            <w:szCs w:val="18"/>
            <w:u w:val="single" w:color="auto"/>
            <w:color w:val="0000FF"/>
          </w:rPr>
          <w:t>Report on Form 10-K filed with the SEC on November 21, 2023 pursuant to the Exchange Act (file number 001-</w:t>
        </w:r>
      </w:hyperlink>
      <w:hyperlink r:id="rId251">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20" w:right="679" w:hanging="714"/>
        <w:spacing w:after="0" w:line="226" w:lineRule="auto"/>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10.102† Amended and Restated ELT PSUs 2022-2024 Schedule I (incorporated by reference to Exhibit 10.100 to Aramark’s</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Annual Report on Form 10-K filed with the SEC on November 21, 2023 pursuant to the Exchange Act (file number</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001-36223)).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20" w:right="639" w:hanging="714"/>
        <w:spacing w:after="0" w:line="226" w:lineRule="auto"/>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10.103† Amended and Restated ELC PSUs 2022-2024 Schedule I (incorporated by reference to Exhibit 10.101 to Aramark’s</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Annual Report on Form 10-K filed with the SEC on November 21, 2023 pursuant to the Exchange Act (file number</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001-36223)).</w:t>
        </w:r>
      </w:hyperlink>
    </w:p>
    <w:p>
      <w:pPr>
        <w:spacing w:after="0" w:line="9" w:lineRule="exact"/>
        <w:rPr>
          <w:rFonts w:ascii="Times New Roman" w:cs="Times New Roman" w:eastAsia="Times New Roman" w:hAnsi="Times New Roman"/>
          <w:sz w:val="18"/>
          <w:szCs w:val="18"/>
          <w:u w:val="single" w:color="auto"/>
          <w:color w:val="0000FF"/>
        </w:rPr>
      </w:pPr>
    </w:p>
    <w:p>
      <w:pPr>
        <w:ind w:left="1120" w:right="579" w:hanging="714"/>
        <w:spacing w:after="0" w:line="226" w:lineRule="auto"/>
        <w:rPr>
          <w:rFonts w:ascii="Times New Roman" w:cs="Times New Roman" w:eastAsia="Times New Roman" w:hAnsi="Times New Roman"/>
          <w:sz w:val="18"/>
          <w:szCs w:val="18"/>
          <w:u w:val="single" w:color="auto"/>
          <w:color w:val="0000FF"/>
        </w:rPr>
      </w:pPr>
      <w:hyperlink r:id="rId254">
        <w:r>
          <w:rPr>
            <w:rFonts w:ascii="Times New Roman" w:cs="Times New Roman" w:eastAsia="Times New Roman" w:hAnsi="Times New Roman"/>
            <w:sz w:val="18"/>
            <w:szCs w:val="18"/>
            <w:u w:val="single" w:color="auto"/>
            <w:color w:val="0000FF"/>
          </w:rPr>
          <w:t>10.104† Form of CEO Cliff Vesting Restricted Stock Unit Award (incorporated by reference to Exhibit 10.1 to Aramark's</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Current Report on Form 8-K filed with the SEC on August 16, 2024, pursuant to the Exchange Act (file number 001-</w:t>
        </w:r>
      </w:hyperlink>
      <w:hyperlink r:id="rId254">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320"/>
        <w:spacing w:after="0"/>
        <w:rPr>
          <w:sz w:val="20"/>
          <w:szCs w:val="20"/>
          <w:color w:val="auto"/>
        </w:rPr>
      </w:pPr>
      <w:r>
        <w:rPr>
          <w:rFonts w:ascii="Times New Roman" w:cs="Times New Roman" w:eastAsia="Times New Roman" w:hAnsi="Times New Roman"/>
          <w:sz w:val="18"/>
          <w:szCs w:val="18"/>
          <w:u w:val="single" w:color="auto"/>
          <w:color w:val="0000FF"/>
        </w:rPr>
        <w:t>10.105†*  Amendment to the Aramark 2023 Stock Incentive Plan.</w:t>
      </w:r>
    </w:p>
    <w:p>
      <w:pPr>
        <w:spacing w:after="0" w:line="27" w:lineRule="exact"/>
        <w:rPr>
          <w:rFonts w:ascii="Times New Roman" w:cs="Times New Roman" w:eastAsia="Times New Roman" w:hAnsi="Times New Roman"/>
          <w:sz w:val="18"/>
          <w:szCs w:val="18"/>
          <w:u w:val="single" w:color="auto"/>
          <w:color w:val="0000FF"/>
        </w:rPr>
      </w:pPr>
    </w:p>
    <w:p>
      <w:pPr>
        <w:ind w:left="320"/>
        <w:spacing w:after="0"/>
        <w:rPr>
          <w:sz w:val="20"/>
          <w:szCs w:val="20"/>
          <w:color w:val="auto"/>
        </w:rPr>
      </w:pPr>
      <w:r>
        <w:rPr>
          <w:rFonts w:ascii="Times New Roman" w:cs="Times New Roman" w:eastAsia="Times New Roman" w:hAnsi="Times New Roman"/>
          <w:sz w:val="18"/>
          <w:szCs w:val="18"/>
          <w:u w:val="single" w:color="auto"/>
          <w:color w:val="0000FF"/>
        </w:rPr>
        <w:t>10.106†*  Amendment to the Third Amended and Restated 2013 Stock Incentive Plan.</w:t>
      </w:r>
    </w:p>
    <w:p>
      <w:pPr>
        <w:spacing w:after="0" w:line="23" w:lineRule="exact"/>
        <w:rPr>
          <w:rFonts w:ascii="Times New Roman" w:cs="Times New Roman" w:eastAsia="Times New Roman" w:hAnsi="Times New Roman"/>
          <w:sz w:val="18"/>
          <w:szCs w:val="18"/>
          <w:u w:val="single" w:color="auto"/>
          <w:color w:val="0000FF"/>
        </w:rPr>
      </w:pPr>
    </w:p>
    <w:p>
      <w:pPr>
        <w:ind w:left="320"/>
        <w:spacing w:after="0"/>
        <w:rPr>
          <w:sz w:val="20"/>
          <w:szCs w:val="20"/>
          <w:color w:val="auto"/>
        </w:rPr>
      </w:pPr>
      <w:r>
        <w:rPr>
          <w:rFonts w:ascii="Times New Roman" w:cs="Times New Roman" w:eastAsia="Times New Roman" w:hAnsi="Times New Roman"/>
          <w:sz w:val="18"/>
          <w:szCs w:val="18"/>
          <w:u w:val="single" w:color="auto"/>
          <w:color w:val="0000FF"/>
        </w:rPr>
        <w:t>10.107†*  Form of Schedule I to PSUs Approved in November 2024.</w:t>
      </w:r>
    </w:p>
    <w:p>
      <w:pPr>
        <w:spacing w:after="0" w:line="23" w:lineRule="exact"/>
        <w:rPr>
          <w:rFonts w:ascii="Times New Roman" w:cs="Times New Roman" w:eastAsia="Times New Roman" w:hAnsi="Times New Roman"/>
          <w:sz w:val="18"/>
          <w:szCs w:val="18"/>
          <w:u w:val="single" w:color="auto"/>
          <w:color w:val="0000FF"/>
        </w:rPr>
      </w:pPr>
    </w:p>
    <w:p>
      <w:pPr>
        <w:ind w:left="720"/>
        <w:spacing w:after="0"/>
        <w:rPr>
          <w:sz w:val="20"/>
          <w:szCs w:val="20"/>
          <w:color w:val="auto"/>
        </w:rPr>
      </w:pPr>
      <w:r>
        <w:rPr>
          <w:rFonts w:ascii="Times New Roman" w:cs="Times New Roman" w:eastAsia="Times New Roman" w:hAnsi="Times New Roman"/>
          <w:sz w:val="18"/>
          <w:szCs w:val="18"/>
          <w:u w:val="single" w:color="auto"/>
          <w:color w:val="0000FF"/>
        </w:rPr>
        <w:t>19*  Securities Trading Policy.</w:t>
      </w:r>
    </w:p>
    <w:p>
      <w:pPr>
        <w:spacing w:after="0" w:line="23" w:lineRule="exact"/>
        <w:rPr>
          <w:rFonts w:ascii="Times New Roman" w:cs="Times New Roman" w:eastAsia="Times New Roman" w:hAnsi="Times New Roman"/>
          <w:sz w:val="18"/>
          <w:szCs w:val="18"/>
          <w:u w:val="single" w:color="auto"/>
          <w:color w:val="0000FF"/>
        </w:rPr>
      </w:pPr>
    </w:p>
    <w:p>
      <w:pPr>
        <w:ind w:left="580"/>
        <w:spacing w:after="0"/>
        <w:rPr>
          <w:sz w:val="20"/>
          <w:szCs w:val="20"/>
          <w:color w:val="auto"/>
        </w:rPr>
      </w:pPr>
      <w:r>
        <w:rPr>
          <w:rFonts w:ascii="Times New Roman" w:cs="Times New Roman" w:eastAsia="Times New Roman" w:hAnsi="Times New Roman"/>
          <w:sz w:val="18"/>
          <w:szCs w:val="18"/>
          <w:u w:val="single" w:color="auto"/>
          <w:color w:val="0000FF"/>
        </w:rPr>
        <w:t>21.1*  List of subsidiaries of Aramark.</w:t>
      </w:r>
    </w:p>
    <w:p>
      <w:pPr>
        <w:spacing w:after="0" w:line="23" w:lineRule="exact"/>
        <w:rPr>
          <w:rFonts w:ascii="Times New Roman" w:cs="Times New Roman" w:eastAsia="Times New Roman" w:hAnsi="Times New Roman"/>
          <w:sz w:val="18"/>
          <w:szCs w:val="18"/>
          <w:u w:val="single" w:color="auto"/>
          <w:color w:val="0000FF"/>
        </w:rPr>
      </w:pPr>
    </w:p>
    <w:p>
      <w:pPr>
        <w:ind w:left="580"/>
        <w:spacing w:after="0"/>
        <w:rPr>
          <w:sz w:val="20"/>
          <w:szCs w:val="20"/>
          <w:color w:val="auto"/>
        </w:rPr>
      </w:pPr>
      <w:r>
        <w:rPr>
          <w:rFonts w:ascii="Times New Roman" w:cs="Times New Roman" w:eastAsia="Times New Roman" w:hAnsi="Times New Roman"/>
          <w:sz w:val="18"/>
          <w:szCs w:val="18"/>
          <w:u w:val="single" w:color="auto"/>
          <w:color w:val="0000FF"/>
        </w:rPr>
        <w:t>23.1*  Consent of Independent Registered Public Accounting Firm-Deloitte &amp; Touche LLP.</w:t>
      </w:r>
    </w:p>
    <w:p>
      <w:pPr>
        <w:spacing w:after="0" w:line="23" w:lineRule="exact"/>
        <w:rPr>
          <w:rFonts w:ascii="Times New Roman" w:cs="Times New Roman" w:eastAsia="Times New Roman" w:hAnsi="Times New Roman"/>
          <w:sz w:val="18"/>
          <w:szCs w:val="18"/>
          <w:u w:val="single" w:color="auto"/>
          <w:color w:val="0000FF"/>
        </w:rPr>
      </w:pPr>
    </w:p>
    <w:p>
      <w:pPr>
        <w:ind w:left="580"/>
        <w:spacing w:after="0"/>
        <w:rPr>
          <w:sz w:val="20"/>
          <w:szCs w:val="20"/>
          <w:color w:val="auto"/>
        </w:rPr>
      </w:pPr>
      <w:r>
        <w:rPr>
          <w:rFonts w:ascii="Times New Roman" w:cs="Times New Roman" w:eastAsia="Times New Roman" w:hAnsi="Times New Roman"/>
          <w:sz w:val="18"/>
          <w:szCs w:val="18"/>
          <w:u w:val="single" w:color="auto"/>
          <w:color w:val="0000FF"/>
        </w:rPr>
        <w:t>31.1*  Certification of John J. Zillmer, Chief Executive Officer, pursuant to Section 302 of the Sarbanes-Oxley Act of 2002.</w:t>
      </w:r>
    </w:p>
    <w:p>
      <w:pPr>
        <w:spacing w:after="0" w:line="23" w:lineRule="exact"/>
        <w:rPr>
          <w:rFonts w:ascii="Times New Roman" w:cs="Times New Roman" w:eastAsia="Times New Roman" w:hAnsi="Times New Roman"/>
          <w:sz w:val="18"/>
          <w:szCs w:val="18"/>
          <w:u w:val="single" w:color="auto"/>
          <w:color w:val="0000FF"/>
        </w:rPr>
      </w:pPr>
    </w:p>
    <w:p>
      <w:pPr>
        <w:ind w:left="580"/>
        <w:spacing w:after="0"/>
        <w:rPr>
          <w:sz w:val="20"/>
          <w:szCs w:val="20"/>
          <w:color w:val="auto"/>
        </w:rPr>
      </w:pPr>
      <w:r>
        <w:rPr>
          <w:rFonts w:ascii="Times New Roman" w:cs="Times New Roman" w:eastAsia="Times New Roman" w:hAnsi="Times New Roman"/>
          <w:sz w:val="18"/>
          <w:szCs w:val="18"/>
          <w:u w:val="single" w:color="auto"/>
          <w:color w:val="0000FF"/>
        </w:rPr>
        <w:t>31.2*  Certification of James J. Tarangelo, Chief Financial Officer, pursuant to Section 302 of the Sarbanes-Oxley Act of 2002.</w:t>
      </w:r>
    </w:p>
    <w:p>
      <w:pPr>
        <w:spacing w:after="0" w:line="23" w:lineRule="exact"/>
        <w:rPr>
          <w:rFonts w:ascii="Times New Roman" w:cs="Times New Roman" w:eastAsia="Times New Roman" w:hAnsi="Times New Roman"/>
          <w:sz w:val="18"/>
          <w:szCs w:val="18"/>
          <w:u w:val="single" w:color="auto"/>
          <w:color w:val="0000FF"/>
        </w:rPr>
      </w:pPr>
    </w:p>
    <w:p>
      <w:pPr>
        <w:ind w:left="1120" w:right="579" w:hanging="534"/>
        <w:spacing w:after="0" w:line="234" w:lineRule="auto"/>
        <w:rPr>
          <w:sz w:val="20"/>
          <w:szCs w:val="20"/>
          <w:color w:val="auto"/>
        </w:rPr>
      </w:pPr>
      <w:r>
        <w:rPr>
          <w:rFonts w:ascii="Times New Roman" w:cs="Times New Roman" w:eastAsia="Times New Roman" w:hAnsi="Times New Roman"/>
          <w:sz w:val="18"/>
          <w:szCs w:val="18"/>
          <w:u w:val="single" w:color="auto"/>
          <w:color w:val="0000FF"/>
        </w:rPr>
        <w:t>32.1* Certification of John J. Zillmer, Chief Executive Officer, and James J. Tarangelo, Chief Financial Officer, pursuant to Section 906 of the Sarbanes-Oxley Act of 2002.</w:t>
      </w:r>
    </w:p>
    <w:p>
      <w:pPr>
        <w:spacing w:after="0" w:line="10" w:lineRule="exact"/>
        <w:rPr>
          <w:rFonts w:ascii="Times New Roman" w:cs="Times New Roman" w:eastAsia="Times New Roman" w:hAnsi="Times New Roman"/>
          <w:sz w:val="18"/>
          <w:szCs w:val="18"/>
          <w:u w:val="single" w:color="auto"/>
          <w:color w:val="0000FF"/>
        </w:rPr>
      </w:pPr>
    </w:p>
    <w:p>
      <w:pPr>
        <w:jc w:val="both"/>
        <w:ind w:left="1120" w:right="819" w:hanging="399"/>
        <w:spacing w:after="0" w:line="226" w:lineRule="auto"/>
        <w:tabs>
          <w:tab w:leader="none" w:pos="11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97†</w:t>
        <w:tab/>
      </w:r>
      <w:hyperlink r:id="rId255">
        <w:r>
          <w:rPr>
            <w:rFonts w:ascii="Times New Roman" w:cs="Times New Roman" w:eastAsia="Times New Roman" w:hAnsi="Times New Roman"/>
            <w:sz w:val="18"/>
            <w:szCs w:val="18"/>
            <w:u w:val="single" w:color="auto"/>
            <w:color w:val="0000FF"/>
          </w:rPr>
          <w:t>Aramark Incentive Compensation Clawback Policy (incorporated by reference to Exhibit 97 to Aramark’s Annual</w:t>
        </w:r>
      </w:hyperlink>
      <w:r>
        <w:rPr>
          <w:rFonts w:ascii="Times New Roman" w:cs="Times New Roman" w:eastAsia="Times New Roman" w:hAnsi="Times New Roman"/>
          <w:sz w:val="18"/>
          <w:szCs w:val="18"/>
          <w:u w:val="single" w:color="auto"/>
          <w:color w:val="0000FF"/>
        </w:rPr>
        <w:t xml:space="preserve"> </w:t>
      </w:r>
      <w:hyperlink r:id="rId255">
        <w:r>
          <w:rPr>
            <w:rFonts w:ascii="Times New Roman" w:cs="Times New Roman" w:eastAsia="Times New Roman" w:hAnsi="Times New Roman"/>
            <w:sz w:val="18"/>
            <w:szCs w:val="18"/>
            <w:u w:val="single" w:color="auto"/>
            <w:color w:val="0000FF"/>
          </w:rPr>
          <w:t>Report on Form 10-K filed with the SEC on November 21, 2023 pursuant to the Exchange Act (file number 001-</w:t>
        </w:r>
      </w:hyperlink>
      <w:hyperlink r:id="rId255">
        <w:r>
          <w:rPr>
            <w:rFonts w:ascii="Times New Roman" w:cs="Times New Roman" w:eastAsia="Times New Roman" w:hAnsi="Times New Roman"/>
            <w:sz w:val="18"/>
            <w:szCs w:val="18"/>
            <w:u w:val="single" w:color="auto"/>
            <w:color w:val="0000FF"/>
          </w:rPr>
          <w:t>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0" w:lineRule="exact"/>
        <w:rPr>
          <w:rFonts w:ascii="Times New Roman" w:cs="Times New Roman" w:eastAsia="Times New Roman" w:hAnsi="Times New Roman"/>
          <w:sz w:val="18"/>
          <w:szCs w:val="18"/>
          <w:u w:val="single" w:color="auto"/>
          <w:color w:val="0000FF"/>
        </w:rPr>
      </w:pPr>
    </w:p>
    <w:p>
      <w:pPr>
        <w:ind w:left="5460"/>
        <w:spacing w:after="0"/>
        <w:rPr>
          <w:sz w:val="20"/>
          <w:szCs w:val="20"/>
          <w:color w:val="auto"/>
        </w:rPr>
      </w:pPr>
      <w:r>
        <w:rPr>
          <w:rFonts w:ascii="Times New Roman" w:cs="Times New Roman" w:eastAsia="Times New Roman" w:hAnsi="Times New Roman"/>
          <w:sz w:val="18"/>
          <w:szCs w:val="18"/>
          <w:color w:val="auto"/>
        </w:rPr>
        <w:t>S-59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20" w:right="1160" w:hanging="401"/>
        <w:spacing w:after="0" w:line="214" w:lineRule="auto"/>
        <w:tabs>
          <w:tab w:leader="none" w:pos="1120" w:val="left"/>
        </w:tabs>
        <w:numPr>
          <w:ilvl w:val="0"/>
          <w:numId w:val="7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following financial information from Aramark's Annual Report on Form 10-K for the period ended September 27, 2024 formatted in inline XBRL: (i) Consolidated Balance Sheets as of September 27, 2024 and September 29, 2023; (ii) Consolidated Statements of Income for the fiscal years ended September 27, 2024, September 29, 2023 and September 30, 2022; (iii) Consolidated Statements of Comprehensive Income for the fiscal years ended September 27, 2024, September 29, 2023 and September 30, 2022; (iv) Consolidated Statements of Cash Flows for the fiscal years ended September 27, 2024, September 29, 2023 and September 30, 2022; (v) Consolidated Statements of Stockholders' Equity for the fiscal years ended September 27, 2024, September 29, 2023 and September 30, 2022; (vi) Notes to Consolidated Financial Statements; and (vii) Schedule II-Valuation and Qualifying Accounts and Reserves for the fiscal years ended September 27, 2024, September 29, 2023 and September 30, 2022</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23" w:lineRule="exact"/>
        <w:rPr>
          <w:sz w:val="20"/>
          <w:szCs w:val="20"/>
          <w:color w:val="auto"/>
        </w:rPr>
      </w:pPr>
    </w:p>
    <w:p>
      <w:pPr>
        <w:ind w:left="1120" w:right="1320" w:hanging="499"/>
        <w:spacing w:after="0" w:line="234" w:lineRule="auto"/>
        <w:tabs>
          <w:tab w:leader="none" w:pos="1100" w:val="left"/>
        </w:tabs>
        <w:rPr>
          <w:sz w:val="20"/>
          <w:szCs w:val="20"/>
          <w:color w:val="auto"/>
        </w:rPr>
      </w:pPr>
      <w:r>
        <w:rPr>
          <w:rFonts w:ascii="Times New Roman" w:cs="Times New Roman" w:eastAsia="Times New Roman" w:hAnsi="Times New Roman"/>
          <w:sz w:val="18"/>
          <w:szCs w:val="18"/>
          <w:color w:val="auto"/>
        </w:rPr>
        <w:t>104*</w:t>
        <w:tab/>
        <w:t>Inline XBRL for the cover page of this Annual Report on Form 10-K; included in Exhibit 101 Inline XBRL document set.</w:t>
      </w:r>
    </w:p>
    <w:p>
      <w:pPr>
        <w:spacing w:after="0" w:line="13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Identifies exhibits that consist of management contract or compensatory arrangement.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XBRL instance document does not appear in the interactive data file because the XBRL tags are embedded within the inline XBRL document.</w:t>
      </w:r>
    </w:p>
    <w:p>
      <w:pPr>
        <w:spacing w:after="0" w:line="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S-60</w:t>
      </w:r>
    </w:p>
    <w:p>
      <w:pPr>
        <w:sectPr>
          <w:pgSz w:w="11900" w:h="16838" w:orient="portrait"/>
          <w:cols w:equalWidth="0" w:num="1">
            <w:col w:w="10940"/>
          </w:cols>
          <w:pgMar w:left="320" w:top="175" w:right="6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AMENDMENT NO. 16 </w:t>
      </w:r>
      <w:r>
        <w:rPr>
          <w:rFonts w:ascii="Times New Roman" w:cs="Times New Roman" w:eastAsia="Times New Roman" w:hAnsi="Times New Roman"/>
          <w:sz w:val="19"/>
          <w:szCs w:val="19"/>
          <w:color w:val="auto"/>
        </w:rPr>
        <w:t>(this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dated as of August 23, 2024, among ARAMARK Services, Inc., a Delaware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or the “</w:t>
      </w:r>
      <w:r>
        <w:rPr>
          <w:rFonts w:ascii="Times New Roman" w:cs="Times New Roman" w:eastAsia="Times New Roman" w:hAnsi="Times New Roman"/>
          <w:sz w:val="19"/>
          <w:szCs w:val="19"/>
          <w:u w:val="single" w:color="auto"/>
          <w:color w:val="auto"/>
        </w:rPr>
        <w:t>U.S. Borrower</w:t>
      </w:r>
      <w:r>
        <w:rPr>
          <w:rFonts w:ascii="Times New Roman" w:cs="Times New Roman" w:eastAsia="Times New Roman" w:hAnsi="Times New Roman"/>
          <w:sz w:val="19"/>
          <w:szCs w:val="19"/>
          <w:color w:val="auto"/>
        </w:rPr>
        <w:t>”), ARAMARK INTERMEDIATE HOLDCO CORPORATION, a Delaware corporation (“</w:t>
      </w:r>
      <w:r>
        <w:rPr>
          <w:rFonts w:ascii="Times New Roman" w:cs="Times New Roman" w:eastAsia="Times New Roman" w:hAnsi="Times New Roman"/>
          <w:sz w:val="19"/>
          <w:szCs w:val="19"/>
          <w:u w:val="single" w:color="auto"/>
          <w:color w:val="auto"/>
        </w:rPr>
        <w:t>Holdings</w:t>
      </w:r>
      <w:r>
        <w:rPr>
          <w:rFonts w:ascii="Times New Roman" w:cs="Times New Roman" w:eastAsia="Times New Roman" w:hAnsi="Times New Roman"/>
          <w:sz w:val="19"/>
          <w:szCs w:val="19"/>
          <w:color w:val="auto"/>
        </w:rPr>
        <w:t>”), each of the other Borrowers (as defined in the Existing Credit Agreement (as defined below)), each of the Lenders party hereto, and JPMORGAN CHASE BANK, N.A., as administrative agent for the Lenders and collateral agent for the Secured Parties (in such capacities, the “</w:t>
      </w:r>
      <w:r>
        <w:rPr>
          <w:rFonts w:ascii="Times New Roman" w:cs="Times New Roman" w:eastAsia="Times New Roman" w:hAnsi="Times New Roman"/>
          <w:sz w:val="19"/>
          <w:szCs w:val="19"/>
          <w:u w:val="single" w:color="auto"/>
          <w:color w:val="auto"/>
        </w:rPr>
        <w:t>Agent</w:t>
      </w:r>
      <w:r>
        <w:rPr>
          <w:rFonts w:ascii="Times New Roman" w:cs="Times New Roman" w:eastAsia="Times New Roman" w:hAnsi="Times New Roman"/>
          <w:sz w:val="19"/>
          <w:szCs w:val="19"/>
          <w:color w:val="auto"/>
        </w:rPr>
        <w:t>”) to the Credit Agreement, dated as of March 28, 2017 (as amended, supplemented, amended and restated or otherwise modified from time to time prior to the Amendment No. 16 Effective Date (as defined below), the “</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among the Borrowers, Holdings, the Subsidiary Guarantors (as defined therein) from time to time party thereto, the Agent and the other parties thereto from time to time. The Existing Credit Agreement as amended hereby is referred to as the “</w:t>
      </w:r>
      <w:r>
        <w:rPr>
          <w:rFonts w:ascii="Times New Roman" w:cs="Times New Roman" w:eastAsia="Times New Roman" w:hAnsi="Times New Roman"/>
          <w:sz w:val="19"/>
          <w:szCs w:val="19"/>
          <w:u w:val="single" w:color="auto"/>
          <w:color w:val="auto"/>
        </w:rPr>
        <w:t>Amended Credit Agreement</w:t>
      </w:r>
      <w:r>
        <w:rPr>
          <w:rFonts w:ascii="Times New Roman" w:cs="Times New Roman" w:eastAsia="Times New Roman" w:hAnsi="Times New Roman"/>
          <w:sz w:val="19"/>
          <w:szCs w:val="19"/>
          <w:color w:val="auto"/>
        </w:rPr>
        <w:t>.” Capitalized terms used and not otherwise defined herein shall have the meanings assigned to them in the Amended Credit Agreement.</w:t>
      </w:r>
    </w:p>
    <w:p>
      <w:pPr>
        <w:spacing w:after="0" w:line="17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WHEREAS, pursuant to Section 9.02(b) of the Existing Credit Agreement, the Borrowers, each Lender that has a 2024 Refinancing Term A Loan (each, a “</w:t>
      </w:r>
      <w:r>
        <w:rPr>
          <w:rFonts w:ascii="Times New Roman" w:cs="Times New Roman" w:eastAsia="Times New Roman" w:hAnsi="Times New Roman"/>
          <w:sz w:val="20"/>
          <w:szCs w:val="20"/>
          <w:u w:val="single" w:color="auto"/>
          <w:color w:val="auto"/>
        </w:rPr>
        <w:t>2024 Refinancing Term A Loan Lender</w:t>
      </w:r>
      <w:r>
        <w:rPr>
          <w:rFonts w:ascii="Times New Roman" w:cs="Times New Roman" w:eastAsia="Times New Roman" w:hAnsi="Times New Roman"/>
          <w:sz w:val="20"/>
          <w:szCs w:val="20"/>
          <w:color w:val="auto"/>
        </w:rPr>
        <w:t>”) party hereto and each 2024 Tranche Revolving Lender party hereto (together with the 2024 Refinancing Term A Loan Lenders, the “</w:t>
      </w:r>
      <w:r>
        <w:rPr>
          <w:rFonts w:ascii="Times New Roman" w:cs="Times New Roman" w:eastAsia="Times New Roman" w:hAnsi="Times New Roman"/>
          <w:sz w:val="20"/>
          <w:szCs w:val="20"/>
          <w:u w:val="single" w:color="auto"/>
          <w:color w:val="auto"/>
        </w:rPr>
        <w:t>2024 New Facilities Lenders</w:t>
      </w:r>
      <w:r>
        <w:rPr>
          <w:rFonts w:ascii="Times New Roman" w:cs="Times New Roman" w:eastAsia="Times New Roman" w:hAnsi="Times New Roman"/>
          <w:sz w:val="20"/>
          <w:szCs w:val="20"/>
          <w:color w:val="auto"/>
        </w:rPr>
        <w:t xml:space="preserve">”) desire to amend the Existing Credit Agreement in accordance with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of this Amendment; and</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WHEREAS, pursuant to Section 9.02(f) of the Existing Credit Agreement, if the Agent and the Borrowers acting together have identified any omission, mistake, typographical error or other defect in any provision of the Existing Credit Agreement, then the Agent and the Borrowers shall be permitted to amend such provisions to cure such omission, mistake, typographical error, or other defect, and such amendments shall become effective without any further action or consent of any other party to the Existing Credit Agreement; and</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5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b w:val="1"/>
          <w:bCs w:val="1"/>
          <w:u w:val="single" w:color="auto"/>
          <w:color w:val="auto"/>
        </w:rPr>
        <w:t>Amendment</w:t>
      </w:r>
      <w:r>
        <w:rPr>
          <w:rFonts w:ascii="Times New Roman" w:cs="Times New Roman" w:eastAsia="Times New Roman" w:hAnsi="Times New Roman"/>
          <w:sz w:val="20"/>
          <w:szCs w:val="20"/>
          <w:color w:val="auto"/>
        </w:rPr>
        <w:t xml:space="preserve">. The Existing Credit Agreement is, effective as of the Amendment No. 16 Effective Date,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xml:space="preserve">) as set forth in the pages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and each of the Borrowers, each of the Lenders delivering a signature page hereto and the Agent hereby consent to such changes;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avoidance of doubt, such amendments shall apply retroactively from the Amendment No. 15 Effective Date.</w:t>
      </w:r>
    </w:p>
    <w:p>
      <w:pPr>
        <w:spacing w:after="0" w:line="200" w:lineRule="exact"/>
        <w:rPr>
          <w:sz w:val="20"/>
          <w:szCs w:val="20"/>
          <w:color w:val="auto"/>
        </w:rPr>
      </w:pPr>
    </w:p>
    <w:p>
      <w:pPr>
        <w:spacing w:after="0" w:line="226" w:lineRule="exact"/>
        <w:rPr>
          <w:sz w:val="20"/>
          <w:szCs w:val="20"/>
          <w:color w:val="auto"/>
        </w:rPr>
      </w:pPr>
    </w:p>
    <w:p>
      <w:pPr>
        <w:jc w:val="both"/>
        <w:ind w:firstLine="1296"/>
        <w:spacing w:after="0" w:line="278" w:lineRule="auto"/>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b w:val="1"/>
          <w:bCs w:val="1"/>
          <w:u w:val="single" w:color="auto"/>
          <w:color w:val="auto"/>
        </w:rPr>
        <w:t>Effectiveness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The Amendment shall become effective on the date (the “</w:t>
      </w:r>
      <w:r>
        <w:rPr>
          <w:rFonts w:ascii="Times New Roman" w:cs="Times New Roman" w:eastAsia="Times New Roman" w:hAnsi="Times New Roman"/>
          <w:sz w:val="19"/>
          <w:szCs w:val="19"/>
          <w:u w:val="single" w:color="auto"/>
          <w:color w:val="auto"/>
        </w:rPr>
        <w:t>Amendment No. 16 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that the Agent (or its counsel) shall have received from each Borrower, the Agent, and each 2024 New Facilities Lender either (A) a counterpart of this Amendment signed on behalf of such party or (B) written evidence satisfactory to the Agent (which may include facsimile or other electronic transmission of a signed signature page of this Amendment) that such party has signed a counterpart of the Amendment.</w:t>
      </w:r>
    </w:p>
    <w:p>
      <w:pPr>
        <w:spacing w:after="0" w:line="149"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and by different parties hereto on separate counterparts, each of which when so executed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US-DOCS\153352291.7</w:t>
      </w:r>
    </w:p>
    <w:p>
      <w:pPr>
        <w:sectPr>
          <w:pgSz w:w="11900" w:h="16838" w:orient="portrait"/>
          <w:cols w:equalWidth="0" w:num="1">
            <w:col w:w="11240"/>
          </w:cols>
          <w:pgMar w:left="320" w:top="11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delivered shall be deemed to be an original, but all of which when taken together shall constitute a single instrument.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herein shall require the Agent to accept electronic signatures in any form or format without its prior written consent and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without limiting the foregoing, (i) to the extent the Agent has agreed to accept any Electronic Signature, the Agent and each of the Lenders shall be entitled to rely on such Electronic Signature purportedly given by or on behalf of the U.S. Borrower or any other Borrower without further verification thereof and without any obligation to review the appearance or form of any such Electronic Signature and (ii) upon the request of the Agent or any Lender, any Electronic Signature shall be promptly followed by a manually executed counterpart.</w:t>
      </w:r>
    </w:p>
    <w:p>
      <w:pPr>
        <w:spacing w:after="0" w:line="18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b w:val="1"/>
          <w:bCs w:val="1"/>
          <w:u w:val="single" w:color="auto"/>
          <w:color w:val="auto"/>
        </w:rPr>
        <w:t>Applicable Law; Jurisdiction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THIS AMENDMENT SHALL BE GOVERNED BY,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CONSTRUED AND INTERPRETED IN ACCORDANCE WITH, THE LAWS OF THE STATE OF NEW YORK. </w:t>
      </w:r>
      <w:r>
        <w:rPr>
          <w:rFonts w:ascii="Times New Roman" w:cs="Times New Roman" w:eastAsia="Times New Roman" w:hAnsi="Times New Roman"/>
          <w:sz w:val="20"/>
          <w:szCs w:val="20"/>
          <w:color w:val="auto"/>
        </w:rPr>
        <w:t>Each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Borrowers hereby irrevocably and unconditionally submits, for itself and its property, to the non-exclusive jurisdiction of any U.S. Federal or New York State court sitting in the Borough of Manhattan, New York, New York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Federal court. Each of the parties hereto agrees that a final judgment in any such action or proceeding shall be conclusive and may be enforced in other jurisdictions by suit on the judgment or in any other manner provided by law.</w:t>
      </w:r>
    </w:p>
    <w:p>
      <w:pPr>
        <w:spacing w:after="0" w:line="17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b w:val="1"/>
          <w:bCs w:val="1"/>
          <w:u w:val="single" w:color="auto"/>
          <w:color w:val="auto"/>
        </w:rPr>
        <w:t>Waiver of Jury Trial</w:t>
      </w:r>
      <w:r>
        <w:rPr>
          <w:rFonts w:ascii="Times New Roman" w:cs="Times New Roman" w:eastAsia="Times New Roman" w:hAnsi="Times New Roman"/>
          <w:sz w:val="20"/>
          <w:szCs w:val="20"/>
          <w:color w:val="auto"/>
        </w:rPr>
        <w:t xml:space="preserve">. EACH PARTY HERETO HEREBY WAIVES, TO THE FULLEST EXTENT PERMITTED BY APPLICABLE LAW, ANY RIGHT IT MAY HAVE TO A TRIAL BY JURY IN ANY LEGAL PROCEEDING DIRECTLY OR INDIRECTLY ARISING OUT OF OR RELATING TO THIS AMENDMENT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color w:val="auto"/>
        </w:rPr>
        <w:t>. The headings of this Amendment are for purposes of reference only and shall not limit or otherwise affect the meaning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US-DOCS\153352291.7</w:t>
      </w:r>
    </w:p>
    <w:p>
      <w:pPr>
        <w:sectPr>
          <w:pgSz w:w="11900" w:h="16838" w:orient="portrait"/>
          <w:cols w:equalWidth="0" w:num="1">
            <w:col w:w="11240"/>
          </w:cols>
          <w:pgMar w:left="320" w:top="126"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b w:val="1"/>
          <w:bCs w:val="1"/>
          <w:u w:val="single" w:color="auto"/>
          <w:color w:val="auto"/>
        </w:rPr>
        <w:t>Effect of Amendment</w:t>
      </w:r>
      <w:r>
        <w:rPr>
          <w:rFonts w:ascii="Times New Roman" w:cs="Times New Roman" w:eastAsia="Times New Roman" w:hAnsi="Times New Roman"/>
          <w:sz w:val="19"/>
          <w:szCs w:val="19"/>
          <w:color w:val="auto"/>
        </w:rPr>
        <w:t>. Except as expressly set forth herein, (i) this Amendment shall not by implication or otherwise limit, impair, constitute a waiver of or otherwise affect the rights and remedies of the Lenders, the Agent or the Issuing Banks, in each case under the Existing Credit Agreement or any other Loan Document, and (ii) shall not alter, modify, amend or in any way affect any of the terms, conditions, obligations, covenants or agreements contained in the Existing Credit Agreement or any other provision of either such agreement or any other Loan Document. Each and every term, condition, obligation, covenant and agreement contained in the Existing Credit Agreement or any other Loan Document is hereby ratified and re-affirmed in all respects and shall continue in full force and effect. Each Borrower reaffirms its obligations under the Loan Documents to which it is party and the validity of the Liens granted by it pursuant to the Collateral Documents. This Amendment shall constitute a Loan Document for purposes of the Amended Credit Agreement and from and after the Amendment No. 16 Effective Date, all references to the Credit Agreement in any Loan Document and all references in the Credit Agreement to “this Agreement,” “hereunder,” “hereof” or words of like import referring to the Credit Agreement, shall, unless expressly provided otherwise, refer to the Amended Credit Agreement. Each of the Borrowers hereby consents to this Amendment and confirms that all obligations of each such Borrower under the Loan Documents to which such Borrower is a party shall continue to apply to the Amended Credit Agreement. This Amendment shall not constitute a novation of the Existing Credit Agreement or any other Loan Document.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US-DOCS\153352291.7</w:t>
      </w:r>
    </w:p>
    <w:p>
      <w:pPr>
        <w:sectPr>
          <w:pgSz w:w="11900" w:h="16838" w:orient="portrait"/>
          <w:cols w:equalWidth="0" w:num="1">
            <w:col w:w="11240"/>
          </w:cols>
          <w:pgMar w:left="320" w:top="126" w:right="339" w:bottom="1440" w:gutter="0" w:footer="0" w:header="0"/>
        </w:sectPr>
      </w:pPr>
    </w:p>
    <w:bookmarkStart w:id="118" w:name="page119"/>
    <w:bookmarkEnd w:id="118"/>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ARAMARK SERVICES, INC.</w:t>
      </w:r>
    </w:p>
    <w:p>
      <w:pPr>
        <w:spacing w:after="0" w:line="229"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KERRI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6122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57">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Name: Kerri Howard</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ARAMARK INTERMEDIATE HOLDCO CORPORATION</w:t>
      </w:r>
    </w:p>
    <w:p>
      <w:pPr>
        <w:spacing w:after="0" w:line="200" w:lineRule="exact"/>
        <w:rPr>
          <w:sz w:val="20"/>
          <w:szCs w:val="20"/>
          <w:color w:val="auto"/>
        </w:rPr>
      </w:pPr>
    </w:p>
    <w:p>
      <w:pPr>
        <w:spacing w:after="0" w:line="213"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KERRI HOWARD</w:t>
            </w:r>
          </w:p>
        </w:tc>
        <w:tc>
          <w:tcPr>
            <w:tcW w:w="1820" w:type="dxa"/>
            <w:vAlign w:val="bottom"/>
            <w:gridSpan w:val="4"/>
          </w:tcPr>
          <w:p>
            <w:pPr>
              <w:spacing w:after="0"/>
              <w:rPr>
                <w:sz w:val="19"/>
                <w:szCs w:val="19"/>
                <w:color w:val="auto"/>
              </w:rPr>
            </w:pPr>
          </w:p>
        </w:tc>
      </w:tr>
      <w:tr>
        <w:trPr>
          <w:trHeight w:val="241"/>
        </w:trPr>
        <w:tc>
          <w:tcPr>
            <w:tcW w:w="480" w:type="dxa"/>
            <w:vAlign w:val="bottom"/>
          </w:tcPr>
          <w:p>
            <w:pPr>
              <w:spacing w:after="0"/>
              <w:rPr>
                <w:sz w:val="20"/>
                <w:szCs w:val="20"/>
                <w:color w:val="auto"/>
              </w:rPr>
            </w:pPr>
          </w:p>
        </w:tc>
        <w:tc>
          <w:tcPr>
            <w:tcW w:w="3960" w:type="dxa"/>
            <w:vAlign w:val="bottom"/>
            <w:gridSpan w:val="5"/>
          </w:tcPr>
          <w:p>
            <w:pPr>
              <w:ind w:left="240"/>
              <w:spacing w:after="0"/>
              <w:rPr>
                <w:sz w:val="20"/>
                <w:szCs w:val="20"/>
                <w:color w:val="auto"/>
              </w:rPr>
            </w:pPr>
            <w:r>
              <w:rPr>
                <w:rFonts w:ascii="Times New Roman" w:cs="Times New Roman" w:eastAsia="Times New Roman" w:hAnsi="Times New Roman"/>
                <w:sz w:val="20"/>
                <w:szCs w:val="20"/>
                <w:color w:val="auto"/>
              </w:rPr>
              <w:t>Name: Kerri Howard</w:t>
            </w:r>
          </w:p>
        </w:tc>
      </w:tr>
      <w:tr>
        <w:trPr>
          <w:trHeight w:val="258"/>
        </w:trPr>
        <w:tc>
          <w:tcPr>
            <w:tcW w:w="480" w:type="dxa"/>
            <w:vAlign w:val="bottom"/>
          </w:tcPr>
          <w:p>
            <w:pPr>
              <w:spacing w:after="0"/>
              <w:rPr>
                <w:sz w:val="22"/>
                <w:szCs w:val="22"/>
                <w:color w:val="auto"/>
              </w:rPr>
            </w:pPr>
          </w:p>
        </w:tc>
        <w:tc>
          <w:tcPr>
            <w:tcW w:w="396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Title: Treasurer</w:t>
            </w:r>
          </w:p>
        </w:tc>
      </w:tr>
      <w:tr>
        <w:trPr>
          <w:trHeight w:val="675"/>
        </w:trPr>
        <w:tc>
          <w:tcPr>
            <w:tcW w:w="44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ARAMARK CANADA LTD.</w:t>
            </w:r>
          </w:p>
        </w:tc>
      </w:tr>
      <w:tr>
        <w:trPr>
          <w:trHeight w:val="62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3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/s/ DEBORAH HEISER</w:t>
            </w:r>
          </w:p>
        </w:tc>
        <w:tc>
          <w:tcPr>
            <w:tcW w:w="1620" w:type="dxa"/>
            <w:vAlign w:val="bottom"/>
            <w:gridSpan w:val="3"/>
          </w:tcPr>
          <w:p>
            <w:pPr>
              <w:spacing w:after="0"/>
              <w:rPr>
                <w:sz w:val="24"/>
                <w:szCs w:val="24"/>
                <w:color w:val="auto"/>
              </w:rPr>
            </w:pPr>
          </w:p>
        </w:tc>
      </w:tr>
      <w:tr>
        <w:trPr>
          <w:trHeight w:val="241"/>
        </w:trPr>
        <w:tc>
          <w:tcPr>
            <w:tcW w:w="480" w:type="dxa"/>
            <w:vAlign w:val="bottom"/>
          </w:tcPr>
          <w:p>
            <w:pPr>
              <w:spacing w:after="0"/>
              <w:rPr>
                <w:sz w:val="20"/>
                <w:szCs w:val="20"/>
                <w:color w:val="auto"/>
              </w:rPr>
            </w:pPr>
          </w:p>
        </w:tc>
        <w:tc>
          <w:tcPr>
            <w:tcW w:w="3960" w:type="dxa"/>
            <w:vAlign w:val="bottom"/>
            <w:gridSpan w:val="5"/>
          </w:tcPr>
          <w:p>
            <w:pPr>
              <w:ind w:left="240"/>
              <w:spacing w:after="0"/>
              <w:rPr>
                <w:sz w:val="20"/>
                <w:szCs w:val="20"/>
                <w:color w:val="auto"/>
              </w:rPr>
            </w:pPr>
            <w:r>
              <w:rPr>
                <w:rFonts w:ascii="Times New Roman" w:cs="Times New Roman" w:eastAsia="Times New Roman" w:hAnsi="Times New Roman"/>
                <w:sz w:val="20"/>
                <w:szCs w:val="20"/>
                <w:color w:val="auto"/>
              </w:rPr>
              <w:t>Name: Deborah Heiser</w:t>
            </w:r>
          </w:p>
        </w:tc>
      </w:tr>
      <w:tr>
        <w:trPr>
          <w:trHeight w:val="258"/>
        </w:trPr>
        <w:tc>
          <w:tcPr>
            <w:tcW w:w="480" w:type="dxa"/>
            <w:vAlign w:val="bottom"/>
          </w:tcPr>
          <w:p>
            <w:pPr>
              <w:spacing w:after="0"/>
              <w:rPr>
                <w:sz w:val="22"/>
                <w:szCs w:val="22"/>
                <w:color w:val="auto"/>
              </w:rPr>
            </w:pPr>
          </w:p>
        </w:tc>
        <w:tc>
          <w:tcPr>
            <w:tcW w:w="396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Title: Vice President, Finance</w:t>
            </w:r>
          </w:p>
        </w:tc>
      </w:tr>
      <w:tr>
        <w:trPr>
          <w:trHeight w:val="661"/>
        </w:trPr>
        <w:tc>
          <w:tcPr>
            <w:tcW w:w="44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ARAMARK INVESTMENTS LIMITED</w:t>
            </w:r>
          </w:p>
        </w:tc>
      </w:tr>
      <w:tr>
        <w:trPr>
          <w:trHeight w:val="62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20"/>
                <w:szCs w:val="20"/>
                <w:color w:val="auto"/>
              </w:rPr>
              <w:t>/s/ HELEN LOUISE MILLIGAN-SMITH</w:t>
            </w:r>
          </w:p>
        </w:tc>
        <w:tc>
          <w:tcPr>
            <w:tcW w:w="220" w:type="dxa"/>
            <w:vAlign w:val="bottom"/>
          </w:tcPr>
          <w:p>
            <w:pPr>
              <w:spacing w:after="0"/>
              <w:rPr>
                <w:sz w:val="24"/>
                <w:szCs w:val="24"/>
                <w:color w:val="auto"/>
              </w:rPr>
            </w:pPr>
          </w:p>
        </w:tc>
      </w:tr>
      <w:tr>
        <w:trPr>
          <w:trHeight w:val="241"/>
        </w:trPr>
        <w:tc>
          <w:tcPr>
            <w:tcW w:w="480" w:type="dxa"/>
            <w:vAlign w:val="bottom"/>
          </w:tcPr>
          <w:p>
            <w:pPr>
              <w:spacing w:after="0"/>
              <w:rPr>
                <w:sz w:val="20"/>
                <w:szCs w:val="20"/>
                <w:color w:val="auto"/>
              </w:rPr>
            </w:pPr>
          </w:p>
        </w:tc>
        <w:tc>
          <w:tcPr>
            <w:tcW w:w="3960" w:type="dxa"/>
            <w:vAlign w:val="bottom"/>
            <w:gridSpan w:val="5"/>
          </w:tcPr>
          <w:p>
            <w:pPr>
              <w:ind w:left="240"/>
              <w:spacing w:after="0"/>
              <w:rPr>
                <w:sz w:val="20"/>
                <w:szCs w:val="20"/>
                <w:color w:val="auto"/>
              </w:rPr>
            </w:pPr>
            <w:r>
              <w:rPr>
                <w:rFonts w:ascii="Times New Roman" w:cs="Times New Roman" w:eastAsia="Times New Roman" w:hAnsi="Times New Roman"/>
                <w:sz w:val="20"/>
                <w:szCs w:val="20"/>
                <w:color w:val="auto"/>
              </w:rPr>
              <w:t>Name: Helen Louise Milligan-Smith</w:t>
            </w:r>
          </w:p>
        </w:tc>
      </w:tr>
      <w:tr>
        <w:trPr>
          <w:trHeight w:val="258"/>
        </w:trPr>
        <w:tc>
          <w:tcPr>
            <w:tcW w:w="480" w:type="dxa"/>
            <w:vAlign w:val="bottom"/>
          </w:tcPr>
          <w:p>
            <w:pPr>
              <w:spacing w:after="0"/>
              <w:rPr>
                <w:sz w:val="22"/>
                <w:szCs w:val="22"/>
                <w:color w:val="auto"/>
              </w:rPr>
            </w:pPr>
          </w:p>
        </w:tc>
        <w:tc>
          <w:tcPr>
            <w:tcW w:w="396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w w:val="98"/>
              </w:rPr>
              <w:t>Title: CEO &amp; President UK &amp; Offshore Global</w:t>
            </w:r>
          </w:p>
        </w:tc>
      </w:tr>
      <w:tr>
        <w:trPr>
          <w:trHeight w:val="675"/>
        </w:trPr>
        <w:tc>
          <w:tcPr>
            <w:tcW w:w="44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ARAMARK LIMITED</w:t>
            </w:r>
          </w:p>
        </w:tc>
      </w:tr>
      <w:tr>
        <w:trPr>
          <w:trHeight w:val="615"/>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20"/>
                <w:szCs w:val="20"/>
                <w:color w:val="auto"/>
              </w:rPr>
              <w:t>/s/ HELEN LOUISE MILLIGAN-SMITH</w:t>
            </w:r>
          </w:p>
        </w:tc>
        <w:tc>
          <w:tcPr>
            <w:tcW w:w="220" w:type="dxa"/>
            <w:vAlign w:val="bottom"/>
          </w:tcPr>
          <w:p>
            <w:pPr>
              <w:spacing w:after="0"/>
              <w:rPr>
                <w:sz w:val="24"/>
                <w:szCs w:val="24"/>
                <w:color w:val="auto"/>
              </w:rPr>
            </w:pPr>
          </w:p>
        </w:tc>
      </w:tr>
      <w:tr>
        <w:trPr>
          <w:trHeight w:val="241"/>
        </w:trPr>
        <w:tc>
          <w:tcPr>
            <w:tcW w:w="480" w:type="dxa"/>
            <w:vAlign w:val="bottom"/>
          </w:tcPr>
          <w:p>
            <w:pPr>
              <w:spacing w:after="0"/>
              <w:rPr>
                <w:sz w:val="20"/>
                <w:szCs w:val="20"/>
                <w:color w:val="auto"/>
              </w:rPr>
            </w:pPr>
          </w:p>
        </w:tc>
        <w:tc>
          <w:tcPr>
            <w:tcW w:w="3960" w:type="dxa"/>
            <w:vAlign w:val="bottom"/>
            <w:gridSpan w:val="5"/>
          </w:tcPr>
          <w:p>
            <w:pPr>
              <w:ind w:left="240"/>
              <w:spacing w:after="0"/>
              <w:rPr>
                <w:sz w:val="20"/>
                <w:szCs w:val="20"/>
                <w:color w:val="auto"/>
              </w:rPr>
            </w:pPr>
            <w:r>
              <w:rPr>
                <w:rFonts w:ascii="Times New Roman" w:cs="Times New Roman" w:eastAsia="Times New Roman" w:hAnsi="Times New Roman"/>
                <w:sz w:val="20"/>
                <w:szCs w:val="20"/>
                <w:color w:val="auto"/>
              </w:rPr>
              <w:t>Name: Helen Louise Milligan-Smith</w:t>
            </w:r>
          </w:p>
        </w:tc>
      </w:tr>
      <w:tr>
        <w:trPr>
          <w:trHeight w:val="258"/>
        </w:trPr>
        <w:tc>
          <w:tcPr>
            <w:tcW w:w="480" w:type="dxa"/>
            <w:vAlign w:val="bottom"/>
          </w:tcPr>
          <w:p>
            <w:pPr>
              <w:spacing w:after="0"/>
              <w:rPr>
                <w:sz w:val="22"/>
                <w:szCs w:val="22"/>
                <w:color w:val="auto"/>
              </w:rPr>
            </w:pPr>
          </w:p>
        </w:tc>
        <w:tc>
          <w:tcPr>
            <w:tcW w:w="396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w w:val="98"/>
              </w:rPr>
              <w:t>Title: CEO &amp; President UK &amp; Offshore Global</w:t>
            </w:r>
          </w:p>
        </w:tc>
      </w:tr>
      <w:tr>
        <w:trPr>
          <w:trHeight w:val="675"/>
        </w:trPr>
        <w:tc>
          <w:tcPr>
            <w:tcW w:w="444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ARAMARK INTERNATIONAL FINANCE, S.A.R.L.</w:t>
            </w:r>
          </w:p>
        </w:tc>
      </w:tr>
      <w:tr>
        <w:trPr>
          <w:trHeight w:val="62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6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CORNELIA METTLEN</w:t>
            </w:r>
          </w:p>
        </w:tc>
        <w:tc>
          <w:tcPr>
            <w:tcW w:w="1360" w:type="dxa"/>
            <w:vAlign w:val="bottom"/>
            <w:gridSpan w:val="2"/>
          </w:tcPr>
          <w:p>
            <w:pPr>
              <w:spacing w:after="0"/>
              <w:rPr>
                <w:sz w:val="24"/>
                <w:szCs w:val="24"/>
                <w:color w:val="auto"/>
              </w:rPr>
            </w:pPr>
          </w:p>
        </w:tc>
      </w:tr>
      <w:tr>
        <w:trPr>
          <w:trHeight w:val="241"/>
        </w:trPr>
        <w:tc>
          <w:tcPr>
            <w:tcW w:w="480" w:type="dxa"/>
            <w:vAlign w:val="bottom"/>
          </w:tcPr>
          <w:p>
            <w:pPr>
              <w:spacing w:after="0"/>
              <w:rPr>
                <w:sz w:val="20"/>
                <w:szCs w:val="20"/>
                <w:color w:val="auto"/>
              </w:rPr>
            </w:pPr>
          </w:p>
        </w:tc>
        <w:tc>
          <w:tcPr>
            <w:tcW w:w="3960" w:type="dxa"/>
            <w:vAlign w:val="bottom"/>
            <w:gridSpan w:val="5"/>
          </w:tcPr>
          <w:p>
            <w:pPr>
              <w:ind w:left="240"/>
              <w:spacing w:after="0"/>
              <w:rPr>
                <w:sz w:val="20"/>
                <w:szCs w:val="20"/>
                <w:color w:val="auto"/>
              </w:rPr>
            </w:pPr>
            <w:r>
              <w:rPr>
                <w:rFonts w:ascii="Times New Roman" w:cs="Times New Roman" w:eastAsia="Times New Roman" w:hAnsi="Times New Roman"/>
                <w:sz w:val="20"/>
                <w:szCs w:val="20"/>
                <w:color w:val="auto"/>
              </w:rPr>
              <w:t>Name: Cornelia Mettlen</w:t>
            </w:r>
          </w:p>
        </w:tc>
      </w:tr>
      <w:tr>
        <w:trPr>
          <w:trHeight w:val="258"/>
        </w:trPr>
        <w:tc>
          <w:tcPr>
            <w:tcW w:w="480" w:type="dxa"/>
            <w:vAlign w:val="bottom"/>
          </w:tcPr>
          <w:p>
            <w:pPr>
              <w:spacing w:after="0"/>
              <w:rPr>
                <w:sz w:val="22"/>
                <w:szCs w:val="22"/>
                <w:color w:val="auto"/>
              </w:rPr>
            </w:pPr>
          </w:p>
        </w:tc>
        <w:tc>
          <w:tcPr>
            <w:tcW w:w="396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Title: Category B Manager</w:t>
            </w: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11240"/>
          </w:cols>
          <w:pgMar w:left="320" w:top="1413" w:right="339" w:bottom="1440" w:gutter="0" w:footer="0" w:header="0"/>
          <w:type w:val="continuous"/>
        </w:sectPr>
      </w:pPr>
    </w:p>
    <w:bookmarkStart w:id="119" w:name="page120"/>
    <w:bookmarkEnd w:id="119"/>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ARAMARK IRELAND HOLDINGS LIMITED</w:t>
      </w:r>
    </w:p>
    <w:p>
      <w:pPr>
        <w:spacing w:after="0" w:line="200" w:lineRule="exact"/>
        <w:rPr>
          <w:sz w:val="20"/>
          <w:szCs w:val="20"/>
          <w:color w:val="auto"/>
        </w:rPr>
      </w:pPr>
    </w:p>
    <w:p>
      <w:pPr>
        <w:spacing w:after="0" w:line="227"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COLIN O'NEILL</w:t>
            </w:r>
          </w:p>
        </w:tc>
      </w:tr>
      <w:tr>
        <w:trPr>
          <w:trHeight w:val="241"/>
        </w:trPr>
        <w:tc>
          <w:tcPr>
            <w:tcW w:w="480" w:type="dxa"/>
            <w:vAlign w:val="bottom"/>
          </w:tcPr>
          <w:p>
            <w:pPr>
              <w:spacing w:after="0"/>
              <w:rPr>
                <w:sz w:val="20"/>
                <w:szCs w:val="20"/>
                <w:color w:val="auto"/>
              </w:rPr>
            </w:pPr>
          </w:p>
        </w:tc>
        <w:tc>
          <w:tcPr>
            <w:tcW w:w="2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Name: Colin O'Neill</w:t>
            </w:r>
          </w:p>
        </w:tc>
      </w:tr>
      <w:tr>
        <w:trPr>
          <w:trHeight w:val="258"/>
        </w:trPr>
        <w:tc>
          <w:tcPr>
            <w:tcW w:w="480" w:type="dxa"/>
            <w:vAlign w:val="bottom"/>
          </w:tcPr>
          <w:p>
            <w:pPr>
              <w:spacing w:after="0"/>
              <w:rPr>
                <w:sz w:val="22"/>
                <w:szCs w:val="22"/>
                <w:color w:val="auto"/>
              </w:rPr>
            </w:pPr>
          </w:p>
        </w:tc>
        <w:tc>
          <w:tcPr>
            <w:tcW w:w="2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pacing w:after="0" w:line="2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ARAMARK REGIONAL TREASURY EUROPE, DESIGNATED ACTIVITY COMPANY</w:t>
      </w:r>
    </w:p>
    <w:p>
      <w:pPr>
        <w:spacing w:after="0" w:line="200" w:lineRule="exact"/>
        <w:rPr>
          <w:sz w:val="20"/>
          <w:szCs w:val="20"/>
          <w:color w:val="auto"/>
        </w:rPr>
      </w:pPr>
    </w:p>
    <w:p>
      <w:pPr>
        <w:spacing w:after="0" w:line="238"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COLIN O'NEILL</w:t>
            </w:r>
          </w:p>
        </w:tc>
      </w:tr>
      <w:tr>
        <w:trPr>
          <w:trHeight w:val="241"/>
        </w:trPr>
        <w:tc>
          <w:tcPr>
            <w:tcW w:w="480" w:type="dxa"/>
            <w:vAlign w:val="bottom"/>
          </w:tcPr>
          <w:p>
            <w:pPr>
              <w:spacing w:after="0"/>
              <w:rPr>
                <w:sz w:val="20"/>
                <w:szCs w:val="20"/>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Name: Colin O'Neill</w:t>
            </w:r>
          </w:p>
        </w:tc>
      </w:tr>
      <w:tr>
        <w:trPr>
          <w:trHeight w:val="258"/>
        </w:trPr>
        <w:tc>
          <w:tcPr>
            <w:tcW w:w="480" w:type="dxa"/>
            <w:vAlign w:val="bottom"/>
          </w:tcPr>
          <w:p>
            <w:pPr>
              <w:spacing w:after="0"/>
              <w:rPr>
                <w:sz w:val="22"/>
                <w:szCs w:val="22"/>
                <w:color w:val="auto"/>
              </w:rPr>
            </w:pPr>
          </w:p>
        </w:tc>
        <w:tc>
          <w:tcPr>
            <w:tcW w:w="2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pacing w:after="0" w:line="2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ARAMARK HOLDING DEUTSCHLAND GMBH</w:t>
      </w:r>
    </w:p>
    <w:p>
      <w:pPr>
        <w:spacing w:after="0" w:line="200" w:lineRule="exact"/>
        <w:rPr>
          <w:sz w:val="20"/>
          <w:szCs w:val="20"/>
          <w:color w:val="auto"/>
        </w:rPr>
      </w:pPr>
    </w:p>
    <w:p>
      <w:pPr>
        <w:spacing w:after="0" w:line="232"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THOMAS ARND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3195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5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Name: Thomas Arnd</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10080"/>
          </w:cols>
          <w:pgMar w:left="1440" w:top="1440" w:right="379" w:bottom="1440" w:gutter="0" w:footer="0" w:header="0"/>
        </w:sectPr>
      </w:pPr>
    </w:p>
    <w:bookmarkStart w:id="120" w:name="page121"/>
    <w:bookmarkEnd w:id="120"/>
    <w:p>
      <w:pPr>
        <w:ind w:left="27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Agent</w:t>
      </w:r>
    </w:p>
    <w:p>
      <w:pPr>
        <w:spacing w:after="0" w:line="398"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JOON HUR</w:t>
            </w:r>
          </w:p>
        </w:tc>
        <w:tc>
          <w:tcPr>
            <w:tcW w:w="600" w:type="dxa"/>
            <w:vAlign w:val="bottom"/>
          </w:tcPr>
          <w:p>
            <w:pPr>
              <w:spacing w:after="0"/>
              <w:rPr>
                <w:sz w:val="19"/>
                <w:szCs w:val="19"/>
                <w:color w:val="auto"/>
              </w:rPr>
            </w:pPr>
          </w:p>
        </w:tc>
      </w:tr>
      <w:tr>
        <w:trPr>
          <w:trHeight w:val="241"/>
        </w:trPr>
        <w:tc>
          <w:tcPr>
            <w:tcW w:w="480" w:type="dxa"/>
            <w:vAlign w:val="bottom"/>
          </w:tcPr>
          <w:p>
            <w:pPr>
              <w:spacing w:after="0"/>
              <w:rPr>
                <w:sz w:val="20"/>
                <w:szCs w:val="20"/>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Name: Joon Hur</w:t>
            </w:r>
          </w:p>
        </w:tc>
      </w:tr>
      <w:tr>
        <w:trPr>
          <w:trHeight w:val="258"/>
        </w:trPr>
        <w:tc>
          <w:tcPr>
            <w:tcW w:w="480" w:type="dxa"/>
            <w:vAlign w:val="bottom"/>
          </w:tcPr>
          <w:p>
            <w:pPr>
              <w:spacing w:after="0"/>
              <w:rPr>
                <w:sz w:val="22"/>
                <w:szCs w:val="22"/>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7"/>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13" w:right="1440" w:bottom="1440" w:gutter="0" w:footer="0" w:header="0"/>
        </w:sectPr>
      </w:pPr>
    </w:p>
    <w:bookmarkStart w:id="121" w:name="page122"/>
    <w:bookmarkEnd w:id="121"/>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JPMORGAN CHASE BANK, N.A.,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JOON HUR</w:t>
            </w:r>
          </w:p>
        </w:tc>
        <w:tc>
          <w:tcPr>
            <w:tcW w:w="600" w:type="dxa"/>
            <w:vAlign w:val="bottom"/>
          </w:tcPr>
          <w:p>
            <w:pPr>
              <w:spacing w:after="0"/>
              <w:rPr>
                <w:sz w:val="19"/>
                <w:szCs w:val="19"/>
                <w:color w:val="auto"/>
              </w:rPr>
            </w:pPr>
          </w:p>
        </w:tc>
      </w:tr>
      <w:tr>
        <w:trPr>
          <w:trHeight w:val="254"/>
        </w:trPr>
        <w:tc>
          <w:tcPr>
            <w:tcW w:w="480" w:type="dxa"/>
            <w:vAlign w:val="bottom"/>
          </w:tcPr>
          <w:p>
            <w:pPr>
              <w:spacing w:after="0"/>
              <w:rPr>
                <w:sz w:val="22"/>
                <w:szCs w:val="22"/>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Name: Joon Hur</w:t>
            </w:r>
          </w:p>
        </w:tc>
      </w:tr>
      <w:tr>
        <w:trPr>
          <w:trHeight w:val="258"/>
        </w:trPr>
        <w:tc>
          <w:tcPr>
            <w:tcW w:w="480" w:type="dxa"/>
            <w:vAlign w:val="bottom"/>
          </w:tcPr>
          <w:p>
            <w:pPr>
              <w:spacing w:after="0"/>
              <w:rPr>
                <w:sz w:val="22"/>
                <w:szCs w:val="22"/>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7"/>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BANK OF AMERICA, N.A.,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JASON YAKABU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34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59">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Name: Jason Yakabu</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WELLS FARGO BANK, N.A.,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CARL HINRICHS</w:t>
            </w:r>
          </w:p>
        </w:tc>
        <w:tc>
          <w:tcPr>
            <w:tcW w:w="60" w:type="dxa"/>
            <w:vAlign w:val="bottom"/>
          </w:tcPr>
          <w:p>
            <w:pPr>
              <w:spacing w:after="0"/>
              <w:rPr>
                <w:sz w:val="19"/>
                <w:szCs w:val="19"/>
                <w:color w:val="auto"/>
              </w:rPr>
            </w:pPr>
          </w:p>
        </w:tc>
      </w:tr>
      <w:tr>
        <w:trPr>
          <w:trHeight w:val="254"/>
        </w:trPr>
        <w:tc>
          <w:tcPr>
            <w:tcW w:w="480" w:type="dxa"/>
            <w:vAlign w:val="bottom"/>
          </w:tcPr>
          <w:p>
            <w:pPr>
              <w:spacing w:after="0"/>
              <w:rPr>
                <w:sz w:val="22"/>
                <w:szCs w:val="22"/>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Name: Carl Hinrichs</w:t>
            </w:r>
          </w:p>
        </w:tc>
      </w:tr>
      <w:tr>
        <w:trPr>
          <w:trHeight w:val="258"/>
        </w:trPr>
        <w:tc>
          <w:tcPr>
            <w:tcW w:w="480" w:type="dxa"/>
            <w:vAlign w:val="bottom"/>
          </w:tcPr>
          <w:p>
            <w:pPr>
              <w:spacing w:after="0"/>
              <w:rPr>
                <w:sz w:val="22"/>
                <w:szCs w:val="22"/>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7"/>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GOLDMAN SACHS BANK USA.,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PRIYANKUSH GOSWAMI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8288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60">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Name: Priyankush Goswami</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PNC BANK, NATIONAL ASSOCIATION.,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MARK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2566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61">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Name: Mark McCue</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26" w:name="page127"/>
    <w:bookmarkEnd w:id="126"/>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PNC BANK CANADA BRANCH.,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MARTIN PEICHL</w:t>
            </w:r>
          </w:p>
        </w:tc>
        <w:tc>
          <w:tcPr>
            <w:tcW w:w="280" w:type="dxa"/>
            <w:vAlign w:val="bottom"/>
          </w:tcPr>
          <w:p>
            <w:pPr>
              <w:spacing w:after="0"/>
              <w:rPr>
                <w:sz w:val="19"/>
                <w:szCs w:val="19"/>
                <w:color w:val="auto"/>
              </w:rPr>
            </w:pPr>
          </w:p>
        </w:tc>
      </w:tr>
      <w:tr>
        <w:trPr>
          <w:trHeight w:val="254"/>
        </w:trPr>
        <w:tc>
          <w:tcPr>
            <w:tcW w:w="480" w:type="dxa"/>
            <w:vAlign w:val="bottom"/>
          </w:tcPr>
          <w:p>
            <w:pPr>
              <w:spacing w:after="0"/>
              <w:rPr>
                <w:sz w:val="22"/>
                <w:szCs w:val="22"/>
                <w:color w:val="auto"/>
              </w:rPr>
            </w:pPr>
          </w:p>
        </w:tc>
        <w:tc>
          <w:tcPr>
            <w:tcW w:w="24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Name: Martin Peichl</w:t>
            </w:r>
          </w:p>
        </w:tc>
      </w:tr>
      <w:tr>
        <w:trPr>
          <w:trHeight w:val="258"/>
        </w:trPr>
        <w:tc>
          <w:tcPr>
            <w:tcW w:w="480" w:type="dxa"/>
            <w:vAlign w:val="bottom"/>
          </w:tcPr>
          <w:p>
            <w:pPr>
              <w:spacing w:after="0"/>
              <w:rPr>
                <w:sz w:val="22"/>
                <w:szCs w:val="22"/>
                <w:color w:val="auto"/>
              </w:rPr>
            </w:pP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7"/>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CAPITAL ONE, NATIONAL ASSOCIATION.,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EDGAR ABREU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2915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62">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Name: Edgar Abreu</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200"/>
          </w:cols>
          <w:pgMar w:left="1440" w:top="1440" w:right="1259" w:bottom="1440" w:gutter="0" w:footer="0" w:header="0"/>
        </w:sectPr>
      </w:pPr>
    </w:p>
    <w:bookmarkStart w:id="128" w:name="page129"/>
    <w:bookmarkEnd w:id="128"/>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BARCLAYS BANK PLC.,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786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63">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Name: Charlene Saldanha</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BARCLAYS BANK IRELAND PLC.,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EDWIN LAU</w:t>
            </w:r>
          </w:p>
        </w:tc>
        <w:tc>
          <w:tcPr>
            <w:tcW w:w="880" w:type="dxa"/>
            <w:vAlign w:val="bottom"/>
          </w:tcPr>
          <w:p>
            <w:pPr>
              <w:spacing w:after="0"/>
              <w:rPr>
                <w:sz w:val="19"/>
                <w:szCs w:val="19"/>
                <w:color w:val="auto"/>
              </w:rPr>
            </w:pPr>
          </w:p>
        </w:tc>
      </w:tr>
      <w:tr>
        <w:trPr>
          <w:trHeight w:val="254"/>
        </w:trPr>
        <w:tc>
          <w:tcPr>
            <w:tcW w:w="480" w:type="dxa"/>
            <w:vAlign w:val="bottom"/>
          </w:tcPr>
          <w:p>
            <w:pPr>
              <w:spacing w:after="0"/>
              <w:rPr>
                <w:sz w:val="22"/>
                <w:szCs w:val="22"/>
                <w:color w:val="auto"/>
              </w:rPr>
            </w:pPr>
          </w:p>
        </w:tc>
        <w:tc>
          <w:tcPr>
            <w:tcW w:w="26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Name: Edwin Lau</w:t>
            </w:r>
          </w:p>
        </w:tc>
      </w:tr>
      <w:tr>
        <w:trPr>
          <w:trHeight w:val="258"/>
        </w:trPr>
        <w:tc>
          <w:tcPr>
            <w:tcW w:w="480" w:type="dxa"/>
            <w:vAlign w:val="bottom"/>
          </w:tcPr>
          <w:p>
            <w:pPr>
              <w:spacing w:after="0"/>
              <w:rPr>
                <w:sz w:val="22"/>
                <w:szCs w:val="22"/>
                <w:color w:val="auto"/>
              </w:rPr>
            </w:pPr>
          </w:p>
        </w:tc>
        <w:tc>
          <w:tcPr>
            <w:tcW w:w="26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7"/>
              </w:rPr>
              <w:t>Title: 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TRUIST BANK.,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VICOUNT P. CORNWALL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8103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64">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Name: Vicount P. Cornwall</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54" w:lineRule="exact"/>
        <w:rPr>
          <w:sz w:val="20"/>
          <w:szCs w:val="20"/>
          <w:color w:val="auto"/>
        </w:rPr>
      </w:pPr>
    </w:p>
    <w:p>
      <w:pPr>
        <w:ind w:left="2780"/>
        <w:spacing w:after="0" w:line="269" w:lineRule="auto"/>
        <w:rPr>
          <w:sz w:val="20"/>
          <w:szCs w:val="20"/>
          <w:color w:val="auto"/>
        </w:rPr>
      </w:pPr>
      <w:r>
        <w:rPr>
          <w:rFonts w:ascii="Times New Roman" w:cs="Times New Roman" w:eastAsia="Times New Roman" w:hAnsi="Times New Roman"/>
          <w:sz w:val="20"/>
          <w:szCs w:val="20"/>
          <w:color w:val="auto"/>
        </w:rPr>
        <w:t>COÖPERATIVE RABOBANK U.A., NEW YORK BRANCH.,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JENNIFER SMITH</w:t>
            </w:r>
          </w:p>
        </w:tc>
      </w:tr>
      <w:tr>
        <w:trPr>
          <w:trHeight w:val="241"/>
        </w:trPr>
        <w:tc>
          <w:tcPr>
            <w:tcW w:w="480" w:type="dxa"/>
            <w:vAlign w:val="bottom"/>
          </w:tcPr>
          <w:p>
            <w:pPr>
              <w:spacing w:after="0"/>
              <w:rPr>
                <w:sz w:val="20"/>
                <w:szCs w:val="20"/>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Name: Jennifer Smith</w:t>
            </w:r>
          </w:p>
        </w:tc>
      </w:tr>
      <w:tr>
        <w:trPr>
          <w:trHeight w:val="258"/>
        </w:trPr>
        <w:tc>
          <w:tcPr>
            <w:tcW w:w="480" w:type="dxa"/>
            <w:vAlign w:val="bottom"/>
          </w:tcPr>
          <w:p>
            <w:pPr>
              <w:spacing w:after="0"/>
              <w:rPr>
                <w:sz w:val="22"/>
                <w:szCs w:val="22"/>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7"/>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VINICIUS ARAUJO</w:t>
            </w:r>
          </w:p>
        </w:tc>
      </w:tr>
      <w:tr>
        <w:trPr>
          <w:trHeight w:val="241"/>
        </w:trPr>
        <w:tc>
          <w:tcPr>
            <w:tcW w:w="480" w:type="dxa"/>
            <w:vAlign w:val="bottom"/>
          </w:tcPr>
          <w:p>
            <w:pPr>
              <w:spacing w:after="0"/>
              <w:rPr>
                <w:sz w:val="20"/>
                <w:szCs w:val="20"/>
                <w:color w:val="auto"/>
              </w:rPr>
            </w:pPr>
          </w:p>
        </w:tc>
        <w:tc>
          <w:tcPr>
            <w:tcW w:w="2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Name: Vinicius Araujo</w:t>
            </w:r>
          </w:p>
        </w:tc>
      </w:tr>
      <w:tr>
        <w:trPr>
          <w:trHeight w:val="258"/>
        </w:trPr>
        <w:tc>
          <w:tcPr>
            <w:tcW w:w="480" w:type="dxa"/>
            <w:vAlign w:val="bottom"/>
          </w:tcPr>
          <w:p>
            <w:pPr>
              <w:spacing w:after="0"/>
              <w:rPr>
                <w:sz w:val="22"/>
                <w:szCs w:val="22"/>
                <w:color w:val="auto"/>
              </w:rPr>
            </w:pPr>
          </w:p>
        </w:tc>
        <w:tc>
          <w:tcPr>
            <w:tcW w:w="2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840"/>
          </w:cols>
          <w:pgMar w:left="1440" w:top="1440" w:right="619" w:bottom="1440" w:gutter="0" w:footer="0" w:header="0"/>
        </w:sectPr>
      </w:pPr>
    </w:p>
    <w:bookmarkStart w:id="132" w:name="page133"/>
    <w:bookmarkEnd w:id="132"/>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THE BANK OF NOVA SCOTIA,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SARAH SHAIKH</w:t>
            </w:r>
          </w:p>
        </w:tc>
        <w:tc>
          <w:tcPr>
            <w:tcW w:w="120" w:type="dxa"/>
            <w:vAlign w:val="bottom"/>
          </w:tcPr>
          <w:p>
            <w:pPr>
              <w:spacing w:after="0"/>
              <w:rPr>
                <w:sz w:val="19"/>
                <w:szCs w:val="19"/>
                <w:color w:val="auto"/>
              </w:rPr>
            </w:pPr>
          </w:p>
        </w:tc>
      </w:tr>
      <w:tr>
        <w:trPr>
          <w:trHeight w:val="254"/>
        </w:trPr>
        <w:tc>
          <w:tcPr>
            <w:tcW w:w="480" w:type="dxa"/>
            <w:vAlign w:val="bottom"/>
          </w:tcPr>
          <w:p>
            <w:pPr>
              <w:spacing w:after="0"/>
              <w:rPr>
                <w:sz w:val="22"/>
                <w:szCs w:val="22"/>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Name: Sarah Shaikh</w:t>
            </w:r>
          </w:p>
        </w:tc>
      </w:tr>
      <w:tr>
        <w:trPr>
          <w:trHeight w:val="258"/>
        </w:trPr>
        <w:tc>
          <w:tcPr>
            <w:tcW w:w="480" w:type="dxa"/>
            <w:vAlign w:val="bottom"/>
          </w:tcPr>
          <w:p>
            <w:pPr>
              <w:spacing w:after="0"/>
              <w:rPr>
                <w:sz w:val="22"/>
                <w:szCs w:val="22"/>
                <w:color w:val="auto"/>
              </w:rPr>
            </w:pP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8"/>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TD BANK, N.A.,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BERNADETTE COLLINS</w:t>
            </w:r>
          </w:p>
        </w:tc>
      </w:tr>
      <w:tr>
        <w:trPr>
          <w:trHeight w:val="254"/>
        </w:trPr>
        <w:tc>
          <w:tcPr>
            <w:tcW w:w="480" w:type="dxa"/>
            <w:vAlign w:val="bottom"/>
          </w:tcPr>
          <w:p>
            <w:pPr>
              <w:spacing w:after="0"/>
              <w:rPr>
                <w:sz w:val="22"/>
                <w:szCs w:val="22"/>
                <w:color w:val="auto"/>
              </w:rPr>
            </w:pPr>
          </w:p>
        </w:tc>
        <w:tc>
          <w:tcPr>
            <w:tcW w:w="2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Name: Bernadette Collins</w:t>
            </w:r>
          </w:p>
        </w:tc>
      </w:tr>
      <w:tr>
        <w:trPr>
          <w:trHeight w:val="258"/>
        </w:trPr>
        <w:tc>
          <w:tcPr>
            <w:tcW w:w="480" w:type="dxa"/>
            <w:vAlign w:val="bottom"/>
          </w:tcPr>
          <w:p>
            <w:pPr>
              <w:spacing w:after="0"/>
              <w:rPr>
                <w:sz w:val="22"/>
                <w:szCs w:val="22"/>
                <w:color w:val="auto"/>
              </w:rPr>
            </w:pPr>
          </w:p>
        </w:tc>
        <w:tc>
          <w:tcPr>
            <w:tcW w:w="28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34" w:name="page135"/>
    <w:bookmarkEnd w:id="134"/>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U.S. BANK NATIONAL ASSOCIATION,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RODNEY J.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6262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65">
                      <a:extLst>
                        <a:ext uri="{28A0092B-C50C-407E-A947-70E740481C1C}"/>
                      </a:extLst>
                    </a:blip>
                    <a:srcRect/>
                    <a:stretch>
                      <a:fillRect/>
                    </a:stretch>
                  </pic:blipFill>
                  <pic:spPr bwMode="auto">
                    <a:xfrm>
                      <a:off x="0" y="0"/>
                      <a:ext cx="1626235" cy="8255"/>
                    </a:xfrm>
                    <a:prstGeom prst="rect">
                      <a:avLst/>
                    </a:prstGeom>
                    <a:noFill/>
                  </pic:spPr>
                </pic:pic>
              </a:graphicData>
            </a:graphic>
          </wp:anchor>
        </w:drawing>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Name: Rodney J. Winters</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SUMITOMO MITSUI BANKING CORPORATION,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MARY HAROLD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326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66">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Name: Mary Harold</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640"/>
          </w:cols>
          <w:pgMar w:left="1440" w:top="1440" w:right="819" w:bottom="1440" w:gutter="0" w:footer="0" w:header="0"/>
        </w:sectPr>
      </w:pPr>
    </w:p>
    <w:bookmarkStart w:id="136" w:name="page137"/>
    <w:bookmarkEnd w:id="136"/>
    <w:p>
      <w:pPr>
        <w:spacing w:after="0" w:line="29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HSBC BANK USA, N.A.,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RANDY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3258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6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Name: Randy Chung</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37" w:name="page138"/>
    <w:bookmarkEnd w:id="137"/>
    <w:p>
      <w:pPr>
        <w:spacing w:after="0" w:line="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CITIZENS BANK, N.A.,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PAMELA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4471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68">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Name: Pamela Hansen</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019"/>
          </w:cols>
          <w:pgMar w:left="1440" w:top="1440" w:right="1440" w:bottom="1440" w:gutter="0" w:footer="0" w:header="0"/>
        </w:sectPr>
      </w:pPr>
    </w:p>
    <w:bookmarkStart w:id="138" w:name="page139"/>
    <w:bookmarkEnd w:id="138"/>
    <w:p>
      <w:pPr>
        <w:spacing w:after="0" w:line="54" w:lineRule="exact"/>
        <w:rPr>
          <w:sz w:val="20"/>
          <w:szCs w:val="20"/>
          <w:color w:val="auto"/>
        </w:rPr>
      </w:pPr>
    </w:p>
    <w:p>
      <w:pPr>
        <w:ind w:left="2780"/>
        <w:spacing w:after="0" w:line="269" w:lineRule="auto"/>
        <w:rPr>
          <w:sz w:val="20"/>
          <w:szCs w:val="20"/>
          <w:color w:val="auto"/>
        </w:rPr>
      </w:pPr>
      <w:r>
        <w:rPr>
          <w:rFonts w:ascii="Times New Roman" w:cs="Times New Roman" w:eastAsia="Times New Roman" w:hAnsi="Times New Roman"/>
          <w:sz w:val="20"/>
          <w:szCs w:val="20"/>
          <w:color w:val="auto"/>
        </w:rPr>
        <w:t>CANADIAN IMPERIAL BANK OF COMMERCE, NEW YORK BRANCH., as a 2024 New Facilities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ANDREW MILLANE</w:t>
            </w:r>
          </w:p>
        </w:tc>
        <w:tc>
          <w:tcPr>
            <w:tcW w:w="1720" w:type="dxa"/>
            <w:vAlign w:val="bottom"/>
          </w:tcPr>
          <w:p>
            <w:pPr>
              <w:spacing w:after="0"/>
              <w:rPr>
                <w:sz w:val="19"/>
                <w:szCs w:val="19"/>
                <w:color w:val="auto"/>
              </w:rPr>
            </w:pPr>
          </w:p>
        </w:tc>
      </w:tr>
      <w:tr>
        <w:trPr>
          <w:trHeight w:val="241"/>
        </w:trPr>
        <w:tc>
          <w:tcPr>
            <w:tcW w:w="480" w:type="dxa"/>
            <w:vAlign w:val="bottom"/>
          </w:tcPr>
          <w:p>
            <w:pPr>
              <w:spacing w:after="0"/>
              <w:rPr>
                <w:sz w:val="20"/>
                <w:szCs w:val="20"/>
                <w:color w:val="auto"/>
              </w:rPr>
            </w:pPr>
          </w:p>
        </w:tc>
        <w:tc>
          <w:tcPr>
            <w:tcW w:w="41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Name: Andrew Millane</w:t>
            </w:r>
          </w:p>
        </w:tc>
      </w:tr>
      <w:tr>
        <w:trPr>
          <w:trHeight w:val="258"/>
        </w:trPr>
        <w:tc>
          <w:tcPr>
            <w:tcW w:w="480" w:type="dxa"/>
            <w:vAlign w:val="bottom"/>
          </w:tcPr>
          <w:p>
            <w:pPr>
              <w:spacing w:after="0"/>
              <w:rPr>
                <w:sz w:val="22"/>
                <w:szCs w:val="22"/>
                <w:color w:val="auto"/>
              </w:rPr>
            </w:pPr>
          </w:p>
        </w:tc>
        <w:tc>
          <w:tcPr>
            <w:tcW w:w="41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8"/>
              </w:rPr>
              <w:t>Title: Executive Director &amp;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[Aramark – Signature Page to Amendment No. 16]</w:t>
      </w:r>
    </w:p>
    <w:p>
      <w:pPr>
        <w:sectPr>
          <w:pgSz w:w="11900" w:h="16838" w:orient="portrait"/>
          <w:cols w:equalWidth="0" w:num="1">
            <w:col w:w="9840"/>
          </w:cols>
          <w:pgMar w:left="1440" w:top="1440" w:right="619" w:bottom="1440" w:gutter="0" w:footer="0" w:header="0"/>
        </w:sectPr>
      </w:pPr>
    </w:p>
    <w:bookmarkStart w:id="139" w:name="page140"/>
    <w:bookmarkEnd w:id="139"/>
    <w:p>
      <w:pPr>
        <w:spacing w:after="0" w:line="253" w:lineRule="exact"/>
        <w:rPr>
          <w:sz w:val="20"/>
          <w:szCs w:val="20"/>
          <w:color w:val="auto"/>
        </w:rPr>
      </w:pPr>
    </w:p>
    <w:p>
      <w:pPr>
        <w:jc w:val="center"/>
        <w:ind w:right="329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jc w:val="center"/>
        <w:ind w:right="3299"/>
        <w:spacing w:after="0"/>
        <w:rPr>
          <w:sz w:val="20"/>
          <w:szCs w:val="20"/>
          <w:color w:val="auto"/>
        </w:rPr>
      </w:pPr>
      <w:r>
        <w:rPr>
          <w:rFonts w:ascii="Times New Roman" w:cs="Times New Roman" w:eastAsia="Times New Roman" w:hAnsi="Times New Roman"/>
          <w:sz w:val="19"/>
          <w:szCs w:val="19"/>
          <w:i w:val="1"/>
          <w:iCs w:val="1"/>
          <w:color w:val="auto"/>
        </w:rPr>
        <w:t>Amended Credit Agreement</w:t>
      </w:r>
    </w:p>
    <w:p>
      <w:pPr>
        <w:spacing w:after="0" w:line="200" w:lineRule="exact"/>
        <w:rPr>
          <w:sz w:val="20"/>
          <w:szCs w:val="20"/>
          <w:color w:val="auto"/>
        </w:rPr>
      </w:pPr>
    </w:p>
    <w:p>
      <w:pPr>
        <w:spacing w:after="0" w:line="22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0139"/>
          </w:cols>
          <w:pgMar w:left="320" w:top="1440" w:right="1440"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713232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6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831850</wp:posOffset>
            </wp:positionV>
            <wp:extent cx="713232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7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CREDIT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Dated as of March 28, 2017</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Among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FINANCIAL INSTITUTIONS PARTY HERETO,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as Lenders and Issuing Banks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JPMORGAN CHASE BANK, N.A.,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as Administrative Agent and Collateral Agent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and</w:t>
      </w:r>
    </w:p>
    <w:p>
      <w:pPr>
        <w:spacing w:after="0" w:line="19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ARAMARK SERVICES, INC.,</w:t>
      </w:r>
    </w:p>
    <w:p>
      <w:pPr>
        <w:spacing w:after="0" w:line="2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ARAMARK CANADA LTD.,</w:t>
      </w:r>
    </w:p>
    <w:p>
      <w:pPr>
        <w:spacing w:after="0" w:line="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color w:val="auto"/>
        </w:rPr>
        <w:t>ARAMARK INVESTMENTS LIMITED,</w:t>
      </w:r>
    </w:p>
    <w:p>
      <w:pPr>
        <w:spacing w:after="0" w:line="1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5"/>
          <w:szCs w:val="15"/>
          <w:color w:val="auto"/>
        </w:rPr>
        <w:t>ARAMARK INTERNATIONAL FINANCE, S.À R.L.,</w:t>
      </w:r>
    </w:p>
    <w:p>
      <w:pPr>
        <w:spacing w:after="0" w:line="1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color w:val="auto"/>
        </w:rPr>
        <w:t>ARAMARK IRELAND HOLDINGS LIMITED,</w:t>
      </w:r>
    </w:p>
    <w:p>
      <w:pPr>
        <w:spacing w:after="0" w:line="1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color w:val="auto"/>
        </w:rPr>
        <w:t>ARAMARK LIMITED</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auto"/>
        </w:rPr>
        <w:t>ARAMARK REGIONAL TREASURY EUROPE, DESIGNATED ACTIVITY COMPANY</w:t>
      </w:r>
    </w:p>
    <w:p>
      <w:pPr>
        <w:spacing w:after="0" w:line="1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and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ARAMARK HOLDING DEUTSCHLAND GMBH (as successor by merger to ARAMARK HOLDINGS GMBH &amp; CO. KG),</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as Borrowers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and</w:t>
      </w:r>
    </w:p>
    <w:p>
      <w:pPr>
        <w:spacing w:after="0" w:line="19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ARAMARK INTERMEDIATE HOLDCO CORPORATION,</w:t>
      </w:r>
    </w:p>
    <w:p>
      <w:pPr>
        <w:spacing w:after="0" w:line="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5"/>
          <w:szCs w:val="15"/>
          <w:color w:val="auto"/>
        </w:rPr>
        <w:t>as Holdings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and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OTHER GUARANTORS FROM TIME TO TIME PARTY HERETO</w:t>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color w:val="auto"/>
        </w:rPr>
        <w:t>___________</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JPMORGAN CHASE BANK, N.A.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as a Joint Lead Arranger and Joint Bookrunner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GOLDMAN SACHS LENDING PARTNERS LLC,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CREDIT SUISSE SECURITIES (USA) LLC,</w:t>
      </w:r>
    </w:p>
    <w:p>
      <w:pPr>
        <w:spacing w:after="0" w:line="1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5"/>
          <w:szCs w:val="15"/>
          <w:color w:val="auto"/>
        </w:rPr>
        <w:t>MERRILL LYNCH, PIERCE, FENNER &amp; SMITH INCORPORATED,</w:t>
      </w:r>
    </w:p>
    <w:p>
      <w:pPr>
        <w:spacing w:after="0" w:line="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5"/>
          <w:szCs w:val="15"/>
          <w:color w:val="auto"/>
        </w:rPr>
        <w:t>WELLS FARGO SECURITIES, LLC</w:t>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BARCLAYS BANK PLC,</w:t>
      </w:r>
    </w:p>
    <w:p>
      <w:pPr>
        <w:spacing w:after="0" w:line="1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PNC CAPITAL MARKETS LLC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and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MORGAN STANLEY MUFG LOAN PARTNERS, LLC,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as Joint Lead Arrangers, Joint Bookrunners and Co-Syndication Agents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U.S. BANK NATIONAL ASSOCIATION,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BANK OF NOVA SCOTIA,</w:t>
      </w:r>
    </w:p>
    <w:p>
      <w:pPr>
        <w:spacing w:after="0" w:line="18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5"/>
          <w:szCs w:val="15"/>
          <w:color w:val="auto"/>
        </w:rPr>
        <w:t>SUMITOMO MITSUI BANKING CORPORATION,</w:t>
      </w:r>
    </w:p>
    <w:p>
      <w:pPr>
        <w:spacing w:after="0" w:line="2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CO</w:t>
      </w:r>
      <w:r>
        <w:rPr>
          <w:rFonts w:ascii="Arial" w:cs="Arial" w:eastAsia="Arial" w:hAnsi="Arial"/>
          <w:sz w:val="15"/>
          <w:szCs w:val="15"/>
          <w:color w:val="auto"/>
        </w:rPr>
        <w:t>Ӧ</w:t>
      </w:r>
      <w:r>
        <w:rPr>
          <w:rFonts w:ascii="Times New Roman" w:cs="Times New Roman" w:eastAsia="Times New Roman" w:hAnsi="Times New Roman"/>
          <w:sz w:val="15"/>
          <w:szCs w:val="15"/>
          <w:color w:val="auto"/>
        </w:rPr>
        <w:t>PERATIEVE RABOBANK U.A., NEW YORK BRANCH,</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TD SECURITIES (USA) LLC</w:t>
      </w:r>
    </w:p>
    <w:p>
      <w:pPr>
        <w:spacing w:after="0" w:line="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and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COMERICA SECURITIES,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4" w:right="3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US-DOCS\152199755.5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US-DOCS\152199755.10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24" w:right="339" w:bottom="1440" w:gutter="0" w:footer="0" w:header="0"/>
          <w:type w:val="continuous"/>
        </w:sectPr>
      </w:pPr>
    </w:p>
    <w:bookmarkStart w:id="141" w:name="page142"/>
    <w:bookmarkEnd w:id="141"/>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1132205</wp:posOffset>
            </wp:positionV>
            <wp:extent cx="713232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7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1183640</wp:posOffset>
            </wp:positionV>
            <wp:extent cx="713232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US-DOCS\152199755.5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US-DOCS\152199755.10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24" w:right="339" w:bottom="1440" w:gutter="0" w:footer="0" w:header="0"/>
        </w:sectPr>
      </w:pPr>
    </w:p>
    <w:bookmarkStart w:id="142" w:name="page143"/>
    <w:bookmarkEnd w:id="142"/>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100" w:type="dxa"/>
            <w:vAlign w:val="bottom"/>
            <w:gridSpan w:val="9"/>
          </w:tcPr>
          <w:p>
            <w:pPr>
              <w:jc w:val="center"/>
              <w:ind w:right="4041"/>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0" w:type="dxa"/>
            <w:vAlign w:val="bottom"/>
          </w:tcPr>
          <w:p>
            <w:pPr>
              <w:spacing w:after="0"/>
              <w:rPr>
                <w:sz w:val="1"/>
                <w:szCs w:val="1"/>
                <w:color w:val="auto"/>
              </w:rPr>
            </w:pPr>
          </w:p>
        </w:tc>
      </w:tr>
      <w:tr>
        <w:trPr>
          <w:trHeight w:val="445"/>
        </w:trPr>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tcPr>
          <w:p>
            <w:pPr>
              <w:ind w:left="5160"/>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40" w:type="dxa"/>
            <w:vAlign w:val="bottom"/>
            <w:gridSpan w:val="7"/>
          </w:tcPr>
          <w:p>
            <w:pPr>
              <w:jc w:val="center"/>
              <w:ind w:right="4981"/>
              <w:spacing w:after="0"/>
              <w:rPr>
                <w:sz w:val="20"/>
                <w:szCs w:val="20"/>
                <w:color w:val="auto"/>
              </w:rPr>
            </w:pPr>
            <w:r>
              <w:rPr>
                <w:rFonts w:ascii="Times New Roman" w:cs="Times New Roman" w:eastAsia="Times New Roman" w:hAnsi="Times New Roman"/>
                <w:sz w:val="20"/>
                <w:szCs w:val="20"/>
                <w:color w:val="auto"/>
                <w:w w:val="97"/>
              </w:rPr>
              <w:t>ARTICLE I</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60" w:type="dxa"/>
            <w:vAlign w:val="bottom"/>
            <w:gridSpan w:val="8"/>
          </w:tcPr>
          <w:p>
            <w:pPr>
              <w:jc w:val="center"/>
              <w:ind w:right="4681"/>
              <w:spacing w:after="0"/>
              <w:rPr>
                <w:sz w:val="20"/>
                <w:szCs w:val="20"/>
                <w:color w:val="auto"/>
              </w:rPr>
            </w:pPr>
            <w:r>
              <w:rPr>
                <w:rFonts w:ascii="Times New Roman" w:cs="Times New Roman" w:eastAsia="Times New Roman" w:hAnsi="Times New Roman"/>
                <w:sz w:val="20"/>
                <w:szCs w:val="20"/>
                <w:color w:val="auto"/>
                <w:w w:val="99"/>
              </w:rPr>
              <w:t>DEFINITIONS</w:t>
            </w:r>
          </w:p>
        </w:tc>
        <w:tc>
          <w:tcPr>
            <w:tcW w:w="0" w:type="dxa"/>
            <w:vAlign w:val="bottom"/>
          </w:tcPr>
          <w:p>
            <w:pPr>
              <w:spacing w:after="0"/>
              <w:rPr>
                <w:sz w:val="1"/>
                <w:szCs w:val="1"/>
                <w:color w:val="auto"/>
              </w:rPr>
            </w:pPr>
          </w:p>
        </w:tc>
      </w:tr>
      <w:tr>
        <w:trPr>
          <w:trHeight w:val="444"/>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Defined Terms</w:t>
            </w:r>
          </w:p>
        </w:tc>
        <w:tc>
          <w:tcPr>
            <w:tcW w:w="4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344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268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Conversion of Currencies  83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1.04</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6"/>
              </w:rPr>
              <w:t>Terms Generally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1.05</w:t>
            </w:r>
          </w:p>
        </w:tc>
        <w:tc>
          <w:tcPr>
            <w:tcW w:w="268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Certain Calculations and Tests</w:t>
            </w:r>
          </w:p>
        </w:tc>
        <w:tc>
          <w:tcPr>
            <w:tcW w:w="760" w:type="dxa"/>
            <w:vAlign w:val="bottom"/>
            <w:gridSpan w:val="2"/>
          </w:tcPr>
          <w:p>
            <w:pPr>
              <w:jc w:val="right"/>
              <w:ind w:right="441"/>
              <w:spacing w:after="0"/>
              <w:rPr>
                <w:sz w:val="20"/>
                <w:szCs w:val="20"/>
                <w:color w:val="auto"/>
              </w:rPr>
            </w:pPr>
            <w:r>
              <w:rPr>
                <w:rFonts w:ascii="Times New Roman" w:cs="Times New Roman" w:eastAsia="Times New Roman" w:hAnsi="Times New Roman"/>
                <w:sz w:val="20"/>
                <w:szCs w:val="20"/>
                <w:color w:val="auto"/>
                <w:w w:val="99"/>
              </w:rPr>
              <w:t>84</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1.06</w:t>
            </w: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Change of Currency</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1.07</w:t>
            </w:r>
          </w:p>
        </w:tc>
        <w:tc>
          <w:tcPr>
            <w:tcW w:w="3760" w:type="dxa"/>
            <w:vAlign w:val="bottom"/>
            <w:gridSpan w:val="12"/>
          </w:tcPr>
          <w:p>
            <w:pPr>
              <w:ind w:left="100"/>
              <w:spacing w:after="0" w:line="212" w:lineRule="exact"/>
              <w:rPr>
                <w:sz w:val="20"/>
                <w:szCs w:val="20"/>
                <w:color w:val="auto"/>
              </w:rPr>
            </w:pPr>
            <w:r>
              <w:rPr>
                <w:rFonts w:ascii="Times New Roman" w:cs="Times New Roman" w:eastAsia="Times New Roman" w:hAnsi="Times New Roman"/>
                <w:sz w:val="20"/>
                <w:szCs w:val="20"/>
                <w:color w:val="auto"/>
                <w:w w:val="98"/>
              </w:rPr>
              <w:t>Funding Through Applicable Lending Offices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200" w:type="dxa"/>
            <w:vAlign w:val="bottom"/>
            <w:tcBorders>
              <w:bottom w:val="single" w:sz="8" w:color="0000FF"/>
            </w:tcBorders>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0000FF"/>
                <w:w w:val="89"/>
              </w:rPr>
              <w:t>84</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1.08</w:t>
            </w:r>
          </w:p>
        </w:tc>
        <w:tc>
          <w:tcPr>
            <w:tcW w:w="238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Accounting Terms; GAAP</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89"/>
              </w:rPr>
              <w:t>85</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1.09</w:t>
            </w:r>
          </w:p>
        </w:tc>
        <w:tc>
          <w:tcPr>
            <w:tcW w:w="268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w w:val="99"/>
              </w:rPr>
              <w:t>Additional Available Currencies</w:t>
            </w:r>
          </w:p>
        </w:tc>
        <w:tc>
          <w:tcPr>
            <w:tcW w:w="120" w:type="dxa"/>
            <w:vAlign w:val="bottom"/>
          </w:tcPr>
          <w:p>
            <w:pPr>
              <w:spacing w:after="0"/>
              <w:rPr>
                <w:sz w:val="19"/>
                <w:szCs w:val="19"/>
                <w:color w:val="auto"/>
              </w:rPr>
            </w:pPr>
          </w:p>
        </w:tc>
        <w:tc>
          <w:tcPr>
            <w:tcW w:w="6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85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1.10</w:t>
            </w:r>
          </w:p>
        </w:tc>
        <w:tc>
          <w:tcPr>
            <w:tcW w:w="268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Limited Condition Acquisitions</w:t>
            </w:r>
          </w:p>
        </w:tc>
        <w:tc>
          <w:tcPr>
            <w:tcW w:w="120" w:type="dxa"/>
            <w:vAlign w:val="bottom"/>
          </w:tcPr>
          <w:p>
            <w:pPr>
              <w:spacing w:after="0"/>
              <w:rPr>
                <w:sz w:val="21"/>
                <w:szCs w:val="21"/>
                <w:color w:val="auto"/>
              </w:rPr>
            </w:pPr>
          </w:p>
        </w:tc>
        <w:tc>
          <w:tcPr>
            <w:tcW w:w="64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99"/>
              </w:rPr>
              <w:t>86</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1.11</w:t>
            </w:r>
          </w:p>
        </w:tc>
        <w:tc>
          <w:tcPr>
            <w:tcW w:w="182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Luxembourg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87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SECTION 1.12  Interest Rates; Benchmark Notification.  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SECTION 1.13  2024 Refinancing Amendments.  88</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1.14</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Divisions.</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88</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40" w:type="dxa"/>
            <w:vAlign w:val="bottom"/>
            <w:gridSpan w:val="7"/>
          </w:tcPr>
          <w:p>
            <w:pPr>
              <w:jc w:val="center"/>
              <w:ind w:right="5001"/>
              <w:spacing w:after="0"/>
              <w:rPr>
                <w:sz w:val="20"/>
                <w:szCs w:val="20"/>
                <w:color w:val="auto"/>
              </w:rPr>
            </w:pPr>
            <w:r>
              <w:rPr>
                <w:rFonts w:ascii="Times New Roman" w:cs="Times New Roman" w:eastAsia="Times New Roman" w:hAnsi="Times New Roman"/>
                <w:sz w:val="20"/>
                <w:szCs w:val="20"/>
                <w:color w:val="auto"/>
                <w:w w:val="97"/>
              </w:rPr>
              <w:t>ARTICLE II</w:t>
            </w:r>
          </w:p>
        </w:tc>
        <w:tc>
          <w:tcPr>
            <w:tcW w:w="0" w:type="dxa"/>
            <w:vAlign w:val="bottom"/>
          </w:tcPr>
          <w:p>
            <w:pPr>
              <w:spacing w:after="0"/>
              <w:rPr>
                <w:sz w:val="1"/>
                <w:szCs w:val="1"/>
                <w:color w:val="auto"/>
              </w:rPr>
            </w:pPr>
          </w:p>
        </w:tc>
      </w:tr>
      <w:tr>
        <w:trPr>
          <w:trHeight w:val="473"/>
        </w:trPr>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60" w:type="dxa"/>
            <w:vAlign w:val="bottom"/>
            <w:gridSpan w:val="8"/>
          </w:tcPr>
          <w:p>
            <w:pPr>
              <w:jc w:val="center"/>
              <w:ind w:right="4661"/>
              <w:spacing w:after="0"/>
              <w:rPr>
                <w:sz w:val="20"/>
                <w:szCs w:val="20"/>
                <w:color w:val="auto"/>
              </w:rPr>
            </w:pPr>
            <w:r>
              <w:rPr>
                <w:rFonts w:ascii="Times New Roman" w:cs="Times New Roman" w:eastAsia="Times New Roman" w:hAnsi="Times New Roman"/>
                <w:sz w:val="20"/>
                <w:szCs w:val="20"/>
                <w:color w:val="auto"/>
                <w:w w:val="99"/>
              </w:rPr>
              <w:t>THE CREDITS</w:t>
            </w:r>
          </w:p>
        </w:tc>
        <w:tc>
          <w:tcPr>
            <w:tcW w:w="0" w:type="dxa"/>
            <w:vAlign w:val="bottom"/>
          </w:tcPr>
          <w:p>
            <w:pPr>
              <w:spacing w:after="0"/>
              <w:rPr>
                <w:sz w:val="1"/>
                <w:szCs w:val="1"/>
                <w:color w:val="auto"/>
              </w:rPr>
            </w:pPr>
          </w:p>
        </w:tc>
      </w:tr>
      <w:tr>
        <w:trPr>
          <w:trHeight w:val="4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2.01</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Commitments</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89"/>
              </w:rPr>
              <w:t>88</w:t>
            </w:r>
          </w:p>
        </w:tc>
        <w:tc>
          <w:tcPr>
            <w:tcW w:w="28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90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2.02</w:t>
            </w:r>
          </w:p>
        </w:tc>
        <w:tc>
          <w:tcPr>
            <w:tcW w:w="2100" w:type="dxa"/>
            <w:vAlign w:val="bottom"/>
            <w:gridSpan w:val="5"/>
          </w:tcPr>
          <w:p>
            <w:pPr>
              <w:ind w:left="100"/>
              <w:spacing w:after="0" w:line="212" w:lineRule="exact"/>
              <w:rPr>
                <w:sz w:val="20"/>
                <w:szCs w:val="20"/>
                <w:color w:val="auto"/>
              </w:rPr>
            </w:pPr>
            <w:r>
              <w:rPr>
                <w:rFonts w:ascii="Times New Roman" w:cs="Times New Roman" w:eastAsia="Times New Roman" w:hAnsi="Times New Roman"/>
                <w:sz w:val="20"/>
                <w:szCs w:val="20"/>
                <w:color w:val="auto"/>
              </w:rPr>
              <w:t>Loans and Borrowings</w:t>
            </w:r>
          </w:p>
        </w:tc>
        <w:tc>
          <w:tcPr>
            <w:tcW w:w="200" w:type="dxa"/>
            <w:vAlign w:val="bottom"/>
            <w:vMerge w:val="continue"/>
          </w:tcPr>
          <w:p>
            <w:pPr>
              <w:spacing w:after="0"/>
              <w:rPr>
                <w:sz w:val="18"/>
                <w:szCs w:val="18"/>
                <w:color w:val="auto"/>
              </w:rPr>
            </w:pPr>
          </w:p>
        </w:tc>
        <w:tc>
          <w:tcPr>
            <w:tcW w:w="380" w:type="dxa"/>
            <w:vAlign w:val="bottom"/>
            <w:gridSpan w:val="3"/>
          </w:tcPr>
          <w:p>
            <w:pPr>
              <w:jc w:val="right"/>
              <w:ind w:right="180"/>
              <w:spacing w:after="0" w:line="212" w:lineRule="exact"/>
              <w:rPr>
                <w:sz w:val="20"/>
                <w:szCs w:val="20"/>
                <w:color w:val="auto"/>
              </w:rPr>
            </w:pPr>
            <w:r>
              <w:rPr>
                <w:rFonts w:ascii="Times New Roman" w:cs="Times New Roman" w:eastAsia="Times New Roman" w:hAnsi="Times New Roman"/>
                <w:sz w:val="20"/>
                <w:szCs w:val="20"/>
                <w:color w:val="0000FF"/>
                <w:w w:val="89"/>
              </w:rPr>
              <w:t>89</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2.03</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91</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2.04</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8"/>
              </w:rPr>
              <w:t>Letters of Credit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2.05</w:t>
            </w:r>
          </w:p>
        </w:tc>
        <w:tc>
          <w:tcPr>
            <w:tcW w:w="3760" w:type="dxa"/>
            <w:vAlign w:val="bottom"/>
            <w:gridSpan w:val="12"/>
          </w:tcPr>
          <w:p>
            <w:pPr>
              <w:ind w:left="100"/>
              <w:spacing w:after="0" w:line="212" w:lineRule="exact"/>
              <w:rPr>
                <w:sz w:val="20"/>
                <w:szCs w:val="20"/>
                <w:color w:val="auto"/>
              </w:rPr>
            </w:pPr>
            <w:r>
              <w:rPr>
                <w:rFonts w:ascii="Times New Roman" w:cs="Times New Roman" w:eastAsia="Times New Roman" w:hAnsi="Times New Roman"/>
                <w:sz w:val="20"/>
                <w:szCs w:val="20"/>
                <w:color w:val="auto"/>
              </w:rPr>
              <w:t>Termination and Reduction of Commitments</w:t>
            </w:r>
          </w:p>
        </w:tc>
        <w:tc>
          <w:tcPr>
            <w:tcW w:w="8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200" w:type="dxa"/>
            <w:vAlign w:val="bottom"/>
            <w:tcBorders>
              <w:bottom w:val="single" w:sz="8" w:color="0000FF"/>
            </w:tcBorders>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0000FF"/>
                <w:w w:val="89"/>
              </w:rPr>
              <w:t>96</w:t>
            </w:r>
          </w:p>
        </w:tc>
        <w:tc>
          <w:tcPr>
            <w:tcW w:w="1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2.06</w:t>
            </w: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Repayment of Loans</w:t>
            </w:r>
          </w:p>
        </w:tc>
        <w:tc>
          <w:tcPr>
            <w:tcW w:w="4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97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2.07</w:t>
            </w:r>
          </w:p>
        </w:tc>
        <w:tc>
          <w:tcPr>
            <w:tcW w:w="238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Evidence of Debt  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268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Optional Prepayment of Loans</w:t>
            </w:r>
          </w:p>
        </w:tc>
        <w:tc>
          <w:tcPr>
            <w:tcW w:w="76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100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2.09</w:t>
            </w:r>
          </w:p>
        </w:tc>
        <w:tc>
          <w:tcPr>
            <w:tcW w:w="280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Mandatory Prepayment of Loans</w:t>
            </w:r>
          </w:p>
        </w:tc>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102</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2.10</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Fees</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104</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2.11</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Interest  105</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280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w w:val="99"/>
              </w:rPr>
              <w:t>Conversion/Continuation Options</w:t>
            </w: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107</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2.13</w:t>
            </w:r>
          </w:p>
        </w:tc>
        <w:tc>
          <w:tcPr>
            <w:tcW w:w="238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w w:val="98"/>
              </w:rPr>
              <w:t>Payments and Computations</w:t>
            </w:r>
          </w:p>
        </w:tc>
        <w:tc>
          <w:tcPr>
            <w:tcW w:w="1060" w:type="dxa"/>
            <w:vAlign w:val="bottom"/>
            <w:gridSpan w:val="4"/>
          </w:tcPr>
          <w:p>
            <w:pPr>
              <w:jc w:val="right"/>
              <w:ind w:right="481"/>
              <w:spacing w:after="0"/>
              <w:rPr>
                <w:sz w:val="20"/>
                <w:szCs w:val="20"/>
                <w:color w:val="auto"/>
              </w:rPr>
            </w:pPr>
            <w:r>
              <w:rPr>
                <w:rFonts w:ascii="Times New Roman" w:cs="Times New Roman" w:eastAsia="Times New Roman" w:hAnsi="Times New Roman"/>
                <w:sz w:val="20"/>
                <w:szCs w:val="20"/>
                <w:color w:val="auto"/>
              </w:rPr>
              <w:t>108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SECTION 2.14  Increased Costs; Change of Law, Etc.  109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2.15</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2.16</w:t>
            </w:r>
          </w:p>
        </w:tc>
        <w:tc>
          <w:tcPr>
            <w:tcW w:w="344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w w:val="98"/>
              </w:rPr>
              <w:t>Allocation of Proceeds; Sharing of Setoffs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2.17</w:t>
            </w:r>
          </w:p>
        </w:tc>
        <w:tc>
          <w:tcPr>
            <w:tcW w:w="9900" w:type="dxa"/>
            <w:vAlign w:val="bottom"/>
            <w:gridSpan w:val="19"/>
          </w:tcPr>
          <w:p>
            <w:pPr>
              <w:ind w:left="100"/>
              <w:spacing w:after="0"/>
              <w:rPr>
                <w:sz w:val="20"/>
                <w:szCs w:val="20"/>
                <w:color w:val="auto"/>
              </w:rPr>
            </w:pPr>
            <w:r>
              <w:rPr>
                <w:rFonts w:ascii="Times New Roman" w:cs="Times New Roman" w:eastAsia="Times New Roman" w:hAnsi="Times New Roman"/>
                <w:sz w:val="20"/>
                <w:szCs w:val="20"/>
                <w:color w:val="auto"/>
              </w:rPr>
              <w:t>Mitigation Obligations; Replacement of Lenders  120</w:t>
            </w: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2.18</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121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2.19</w:t>
            </w: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w w:val="97"/>
              </w:rPr>
              <w:t>Incremental Facilities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2.20</w:t>
            </w: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Defaulting Lenders</w:t>
            </w:r>
          </w:p>
        </w:tc>
        <w:tc>
          <w:tcPr>
            <w:tcW w:w="4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w w:val="93"/>
              </w:rPr>
              <w:t>124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40" w:right="339"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00" w:type="dxa"/>
            <w:vAlign w:val="bottom"/>
            <w:gridSpan w:val="5"/>
          </w:tcPr>
          <w:p>
            <w:pPr>
              <w:jc w:val="center"/>
              <w:ind w:right="1100"/>
              <w:spacing w:after="0"/>
              <w:rPr>
                <w:sz w:val="20"/>
                <w:szCs w:val="20"/>
                <w:color w:val="auto"/>
              </w:rPr>
            </w:pPr>
            <w:r>
              <w:rPr>
                <w:rFonts w:ascii="Times New Roman" w:cs="Times New Roman" w:eastAsia="Times New Roman" w:hAnsi="Times New Roman"/>
                <w:sz w:val="20"/>
                <w:szCs w:val="20"/>
                <w:color w:val="auto"/>
                <w:w w:val="98"/>
              </w:rPr>
              <w:t>ARTICLE III</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9"/>
          </w:tcPr>
          <w:p>
            <w:pPr>
              <w:jc w:val="center"/>
              <w:spacing w:after="0"/>
              <w:rPr>
                <w:sz w:val="20"/>
                <w:szCs w:val="20"/>
                <w:color w:val="auto"/>
              </w:rPr>
            </w:pPr>
            <w:r>
              <w:rPr>
                <w:rFonts w:ascii="Times New Roman" w:cs="Times New Roman" w:eastAsia="Times New Roman" w:hAnsi="Times New Roman"/>
                <w:sz w:val="20"/>
                <w:szCs w:val="20"/>
                <w:color w:val="auto"/>
                <w:w w:val="97"/>
              </w:rPr>
              <w:t>REPRESENTATIONS AND WARRANTIES</w:t>
            </w:r>
          </w:p>
        </w:tc>
        <w:tc>
          <w:tcPr>
            <w:tcW w:w="0" w:type="dxa"/>
            <w:vAlign w:val="bottom"/>
          </w:tcPr>
          <w:p>
            <w:pPr>
              <w:spacing w:after="0"/>
              <w:rPr>
                <w:sz w:val="1"/>
                <w:szCs w:val="1"/>
                <w:color w:val="auto"/>
              </w:rPr>
            </w:pPr>
          </w:p>
        </w:tc>
      </w:tr>
      <w:tr>
        <w:trPr>
          <w:trHeight w:val="4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3.01</w:t>
            </w:r>
          </w:p>
        </w:tc>
        <w:tc>
          <w:tcPr>
            <w:tcW w:w="190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Organization; Powers</w:t>
            </w:r>
          </w:p>
        </w:tc>
        <w:tc>
          <w:tcPr>
            <w:tcW w:w="560" w:type="dxa"/>
            <w:vAlign w:val="bottom"/>
            <w:gridSpan w:val="4"/>
          </w:tcPr>
          <w:p>
            <w:pPr>
              <w:jc w:val="right"/>
              <w:ind w:right="61"/>
              <w:spacing w:after="0"/>
              <w:rPr>
                <w:sz w:val="20"/>
                <w:szCs w:val="20"/>
                <w:color w:val="auto"/>
              </w:rPr>
            </w:pPr>
            <w:r>
              <w:rPr>
                <w:rFonts w:ascii="Times New Roman" w:cs="Times New Roman" w:eastAsia="Times New Roman" w:hAnsi="Times New Roman"/>
                <w:sz w:val="20"/>
                <w:szCs w:val="20"/>
                <w:color w:val="auto"/>
              </w:rPr>
              <w:t>126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3.02</w:t>
            </w:r>
          </w:p>
        </w:tc>
        <w:tc>
          <w:tcPr>
            <w:tcW w:w="246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w w:val="99"/>
              </w:rPr>
              <w:t>Authorization; Enforceability</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3.03</w:t>
            </w:r>
          </w:p>
        </w:tc>
        <w:tc>
          <w:tcPr>
            <w:tcW w:w="6080" w:type="dxa"/>
            <w:vAlign w:val="bottom"/>
            <w:gridSpan w:val="18"/>
          </w:tcPr>
          <w:p>
            <w:pPr>
              <w:ind w:left="100"/>
              <w:spacing w:after="0"/>
              <w:rPr>
                <w:sz w:val="20"/>
                <w:szCs w:val="20"/>
                <w:color w:val="auto"/>
              </w:rPr>
            </w:pPr>
            <w:r>
              <w:rPr>
                <w:rFonts w:ascii="Times New Roman" w:cs="Times New Roman" w:eastAsia="Times New Roman" w:hAnsi="Times New Roman"/>
                <w:sz w:val="20"/>
                <w:szCs w:val="20"/>
                <w:color w:val="auto"/>
              </w:rPr>
              <w:t>Governmental Approvals; No Conflicts  126</w:t>
            </w:r>
          </w:p>
        </w:tc>
        <w:tc>
          <w:tcPr>
            <w:tcW w:w="0" w:type="dxa"/>
            <w:vAlign w:val="bottom"/>
          </w:tcPr>
          <w:p>
            <w:pPr>
              <w:spacing w:after="0"/>
              <w:rPr>
                <w:sz w:val="1"/>
                <w:szCs w:val="1"/>
                <w:color w:val="auto"/>
              </w:rPr>
            </w:pPr>
          </w:p>
        </w:tc>
      </w:tr>
      <w:tr>
        <w:trPr>
          <w:trHeight w:val="216"/>
        </w:trPr>
        <w:tc>
          <w:tcPr>
            <w:tcW w:w="13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SECTION 3.04</w:t>
            </w:r>
          </w:p>
        </w:tc>
        <w:tc>
          <w:tcPr>
            <w:tcW w:w="4300" w:type="dxa"/>
            <w:vAlign w:val="bottom"/>
            <w:gridSpan w:val="15"/>
          </w:tcPr>
          <w:p>
            <w:pPr>
              <w:ind w:left="100"/>
              <w:spacing w:after="0" w:line="216" w:lineRule="exact"/>
              <w:rPr>
                <w:sz w:val="20"/>
                <w:szCs w:val="20"/>
                <w:color w:val="auto"/>
              </w:rPr>
            </w:pPr>
            <w:r>
              <w:rPr>
                <w:rFonts w:ascii="Times New Roman" w:cs="Times New Roman" w:eastAsia="Times New Roman" w:hAnsi="Times New Roman"/>
                <w:sz w:val="20"/>
                <w:szCs w:val="20"/>
                <w:color w:val="auto"/>
              </w:rPr>
              <w:t>Financial Condition; No Material Adverse Change</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FF0000"/>
                <w:strike w:val="1"/>
                <w:w w:val="93"/>
              </w:rPr>
              <w:t>127</w:t>
            </w:r>
          </w:p>
        </w:tc>
        <w:tc>
          <w:tcPr>
            <w:tcW w:w="300" w:type="dxa"/>
            <w:vAlign w:val="bottom"/>
            <w:tcBorders>
              <w:bottom w:val="single" w:sz="8" w:color="0000FF"/>
            </w:tcBorders>
          </w:tcPr>
          <w:p>
            <w:pPr>
              <w:jc w:val="right"/>
              <w:spacing w:after="0" w:line="216" w:lineRule="exact"/>
              <w:rPr>
                <w:sz w:val="20"/>
                <w:szCs w:val="20"/>
                <w:color w:val="auto"/>
              </w:rPr>
            </w:pPr>
            <w:r>
              <w:rPr>
                <w:rFonts w:ascii="Times New Roman" w:cs="Times New Roman" w:eastAsia="Times New Roman" w:hAnsi="Times New Roman"/>
                <w:sz w:val="20"/>
                <w:szCs w:val="20"/>
                <w:color w:val="0000FF"/>
                <w:w w:val="93"/>
              </w:rPr>
              <w:t>126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3.05</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Properties</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3"/>
              </w:rPr>
              <w:t>128</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3.06</w:t>
            </w:r>
          </w:p>
        </w:tc>
        <w:tc>
          <w:tcPr>
            <w:tcW w:w="3160" w:type="dxa"/>
            <w:vAlign w:val="bottom"/>
            <w:gridSpan w:val="11"/>
          </w:tcPr>
          <w:p>
            <w:pPr>
              <w:ind w:left="100"/>
              <w:spacing w:after="0" w:line="212" w:lineRule="exact"/>
              <w:rPr>
                <w:sz w:val="20"/>
                <w:szCs w:val="20"/>
                <w:color w:val="auto"/>
              </w:rPr>
            </w:pPr>
            <w:r>
              <w:rPr>
                <w:rFonts w:ascii="Times New Roman" w:cs="Times New Roman" w:eastAsia="Times New Roman" w:hAnsi="Times New Roman"/>
                <w:sz w:val="20"/>
                <w:szCs w:val="20"/>
                <w:color w:val="auto"/>
              </w:rPr>
              <w:t>Litigation and Environmental Matters</w:t>
            </w: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0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93"/>
              </w:rPr>
              <w:t>127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3.07</w:t>
            </w:r>
          </w:p>
        </w:tc>
        <w:tc>
          <w:tcPr>
            <w:tcW w:w="6080" w:type="dxa"/>
            <w:vAlign w:val="bottom"/>
            <w:gridSpan w:val="18"/>
          </w:tcPr>
          <w:p>
            <w:pPr>
              <w:ind w:left="100"/>
              <w:spacing w:after="0"/>
              <w:rPr>
                <w:sz w:val="20"/>
                <w:szCs w:val="20"/>
                <w:color w:val="auto"/>
              </w:rPr>
            </w:pPr>
            <w:r>
              <w:rPr>
                <w:rFonts w:ascii="Times New Roman" w:cs="Times New Roman" w:eastAsia="Times New Roman" w:hAnsi="Times New Roman"/>
                <w:sz w:val="20"/>
                <w:szCs w:val="20"/>
                <w:color w:val="auto"/>
              </w:rPr>
              <w:t>Compliance with Laws and Agreements; Licenses and Permits  128</w:t>
            </w: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3.08</w:t>
            </w:r>
          </w:p>
        </w:tc>
        <w:tc>
          <w:tcPr>
            <w:tcW w:w="246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Investment Company Status</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128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3.09</w:t>
            </w:r>
          </w:p>
        </w:tc>
        <w:tc>
          <w:tcPr>
            <w:tcW w:w="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800" w:type="dxa"/>
            <w:vAlign w:val="bottom"/>
            <w:gridSpan w:val="2"/>
          </w:tcPr>
          <w:p>
            <w:pPr>
              <w:jc w:val="right"/>
              <w:ind w:right="361"/>
              <w:spacing w:after="0"/>
              <w:rPr>
                <w:sz w:val="20"/>
                <w:szCs w:val="20"/>
                <w:color w:val="auto"/>
              </w:rPr>
            </w:pPr>
            <w:r>
              <w:rPr>
                <w:rFonts w:ascii="Times New Roman" w:cs="Times New Roman" w:eastAsia="Times New Roman" w:hAnsi="Times New Roman"/>
                <w:sz w:val="20"/>
                <w:szCs w:val="20"/>
                <w:color w:val="auto"/>
              </w:rPr>
              <w:t>128</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3.10</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7"/>
              </w:rPr>
              <w:t>Deduction of Tax</w:t>
            </w:r>
          </w:p>
        </w:tc>
        <w:tc>
          <w:tcPr>
            <w:tcW w:w="600" w:type="dxa"/>
            <w:vAlign w:val="bottom"/>
            <w:gridSpan w:val="4"/>
          </w:tcPr>
          <w:p>
            <w:pPr>
              <w:jc w:val="right"/>
              <w:ind w:right="21"/>
              <w:spacing w:after="0"/>
              <w:rPr>
                <w:sz w:val="20"/>
                <w:szCs w:val="20"/>
                <w:color w:val="auto"/>
              </w:rPr>
            </w:pPr>
            <w:r>
              <w:rPr>
                <w:rFonts w:ascii="Times New Roman" w:cs="Times New Roman" w:eastAsia="Times New Roman" w:hAnsi="Times New Roman"/>
                <w:sz w:val="20"/>
                <w:szCs w:val="20"/>
                <w:color w:val="auto"/>
              </w:rPr>
              <w:t>129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3.11</w:t>
            </w:r>
          </w:p>
        </w:tc>
        <w:tc>
          <w:tcPr>
            <w:tcW w:w="316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No Filing or Stamp Taxes  129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3.12</w:t>
            </w:r>
          </w:p>
        </w:tc>
        <w:tc>
          <w:tcPr>
            <w:tcW w:w="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ERISA</w:t>
            </w:r>
          </w:p>
        </w:tc>
        <w:tc>
          <w:tcPr>
            <w:tcW w:w="80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129</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3.13</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Disclosure</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6"/>
              </w:rPr>
              <w:t>130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3.14</w:t>
            </w:r>
          </w:p>
        </w:tc>
        <w:tc>
          <w:tcPr>
            <w:tcW w:w="1900" w:type="dxa"/>
            <w:vAlign w:val="bottom"/>
            <w:gridSpan w:val="5"/>
          </w:tcPr>
          <w:p>
            <w:pPr>
              <w:ind w:left="100"/>
              <w:spacing w:after="0" w:line="212" w:lineRule="exact"/>
              <w:rPr>
                <w:sz w:val="20"/>
                <w:szCs w:val="20"/>
                <w:color w:val="auto"/>
              </w:rPr>
            </w:pPr>
            <w:r>
              <w:rPr>
                <w:rFonts w:ascii="Times New Roman" w:cs="Times New Roman" w:eastAsia="Times New Roman" w:hAnsi="Times New Roman"/>
                <w:sz w:val="20"/>
                <w:szCs w:val="20"/>
                <w:color w:val="auto"/>
              </w:rPr>
              <w:t>Material Agreements</w:t>
            </w:r>
          </w:p>
        </w:tc>
        <w:tc>
          <w:tcPr>
            <w:tcW w:w="8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300" w:type="dxa"/>
            <w:vAlign w:val="bottom"/>
            <w:tcBorders>
              <w:bottom w:val="single" w:sz="8" w:color="0000FF"/>
            </w:tcBorders>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0000FF"/>
                <w:w w:val="93"/>
              </w:rPr>
              <w:t>129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3.15</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Solvency</w:t>
            </w: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130</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3.16</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Insurance</w:t>
            </w: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3.17</w:t>
            </w:r>
          </w:p>
        </w:tc>
        <w:tc>
          <w:tcPr>
            <w:tcW w:w="316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Capitalization and Subsidiaries  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3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SECTION 3.18</w:t>
            </w:r>
          </w:p>
        </w:tc>
        <w:tc>
          <w:tcPr>
            <w:tcW w:w="2460" w:type="dxa"/>
            <w:vAlign w:val="bottom"/>
            <w:gridSpan w:val="9"/>
          </w:tcPr>
          <w:p>
            <w:pPr>
              <w:ind w:left="100"/>
              <w:spacing w:after="0" w:line="226" w:lineRule="exact"/>
              <w:rPr>
                <w:sz w:val="20"/>
                <w:szCs w:val="20"/>
                <w:color w:val="auto"/>
              </w:rPr>
            </w:pPr>
            <w:r>
              <w:rPr>
                <w:rFonts w:ascii="Times New Roman" w:cs="Times New Roman" w:eastAsia="Times New Roman" w:hAnsi="Times New Roman"/>
                <w:sz w:val="20"/>
                <w:szCs w:val="20"/>
                <w:color w:val="auto"/>
                <w:w w:val="99"/>
              </w:rPr>
              <w:t>Security Interest in Collateral</w:t>
            </w:r>
          </w:p>
        </w:tc>
        <w:tc>
          <w:tcPr>
            <w:tcW w:w="700" w:type="dxa"/>
            <w:vAlign w:val="bottom"/>
            <w:gridSpan w:val="2"/>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130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SECTION 3.19</w:t>
            </w:r>
          </w:p>
        </w:tc>
        <w:tc>
          <w:tcPr>
            <w:tcW w:w="150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0"/>
                <w:szCs w:val="20"/>
                <w:color w:val="auto"/>
              </w:rPr>
              <w:t>Labor Disputes</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FF0000"/>
                <w:strike w:val="1"/>
                <w:w w:val="93"/>
              </w:rPr>
              <w:t>131</w:t>
            </w:r>
          </w:p>
        </w:tc>
        <w:tc>
          <w:tcPr>
            <w:tcW w:w="460" w:type="dxa"/>
            <w:vAlign w:val="bottom"/>
            <w:gridSpan w:val="4"/>
          </w:tcPr>
          <w:p>
            <w:pPr>
              <w:jc w:val="right"/>
              <w:ind w:right="160"/>
              <w:spacing w:after="0" w:line="216" w:lineRule="exact"/>
              <w:rPr>
                <w:sz w:val="20"/>
                <w:szCs w:val="20"/>
                <w:color w:val="auto"/>
              </w:rPr>
            </w:pPr>
            <w:r>
              <w:rPr>
                <w:rFonts w:ascii="Times New Roman" w:cs="Times New Roman" w:eastAsia="Times New Roman" w:hAnsi="Times New Roman"/>
                <w:sz w:val="20"/>
                <w:szCs w:val="20"/>
                <w:color w:val="0000FF"/>
                <w:w w:val="93"/>
              </w:rPr>
              <w:t>130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3.20</w:t>
            </w:r>
          </w:p>
        </w:tc>
        <w:tc>
          <w:tcPr>
            <w:tcW w:w="246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Federal Reserve Regulations</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3.21</w:t>
            </w:r>
          </w:p>
        </w:tc>
        <w:tc>
          <w:tcPr>
            <w:tcW w:w="316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Anti-Corruption and Sanctions Laws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5"/>
          </w:tcPr>
          <w:p>
            <w:pPr>
              <w:jc w:val="center"/>
              <w:ind w:right="1100"/>
              <w:spacing w:after="0"/>
              <w:rPr>
                <w:sz w:val="20"/>
                <w:szCs w:val="20"/>
                <w:color w:val="auto"/>
              </w:rPr>
            </w:pPr>
            <w:r>
              <w:rPr>
                <w:rFonts w:ascii="Times New Roman" w:cs="Times New Roman" w:eastAsia="Times New Roman" w:hAnsi="Times New Roman"/>
                <w:sz w:val="20"/>
                <w:szCs w:val="20"/>
                <w:color w:val="auto"/>
                <w:w w:val="97"/>
              </w:rPr>
              <w:t>ARTICLE IV</w:t>
            </w:r>
          </w:p>
        </w:tc>
        <w:tc>
          <w:tcPr>
            <w:tcW w:w="0" w:type="dxa"/>
            <w:vAlign w:val="bottom"/>
          </w:tcPr>
          <w:p>
            <w:pPr>
              <w:spacing w:after="0"/>
              <w:rPr>
                <w:sz w:val="1"/>
                <w:szCs w:val="1"/>
                <w:color w:val="auto"/>
              </w:rPr>
            </w:pPr>
          </w:p>
        </w:tc>
      </w:tr>
      <w:tr>
        <w:trPr>
          <w:trHeight w:val="472"/>
        </w:trPr>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5"/>
          </w:tcPr>
          <w:p>
            <w:pPr>
              <w:jc w:val="center"/>
              <w:ind w:right="1100"/>
              <w:spacing w:after="0"/>
              <w:rPr>
                <w:sz w:val="20"/>
                <w:szCs w:val="20"/>
                <w:color w:val="auto"/>
              </w:rPr>
            </w:pPr>
            <w:r>
              <w:rPr>
                <w:rFonts w:ascii="Times New Roman" w:cs="Times New Roman" w:eastAsia="Times New Roman" w:hAnsi="Times New Roman"/>
                <w:sz w:val="20"/>
                <w:szCs w:val="20"/>
                <w:color w:val="auto"/>
                <w:w w:val="98"/>
              </w:rPr>
              <w:t>CONDITIONS</w:t>
            </w:r>
          </w:p>
        </w:tc>
        <w:tc>
          <w:tcPr>
            <w:tcW w:w="0" w:type="dxa"/>
            <w:vAlign w:val="bottom"/>
          </w:tcPr>
          <w:p>
            <w:pPr>
              <w:spacing w:after="0"/>
              <w:rPr>
                <w:sz w:val="1"/>
                <w:szCs w:val="1"/>
                <w:color w:val="auto"/>
              </w:rPr>
            </w:pPr>
          </w:p>
        </w:tc>
      </w:tr>
      <w:tr>
        <w:trPr>
          <w:trHeight w:val="4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4.01</w:t>
            </w:r>
          </w:p>
        </w:tc>
        <w:tc>
          <w:tcPr>
            <w:tcW w:w="316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w w:val="99"/>
              </w:rPr>
              <w:t>Conditions Precedent to Effectiveness</w:t>
            </w:r>
          </w:p>
        </w:tc>
        <w:tc>
          <w:tcPr>
            <w:tcW w:w="720" w:type="dxa"/>
            <w:vAlign w:val="bottom"/>
            <w:gridSpan w:val="3"/>
          </w:tcPr>
          <w:p>
            <w:pPr>
              <w:jc w:val="right"/>
              <w:ind w:right="181"/>
              <w:spacing w:after="0"/>
              <w:rPr>
                <w:sz w:val="20"/>
                <w:szCs w:val="20"/>
                <w:color w:val="auto"/>
              </w:rPr>
            </w:pPr>
            <w:r>
              <w:rPr>
                <w:rFonts w:ascii="Times New Roman" w:cs="Times New Roman" w:eastAsia="Times New Roman" w:hAnsi="Times New Roman"/>
                <w:sz w:val="20"/>
                <w:szCs w:val="20"/>
                <w:color w:val="auto"/>
              </w:rPr>
              <w:t>132</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4.02</w:t>
            </w:r>
          </w:p>
        </w:tc>
        <w:tc>
          <w:tcPr>
            <w:tcW w:w="6080" w:type="dxa"/>
            <w:vAlign w:val="bottom"/>
            <w:gridSpan w:val="18"/>
          </w:tcPr>
          <w:p>
            <w:pPr>
              <w:ind w:left="100"/>
              <w:spacing w:after="0"/>
              <w:rPr>
                <w:sz w:val="20"/>
                <w:szCs w:val="20"/>
                <w:color w:val="auto"/>
              </w:rPr>
            </w:pPr>
            <w:r>
              <w:rPr>
                <w:rFonts w:ascii="Times New Roman" w:cs="Times New Roman" w:eastAsia="Times New Roman" w:hAnsi="Times New Roman"/>
                <w:sz w:val="20"/>
                <w:szCs w:val="20"/>
                <w:color w:val="auto"/>
              </w:rPr>
              <w:t>Conditions Precedent to Each Loan and Letter of Credit  135</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5.01</w:t>
            </w:r>
          </w:p>
        </w:tc>
        <w:tc>
          <w:tcPr>
            <w:tcW w:w="36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8"/>
              </w:rPr>
              <w:t>Financial Statements and Other Information</w:t>
            </w:r>
          </w:p>
        </w:tc>
        <w:tc>
          <w:tcPr>
            <w:tcW w:w="60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135</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5.02</w:t>
            </w: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Notices of Material Events</w:t>
            </w:r>
          </w:p>
        </w:tc>
        <w:tc>
          <w:tcPr>
            <w:tcW w:w="60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138</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5.03</w:t>
            </w:r>
          </w:p>
        </w:tc>
        <w:tc>
          <w:tcPr>
            <w:tcW w:w="36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Existence; Conduct of Business  138</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5.04</w:t>
            </w:r>
          </w:p>
        </w:tc>
        <w:tc>
          <w:tcPr>
            <w:tcW w:w="15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Payment of Taxes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320" w:type="dxa"/>
            <w:vAlign w:val="bottom"/>
          </w:tcPr>
          <w:p>
            <w:pPr>
              <w:spacing w:after="0"/>
              <w:rPr>
                <w:sz w:val="19"/>
                <w:szCs w:val="1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3"/>
              </w:rPr>
              <w:t>139</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5.05</w:t>
            </w:r>
          </w:p>
        </w:tc>
        <w:tc>
          <w:tcPr>
            <w:tcW w:w="2400" w:type="dxa"/>
            <w:vAlign w:val="bottom"/>
            <w:gridSpan w:val="3"/>
          </w:tcPr>
          <w:p>
            <w:pPr>
              <w:ind w:left="120"/>
              <w:spacing w:after="0" w:line="212" w:lineRule="exact"/>
              <w:rPr>
                <w:sz w:val="20"/>
                <w:szCs w:val="20"/>
                <w:color w:val="auto"/>
              </w:rPr>
            </w:pPr>
            <w:r>
              <w:rPr>
                <w:rFonts w:ascii="Times New Roman" w:cs="Times New Roman" w:eastAsia="Times New Roman" w:hAnsi="Times New Roman"/>
                <w:sz w:val="20"/>
                <w:szCs w:val="20"/>
                <w:color w:val="auto"/>
              </w:rPr>
              <w:t>Maintenance of Properties</w:t>
            </w:r>
          </w:p>
        </w:tc>
        <w:tc>
          <w:tcPr>
            <w:tcW w:w="300" w:type="dxa"/>
            <w:vAlign w:val="bottom"/>
            <w:vMerge w:val="continue"/>
          </w:tcPr>
          <w:p>
            <w:pPr>
              <w:spacing w:after="0"/>
              <w:rPr>
                <w:sz w:val="18"/>
                <w:szCs w:val="18"/>
                <w:color w:val="auto"/>
              </w:rPr>
            </w:pPr>
          </w:p>
        </w:tc>
        <w:tc>
          <w:tcPr>
            <w:tcW w:w="30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93"/>
              </w:rPr>
              <w:t>138</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5.06</w:t>
            </w:r>
          </w:p>
        </w:tc>
        <w:tc>
          <w:tcPr>
            <w:tcW w:w="420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Books and Records; Inspection Rights  139</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5.07</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Maintenance of Ratings</w:t>
            </w:r>
          </w:p>
        </w:tc>
        <w:tc>
          <w:tcPr>
            <w:tcW w:w="62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139</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5.08</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Compliance with Laws</w:t>
            </w:r>
          </w:p>
        </w:tc>
        <w:tc>
          <w:tcPr>
            <w:tcW w:w="62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139</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5.09</w:t>
            </w:r>
          </w:p>
        </w:tc>
        <w:tc>
          <w:tcPr>
            <w:tcW w:w="1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Use of Proceeds</w:t>
            </w: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139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5.10</w:t>
            </w:r>
          </w:p>
        </w:tc>
        <w:tc>
          <w:tcPr>
            <w:tcW w:w="1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Insurance  140</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3"/>
              </w:rPr>
              <w:t>141</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3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5.11</w:t>
            </w:r>
          </w:p>
        </w:tc>
        <w:tc>
          <w:tcPr>
            <w:tcW w:w="3600" w:type="dxa"/>
            <w:vAlign w:val="bottom"/>
            <w:gridSpan w:val="6"/>
          </w:tcPr>
          <w:p>
            <w:pPr>
              <w:ind w:left="100"/>
              <w:spacing w:after="0" w:line="212" w:lineRule="exact"/>
              <w:rPr>
                <w:sz w:val="20"/>
                <w:szCs w:val="20"/>
                <w:color w:val="auto"/>
              </w:rPr>
            </w:pPr>
            <w:r>
              <w:rPr>
                <w:rFonts w:ascii="Times New Roman" w:cs="Times New Roman" w:eastAsia="Times New Roman" w:hAnsi="Times New Roman"/>
                <w:sz w:val="20"/>
                <w:szCs w:val="20"/>
                <w:color w:val="auto"/>
              </w:rPr>
              <w:t>Additional Collateral; Further Assurances</w:t>
            </w:r>
          </w:p>
        </w:tc>
        <w:tc>
          <w:tcPr>
            <w:tcW w:w="300" w:type="dxa"/>
            <w:vAlign w:val="bottom"/>
            <w:vMerge w:val="continue"/>
          </w:tcPr>
          <w:p>
            <w:pPr>
              <w:spacing w:after="0"/>
              <w:rPr>
                <w:sz w:val="18"/>
                <w:szCs w:val="18"/>
                <w:color w:val="auto"/>
              </w:rPr>
            </w:pPr>
          </w:p>
        </w:tc>
        <w:tc>
          <w:tcPr>
            <w:tcW w:w="30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93"/>
              </w:rPr>
              <w:t>140</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5.12</w:t>
            </w: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Post-Closing Requirements</w:t>
            </w:r>
          </w:p>
        </w:tc>
        <w:tc>
          <w:tcPr>
            <w:tcW w:w="60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143</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21" w:right="339" w:bottom="1440" w:gutter="0" w:footer="0" w:header="0"/>
          <w:type w:val="continuous"/>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color w:val="auto"/>
                <w:w w:val="97"/>
              </w:rPr>
              <w:t>ARTICLE VI</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40" w:type="dxa"/>
            <w:vAlign w:val="bottom"/>
            <w:gridSpan w:val="7"/>
          </w:tcPr>
          <w:p>
            <w:pPr>
              <w:jc w:val="center"/>
              <w:ind w:right="2481"/>
              <w:spacing w:after="0"/>
              <w:rPr>
                <w:sz w:val="20"/>
                <w:szCs w:val="20"/>
                <w:color w:val="auto"/>
              </w:rPr>
            </w:pPr>
            <w:r>
              <w:rPr>
                <w:rFonts w:ascii="Times New Roman" w:cs="Times New Roman" w:eastAsia="Times New Roman" w:hAnsi="Times New Roman"/>
                <w:sz w:val="20"/>
                <w:szCs w:val="20"/>
                <w:color w:val="auto"/>
                <w:w w:val="97"/>
              </w:rPr>
              <w:t>NEGATIVE COVENANTS</w:t>
            </w:r>
          </w:p>
        </w:tc>
        <w:tc>
          <w:tcPr>
            <w:tcW w:w="0" w:type="dxa"/>
            <w:vAlign w:val="bottom"/>
          </w:tcPr>
          <w:p>
            <w:pPr>
              <w:spacing w:after="0"/>
              <w:rPr>
                <w:sz w:val="1"/>
                <w:szCs w:val="1"/>
                <w:color w:val="auto"/>
              </w:rPr>
            </w:pPr>
          </w:p>
        </w:tc>
      </w:tr>
      <w:tr>
        <w:trPr>
          <w:trHeight w:val="4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6.01</w:t>
            </w:r>
          </w:p>
        </w:tc>
        <w:tc>
          <w:tcPr>
            <w:tcW w:w="830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w w:val="99"/>
              </w:rPr>
              <w:t>Limitation on Incurrence of Indebtedness and Issuance of Disqualified Stock and Preferred Stock  143</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17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w w:val="99"/>
              </w:rPr>
              <w:t>Limitation on Liens</w:t>
            </w:r>
          </w:p>
        </w:tc>
        <w:tc>
          <w:tcPr>
            <w:tcW w:w="1160" w:type="dxa"/>
            <w:vAlign w:val="bottom"/>
            <w:gridSpan w:val="4"/>
          </w:tcPr>
          <w:p>
            <w:pPr>
              <w:jc w:val="right"/>
              <w:ind w:right="601"/>
              <w:spacing w:after="0"/>
              <w:rPr>
                <w:sz w:val="20"/>
                <w:szCs w:val="20"/>
                <w:color w:val="auto"/>
              </w:rPr>
            </w:pPr>
            <w:r>
              <w:rPr>
                <w:rFonts w:ascii="Times New Roman" w:cs="Times New Roman" w:eastAsia="Times New Roman" w:hAnsi="Times New Roman"/>
                <w:sz w:val="20"/>
                <w:szCs w:val="20"/>
                <w:color w:val="auto"/>
              </w:rPr>
              <w:t>151</w:t>
            </w: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6.03</w:t>
            </w:r>
          </w:p>
        </w:tc>
        <w:tc>
          <w:tcPr>
            <w:tcW w:w="5200" w:type="dxa"/>
            <w:vAlign w:val="bottom"/>
            <w:gridSpan w:val="14"/>
          </w:tcPr>
          <w:p>
            <w:pPr>
              <w:ind w:left="100"/>
              <w:spacing w:after="0"/>
              <w:rPr>
                <w:sz w:val="20"/>
                <w:szCs w:val="20"/>
                <w:color w:val="auto"/>
              </w:rPr>
            </w:pPr>
            <w:r>
              <w:rPr>
                <w:rFonts w:ascii="Times New Roman" w:cs="Times New Roman" w:eastAsia="Times New Roman" w:hAnsi="Times New Roman"/>
                <w:sz w:val="20"/>
                <w:szCs w:val="20"/>
                <w:color w:val="auto"/>
                <w:w w:val="98"/>
              </w:rPr>
              <w:t>Merger, Consolidation or Sale of All or Substantially All Assets</w:t>
            </w:r>
          </w:p>
        </w:tc>
        <w:tc>
          <w:tcPr>
            <w:tcW w:w="3100" w:type="dxa"/>
            <w:vAlign w:val="bottom"/>
          </w:tcPr>
          <w:p>
            <w:pPr>
              <w:jc w:val="right"/>
              <w:ind w:right="2541"/>
              <w:spacing w:after="0"/>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6.04</w:t>
            </w:r>
          </w:p>
        </w:tc>
        <w:tc>
          <w:tcPr>
            <w:tcW w:w="286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w w:val="98"/>
              </w:rPr>
              <w:t>Limitation on Restricted Payments</w:t>
            </w:r>
          </w:p>
        </w:tc>
        <w:tc>
          <w:tcPr>
            <w:tcW w:w="78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155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6.05</w:t>
            </w:r>
          </w:p>
        </w:tc>
        <w:tc>
          <w:tcPr>
            <w:tcW w:w="364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Limitations on Transactions with Affiliates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158</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6.06</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Dispositions</w:t>
            </w:r>
          </w:p>
        </w:tc>
        <w:tc>
          <w:tcPr>
            <w:tcW w:w="48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6.07</w:t>
            </w:r>
          </w:p>
        </w:tc>
        <w:tc>
          <w:tcPr>
            <w:tcW w:w="830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rPr>
              <w:t>Limitation on Investments and Designation of Unrestricted Subsidiaries  162</w:t>
            </w:r>
          </w:p>
        </w:tc>
        <w:tc>
          <w:tcPr>
            <w:tcW w:w="0" w:type="dxa"/>
            <w:vAlign w:val="bottom"/>
          </w:tcPr>
          <w:p>
            <w:pPr>
              <w:spacing w:after="0"/>
              <w:rPr>
                <w:sz w:val="1"/>
                <w:szCs w:val="1"/>
                <w:color w:val="auto"/>
              </w:rPr>
            </w:pPr>
          </w:p>
        </w:tc>
      </w:tr>
      <w:tr>
        <w:trPr>
          <w:trHeight w:val="225"/>
        </w:trPr>
        <w:tc>
          <w:tcPr>
            <w:tcW w:w="13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SECTION 6.08</w:t>
            </w:r>
          </w:p>
        </w:tc>
        <w:tc>
          <w:tcPr>
            <w:tcW w:w="8300" w:type="dxa"/>
            <w:vAlign w:val="bottom"/>
            <w:gridSpan w:val="15"/>
          </w:tcPr>
          <w:p>
            <w:pPr>
              <w:ind w:left="100"/>
              <w:spacing w:after="0" w:line="226" w:lineRule="exact"/>
              <w:rPr>
                <w:sz w:val="20"/>
                <w:szCs w:val="20"/>
                <w:color w:val="auto"/>
              </w:rPr>
            </w:pPr>
            <w:r>
              <w:rPr>
                <w:rFonts w:ascii="Times New Roman" w:cs="Times New Roman" w:eastAsia="Times New Roman" w:hAnsi="Times New Roman"/>
                <w:sz w:val="20"/>
                <w:szCs w:val="20"/>
                <w:color w:val="auto"/>
              </w:rPr>
              <w:t>Dividends and Other Payment Restrictions Affecting Restricted Subsidiaries  163</w:t>
            </w:r>
          </w:p>
        </w:tc>
        <w:tc>
          <w:tcPr>
            <w:tcW w:w="0" w:type="dxa"/>
            <w:vAlign w:val="bottom"/>
          </w:tcPr>
          <w:p>
            <w:pPr>
              <w:spacing w:after="0"/>
              <w:rPr>
                <w:sz w:val="1"/>
                <w:szCs w:val="1"/>
                <w:color w:val="auto"/>
              </w:rPr>
            </w:pPr>
          </w:p>
        </w:tc>
      </w:tr>
      <w:tr>
        <w:trPr>
          <w:trHeight w:val="216"/>
        </w:trPr>
        <w:tc>
          <w:tcPr>
            <w:tcW w:w="13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SECTION 6.09</w:t>
            </w:r>
          </w:p>
        </w:tc>
        <w:tc>
          <w:tcPr>
            <w:tcW w:w="3640" w:type="dxa"/>
            <w:vAlign w:val="bottom"/>
            <w:gridSpan w:val="10"/>
          </w:tcPr>
          <w:p>
            <w:pPr>
              <w:ind w:left="80"/>
              <w:spacing w:after="0" w:line="216" w:lineRule="exact"/>
              <w:rPr>
                <w:sz w:val="20"/>
                <w:szCs w:val="20"/>
                <w:color w:val="auto"/>
              </w:rPr>
            </w:pPr>
            <w:r>
              <w:rPr>
                <w:rFonts w:ascii="Times New Roman" w:cs="Times New Roman" w:eastAsia="Times New Roman" w:hAnsi="Times New Roman"/>
                <w:sz w:val="20"/>
                <w:szCs w:val="20"/>
                <w:color w:val="auto"/>
              </w:rPr>
              <w:t>Amendments to Subordinated Indebtedness</w:t>
            </w:r>
          </w:p>
        </w:tc>
        <w:tc>
          <w:tcPr>
            <w:tcW w:w="3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FF0000"/>
                <w:strike w:val="1"/>
              </w:rPr>
              <w:t>165</w:t>
            </w:r>
          </w:p>
        </w:tc>
        <w:tc>
          <w:tcPr>
            <w:tcW w:w="300" w:type="dxa"/>
            <w:vAlign w:val="bottom"/>
            <w:tcBorders>
              <w:bottom w:val="single" w:sz="8" w:color="0000FF"/>
            </w:tcBorders>
          </w:tcPr>
          <w:p>
            <w:pPr>
              <w:jc w:val="right"/>
              <w:spacing w:after="0" w:line="216" w:lineRule="exact"/>
              <w:rPr>
                <w:sz w:val="20"/>
                <w:szCs w:val="20"/>
                <w:color w:val="auto"/>
              </w:rPr>
            </w:pPr>
            <w:r>
              <w:rPr>
                <w:rFonts w:ascii="Times New Roman" w:cs="Times New Roman" w:eastAsia="Times New Roman" w:hAnsi="Times New Roman"/>
                <w:sz w:val="20"/>
                <w:szCs w:val="20"/>
                <w:color w:val="0000FF"/>
                <w:w w:val="93"/>
              </w:rPr>
              <w:t>164</w:t>
            </w: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6.10</w:t>
            </w:r>
          </w:p>
        </w:tc>
        <w:tc>
          <w:tcPr>
            <w:tcW w:w="364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w w:val="98"/>
              </w:rPr>
              <w:t>Maximum Consolidated Secured Debt Ratio</w:t>
            </w:r>
          </w:p>
        </w:tc>
        <w:tc>
          <w:tcPr>
            <w:tcW w:w="68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rPr>
              <w:t>165</w:t>
            </w:r>
          </w:p>
        </w:tc>
        <w:tc>
          <w:tcPr>
            <w:tcW w:w="8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6.11</w:t>
            </w:r>
          </w:p>
        </w:tc>
        <w:tc>
          <w:tcPr>
            <w:tcW w:w="5200" w:type="dxa"/>
            <w:vAlign w:val="bottom"/>
            <w:gridSpan w:val="14"/>
          </w:tcPr>
          <w:p>
            <w:pPr>
              <w:ind w:left="80"/>
              <w:spacing w:after="0"/>
              <w:rPr>
                <w:sz w:val="20"/>
                <w:szCs w:val="20"/>
                <w:color w:val="auto"/>
              </w:rPr>
            </w:pPr>
            <w:r>
              <w:rPr>
                <w:rFonts w:ascii="Times New Roman" w:cs="Times New Roman" w:eastAsia="Times New Roman" w:hAnsi="Times New Roman"/>
                <w:sz w:val="20"/>
                <w:szCs w:val="20"/>
                <w:color w:val="auto"/>
              </w:rPr>
              <w:t>Business of U.S. Borrower and Restricted Subsidiaries  165</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4"/>
          </w:tcPr>
          <w:p>
            <w:pPr>
              <w:jc w:val="center"/>
              <w:ind w:right="260"/>
              <w:spacing w:after="0"/>
              <w:rPr>
                <w:sz w:val="20"/>
                <w:szCs w:val="20"/>
                <w:color w:val="auto"/>
              </w:rPr>
            </w:pPr>
            <w:r>
              <w:rPr>
                <w:rFonts w:ascii="Times New Roman" w:cs="Times New Roman" w:eastAsia="Times New Roman" w:hAnsi="Times New Roman"/>
                <w:sz w:val="20"/>
                <w:szCs w:val="20"/>
                <w:color w:val="auto"/>
                <w:w w:val="97"/>
              </w:rPr>
              <w:t>ARTICLE VII</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40" w:type="dxa"/>
            <w:vAlign w:val="bottom"/>
            <w:gridSpan w:val="7"/>
          </w:tcPr>
          <w:p>
            <w:pPr>
              <w:jc w:val="center"/>
              <w:ind w:right="2481"/>
              <w:spacing w:after="0"/>
              <w:rPr>
                <w:sz w:val="20"/>
                <w:szCs w:val="20"/>
                <w:color w:val="auto"/>
              </w:rPr>
            </w:pPr>
            <w:r>
              <w:rPr>
                <w:rFonts w:ascii="Times New Roman" w:cs="Times New Roman" w:eastAsia="Times New Roman" w:hAnsi="Times New Roman"/>
                <w:sz w:val="20"/>
                <w:szCs w:val="20"/>
                <w:color w:val="auto"/>
                <w:w w:val="97"/>
              </w:rPr>
              <w:t>EVENTS OF DEFAULT</w:t>
            </w:r>
          </w:p>
        </w:tc>
        <w:tc>
          <w:tcPr>
            <w:tcW w:w="0" w:type="dxa"/>
            <w:vAlign w:val="bottom"/>
          </w:tcPr>
          <w:p>
            <w:pPr>
              <w:spacing w:after="0"/>
              <w:rPr>
                <w:sz w:val="1"/>
                <w:szCs w:val="1"/>
                <w:color w:val="auto"/>
              </w:rPr>
            </w:pPr>
          </w:p>
        </w:tc>
      </w:tr>
      <w:tr>
        <w:trPr>
          <w:trHeight w:val="4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7.01</w:t>
            </w:r>
          </w:p>
        </w:tc>
        <w:tc>
          <w:tcPr>
            <w:tcW w:w="17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Events of Default</w:t>
            </w:r>
          </w:p>
        </w:tc>
        <w:tc>
          <w:tcPr>
            <w:tcW w:w="3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w w:val="86"/>
              </w:rPr>
              <w:t>165</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7.02</w:t>
            </w:r>
          </w:p>
        </w:tc>
        <w:tc>
          <w:tcPr>
            <w:tcW w:w="286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168</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4"/>
          </w:tcPr>
          <w:p>
            <w:pPr>
              <w:jc w:val="center"/>
              <w:ind w:right="260"/>
              <w:spacing w:after="0"/>
              <w:rPr>
                <w:sz w:val="20"/>
                <w:szCs w:val="20"/>
                <w:color w:val="auto"/>
              </w:rPr>
            </w:pPr>
            <w:r>
              <w:rPr>
                <w:rFonts w:ascii="Times New Roman" w:cs="Times New Roman" w:eastAsia="Times New Roman" w:hAnsi="Times New Roman"/>
                <w:sz w:val="20"/>
                <w:szCs w:val="20"/>
                <w:color w:val="auto"/>
                <w:w w:val="98"/>
              </w:rPr>
              <w:t>ARTICLE VIII</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4"/>
          </w:tcPr>
          <w:p>
            <w:pPr>
              <w:jc w:val="center"/>
              <w:ind w:right="260"/>
              <w:spacing w:after="0"/>
              <w:rPr>
                <w:sz w:val="20"/>
                <w:szCs w:val="20"/>
                <w:color w:val="auto"/>
              </w:rPr>
            </w:pPr>
            <w:r>
              <w:rPr>
                <w:rFonts w:ascii="Times New Roman" w:cs="Times New Roman" w:eastAsia="Times New Roman" w:hAnsi="Times New Roman"/>
                <w:sz w:val="20"/>
                <w:szCs w:val="20"/>
                <w:color w:val="auto"/>
                <w:w w:val="98"/>
              </w:rPr>
              <w:t>THE AGENT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8.01</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Credit Bidding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8.02</w:t>
            </w:r>
          </w:p>
        </w:tc>
        <w:tc>
          <w:tcPr>
            <w:tcW w:w="17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Withholding Taxes</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173</w:t>
            </w: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color w:val="auto"/>
                <w:w w:val="97"/>
              </w:rPr>
              <w:t>ARTICLE IX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6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8"/>
              </w:rPr>
              <w:t>MISCELLANEOUS</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9.01</w:t>
            </w:r>
          </w:p>
        </w:tc>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9.02</w:t>
            </w:r>
          </w:p>
        </w:tc>
        <w:tc>
          <w:tcPr>
            <w:tcW w:w="21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Waivers; Amendments</w:t>
            </w:r>
          </w:p>
        </w:tc>
        <w:tc>
          <w:tcPr>
            <w:tcW w:w="76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w w:val="93"/>
              </w:rPr>
              <w:t>177</w:t>
            </w:r>
          </w:p>
        </w:tc>
        <w:tc>
          <w:tcPr>
            <w:tcW w:w="480" w:type="dxa"/>
            <w:vAlign w:val="bottom"/>
          </w:tcPr>
          <w:p>
            <w:pPr>
              <w:spacing w:after="0"/>
              <w:rPr>
                <w:sz w:val="19"/>
                <w:szCs w:val="1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3"/>
              </w:rPr>
              <w:t>181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9.03</w:t>
            </w:r>
          </w:p>
        </w:tc>
        <w:tc>
          <w:tcPr>
            <w:tcW w:w="3340" w:type="dxa"/>
            <w:vAlign w:val="bottom"/>
            <w:gridSpan w:val="9"/>
          </w:tcPr>
          <w:p>
            <w:pPr>
              <w:ind w:left="100"/>
              <w:spacing w:after="0" w:line="212" w:lineRule="exact"/>
              <w:rPr>
                <w:sz w:val="20"/>
                <w:szCs w:val="20"/>
                <w:color w:val="auto"/>
              </w:rPr>
            </w:pPr>
            <w:r>
              <w:rPr>
                <w:rFonts w:ascii="Times New Roman" w:cs="Times New Roman" w:eastAsia="Times New Roman" w:hAnsi="Times New Roman"/>
                <w:sz w:val="20"/>
                <w:szCs w:val="20"/>
                <w:color w:val="auto"/>
              </w:rPr>
              <w:t>Expenses; Indemnity; Damage Waiver</w:t>
            </w:r>
          </w:p>
        </w:tc>
        <w:tc>
          <w:tcPr>
            <w:tcW w:w="300" w:type="dxa"/>
            <w:vAlign w:val="bottom"/>
            <w:vMerge w:val="continue"/>
          </w:tcPr>
          <w:p>
            <w:pPr>
              <w:spacing w:after="0"/>
              <w:rPr>
                <w:sz w:val="18"/>
                <w:szCs w:val="18"/>
                <w:color w:val="auto"/>
              </w:rPr>
            </w:pPr>
          </w:p>
        </w:tc>
        <w:tc>
          <w:tcPr>
            <w:tcW w:w="1560" w:type="dxa"/>
            <w:vAlign w:val="bottom"/>
            <w:gridSpan w:val="4"/>
          </w:tcPr>
          <w:p>
            <w:pPr>
              <w:jc w:val="right"/>
              <w:ind w:right="1260"/>
              <w:spacing w:after="0" w:line="212" w:lineRule="exact"/>
              <w:rPr>
                <w:sz w:val="20"/>
                <w:szCs w:val="20"/>
                <w:color w:val="auto"/>
              </w:rPr>
            </w:pPr>
            <w:r>
              <w:rPr>
                <w:rFonts w:ascii="Times New Roman" w:cs="Times New Roman" w:eastAsia="Times New Roman" w:hAnsi="Times New Roman"/>
                <w:sz w:val="20"/>
                <w:szCs w:val="20"/>
                <w:color w:val="0000FF"/>
                <w:w w:val="93"/>
              </w:rPr>
              <w:t>180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9.04</w:t>
            </w:r>
          </w:p>
        </w:tc>
        <w:tc>
          <w:tcPr>
            <w:tcW w:w="21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Successors and Assigns</w:t>
            </w: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182</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9.05</w:t>
            </w:r>
          </w:p>
        </w:tc>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Survival</w:t>
            </w: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186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9.06</w:t>
            </w:r>
          </w:p>
        </w:tc>
        <w:tc>
          <w:tcPr>
            <w:tcW w:w="5200" w:type="dxa"/>
            <w:vAlign w:val="bottom"/>
            <w:gridSpan w:val="14"/>
          </w:tcPr>
          <w:p>
            <w:pPr>
              <w:ind w:left="100"/>
              <w:spacing w:after="0"/>
              <w:rPr>
                <w:sz w:val="20"/>
                <w:szCs w:val="20"/>
                <w:color w:val="auto"/>
              </w:rPr>
            </w:pPr>
            <w:r>
              <w:rPr>
                <w:rFonts w:ascii="Times New Roman" w:cs="Times New Roman" w:eastAsia="Times New Roman" w:hAnsi="Times New Roman"/>
                <w:sz w:val="20"/>
                <w:szCs w:val="20"/>
                <w:color w:val="auto"/>
              </w:rPr>
              <w:t>Counterparts; Integration; Effectiveness; Electronic Execution</w:t>
            </w:r>
          </w:p>
        </w:tc>
        <w:tc>
          <w:tcPr>
            <w:tcW w:w="3100" w:type="dxa"/>
            <w:vAlign w:val="bottom"/>
          </w:tcPr>
          <w:p>
            <w:pPr>
              <w:jc w:val="right"/>
              <w:ind w:right="2681"/>
              <w:spacing w:after="0"/>
              <w:rPr>
                <w:sz w:val="20"/>
                <w:szCs w:val="20"/>
                <w:color w:val="auto"/>
              </w:rPr>
            </w:pPr>
            <w:r>
              <w:rPr>
                <w:rFonts w:ascii="Times New Roman" w:cs="Times New Roman" w:eastAsia="Times New Roman" w:hAnsi="Times New Roman"/>
                <w:sz w:val="20"/>
                <w:szCs w:val="20"/>
                <w:color w:val="auto"/>
                <w:w w:val="99"/>
              </w:rPr>
              <w:t>186</w:t>
            </w:r>
          </w:p>
        </w:tc>
        <w:tc>
          <w:tcPr>
            <w:tcW w:w="0" w:type="dxa"/>
            <w:vAlign w:val="bottom"/>
          </w:tcPr>
          <w:p>
            <w:pPr>
              <w:spacing w:after="0"/>
              <w:rPr>
                <w:sz w:val="1"/>
                <w:szCs w:val="1"/>
                <w:color w:val="auto"/>
              </w:rPr>
            </w:pPr>
          </w:p>
        </w:tc>
      </w:tr>
      <w:tr>
        <w:trPr>
          <w:trHeight w:val="226"/>
        </w:trPr>
        <w:tc>
          <w:tcPr>
            <w:tcW w:w="13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SECTION 9.07</w:t>
            </w:r>
          </w:p>
        </w:tc>
        <w:tc>
          <w:tcPr>
            <w:tcW w:w="1220" w:type="dxa"/>
            <w:vAlign w:val="bottom"/>
            <w:gridSpan w:val="2"/>
          </w:tcPr>
          <w:p>
            <w:pPr>
              <w:ind w:left="100"/>
              <w:spacing w:after="0" w:line="226" w:lineRule="exact"/>
              <w:rPr>
                <w:sz w:val="20"/>
                <w:szCs w:val="20"/>
                <w:color w:val="auto"/>
              </w:rPr>
            </w:pPr>
            <w:r>
              <w:rPr>
                <w:rFonts w:ascii="Times New Roman" w:cs="Times New Roman" w:eastAsia="Times New Roman" w:hAnsi="Times New Roman"/>
                <w:sz w:val="20"/>
                <w:szCs w:val="20"/>
                <w:color w:val="auto"/>
              </w:rPr>
              <w:t>Severability</w:t>
            </w:r>
          </w:p>
        </w:tc>
        <w:tc>
          <w:tcPr>
            <w:tcW w:w="480" w:type="dxa"/>
            <w:vAlign w:val="bottom"/>
            <w:gridSpan w:val="2"/>
          </w:tcPr>
          <w:p>
            <w:pPr>
              <w:jc w:val="right"/>
              <w:ind w:right="61"/>
              <w:spacing w:after="0" w:line="226" w:lineRule="exact"/>
              <w:rPr>
                <w:sz w:val="20"/>
                <w:szCs w:val="20"/>
                <w:color w:val="auto"/>
              </w:rPr>
            </w:pPr>
            <w:r>
              <w:rPr>
                <w:rFonts w:ascii="Times New Roman" w:cs="Times New Roman" w:eastAsia="Times New Roman" w:hAnsi="Times New Roman"/>
                <w:sz w:val="20"/>
                <w:szCs w:val="20"/>
                <w:color w:val="auto"/>
                <w:w w:val="99"/>
              </w:rPr>
              <w:t>186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SECTION 9.08</w:t>
            </w:r>
          </w:p>
        </w:tc>
        <w:tc>
          <w:tcPr>
            <w:tcW w:w="140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0"/>
                <w:szCs w:val="20"/>
                <w:color w:val="auto"/>
              </w:rPr>
              <w:t>Right of Setoff</w:t>
            </w:r>
          </w:p>
        </w:tc>
        <w:tc>
          <w:tcPr>
            <w:tcW w:w="3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FF0000"/>
                <w:strike w:val="1"/>
              </w:rPr>
              <w:t>187</w:t>
            </w:r>
          </w:p>
        </w:tc>
        <w:tc>
          <w:tcPr>
            <w:tcW w:w="300" w:type="dxa"/>
            <w:vAlign w:val="bottom"/>
            <w:tcBorders>
              <w:bottom w:val="single" w:sz="8" w:color="0000FF"/>
            </w:tcBorders>
          </w:tcPr>
          <w:p>
            <w:pPr>
              <w:jc w:val="right"/>
              <w:spacing w:after="0" w:line="216" w:lineRule="exact"/>
              <w:rPr>
                <w:sz w:val="20"/>
                <w:szCs w:val="20"/>
                <w:color w:val="auto"/>
              </w:rPr>
            </w:pPr>
            <w:r>
              <w:rPr>
                <w:rFonts w:ascii="Times New Roman" w:cs="Times New Roman" w:eastAsia="Times New Roman" w:hAnsi="Times New Roman"/>
                <w:sz w:val="20"/>
                <w:szCs w:val="20"/>
                <w:color w:val="0000FF"/>
                <w:w w:val="93"/>
              </w:rPr>
              <w:t>186</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9.09</w:t>
            </w:r>
          </w:p>
        </w:tc>
        <w:tc>
          <w:tcPr>
            <w:tcW w:w="830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rPr>
              <w:t>Governing Law; Jurisdiction; Consent to Service of Process  187</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9.10</w:t>
            </w:r>
          </w:p>
        </w:tc>
        <w:tc>
          <w:tcPr>
            <w:tcW w:w="17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w w:val="96"/>
              </w:rPr>
              <w:t>Waiver of Jury Trial</w:t>
            </w:r>
          </w:p>
        </w:tc>
        <w:tc>
          <w:tcPr>
            <w:tcW w:w="1160" w:type="dxa"/>
            <w:vAlign w:val="bottom"/>
            <w:gridSpan w:val="4"/>
          </w:tcPr>
          <w:p>
            <w:pPr>
              <w:jc w:val="right"/>
              <w:ind w:right="581"/>
              <w:spacing w:after="0"/>
              <w:rPr>
                <w:sz w:val="20"/>
                <w:szCs w:val="20"/>
                <w:color w:val="auto"/>
              </w:rPr>
            </w:pPr>
            <w:r>
              <w:rPr>
                <w:rFonts w:ascii="Times New Roman" w:cs="Times New Roman" w:eastAsia="Times New Roman" w:hAnsi="Times New Roman"/>
                <w:sz w:val="20"/>
                <w:szCs w:val="20"/>
                <w:color w:val="auto"/>
              </w:rPr>
              <w:t>188</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9.11</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Headings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SECTION 9.12</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Confidentiality</w:t>
            </w:r>
          </w:p>
        </w:tc>
        <w:tc>
          <w:tcPr>
            <w:tcW w:w="680" w:type="dxa"/>
            <w:vAlign w:val="bottom"/>
            <w:gridSpan w:val="3"/>
          </w:tcPr>
          <w:p>
            <w:pPr>
              <w:jc w:val="right"/>
              <w:ind w:right="201"/>
              <w:spacing w:after="0"/>
              <w:rPr>
                <w:sz w:val="20"/>
                <w:szCs w:val="20"/>
                <w:color w:val="auto"/>
              </w:rPr>
            </w:pPr>
            <w:r>
              <w:rPr>
                <w:rFonts w:ascii="Times New Roman" w:cs="Times New Roman" w:eastAsia="Times New Roman" w:hAnsi="Times New Roman"/>
                <w:sz w:val="20"/>
                <w:szCs w:val="20"/>
                <w:color w:val="auto"/>
              </w:rPr>
              <w:t>189</w:t>
            </w: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21" w:right="339" w:bottom="1440" w:gutter="0" w:footer="0" w:header="0"/>
          <w:type w:val="continuous"/>
        </w:sectPr>
      </w:pPr>
    </w:p>
    <w:bookmarkStart w:id="145" w:name="page146"/>
    <w:bookmarkEnd w:id="145"/>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9.13</w:t>
            </w:r>
          </w:p>
        </w:tc>
        <w:tc>
          <w:tcPr>
            <w:tcW w:w="4220" w:type="dxa"/>
            <w:vAlign w:val="bottom"/>
            <w:gridSpan w:val="14"/>
          </w:tcPr>
          <w:p>
            <w:pPr>
              <w:ind w:left="60"/>
              <w:spacing w:after="0"/>
              <w:rPr>
                <w:sz w:val="20"/>
                <w:szCs w:val="20"/>
                <w:color w:val="auto"/>
              </w:rPr>
            </w:pPr>
            <w:r>
              <w:rPr>
                <w:rFonts w:ascii="Times New Roman" w:cs="Times New Roman" w:eastAsia="Times New Roman" w:hAnsi="Times New Roman"/>
                <w:sz w:val="20"/>
                <w:szCs w:val="20"/>
                <w:color w:val="auto"/>
                <w:w w:val="99"/>
              </w:rPr>
              <w:t>Several Obligations; Nonreliance; Violation of Law</w:t>
            </w:r>
          </w:p>
        </w:tc>
        <w:tc>
          <w:tcPr>
            <w:tcW w:w="66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189</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SECTION 9.14</w:t>
            </w:r>
          </w:p>
        </w:tc>
        <w:tc>
          <w:tcPr>
            <w:tcW w:w="172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20"/>
                <w:szCs w:val="20"/>
                <w:color w:val="auto"/>
              </w:rPr>
              <w:t>USA PATRIOT Act</w:t>
            </w:r>
          </w:p>
        </w:tc>
        <w:tc>
          <w:tcPr>
            <w:tcW w:w="4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FF0000"/>
                <w:strike w:val="1"/>
              </w:rPr>
              <w:t>190</w:t>
            </w:r>
          </w:p>
        </w:tc>
        <w:tc>
          <w:tcPr>
            <w:tcW w:w="3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0000FF"/>
                <w:w w:val="93"/>
              </w:rPr>
              <w:t>189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9.15</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Disclosure</w:t>
            </w:r>
          </w:p>
        </w:tc>
        <w:tc>
          <w:tcPr>
            <w:tcW w:w="540" w:type="dxa"/>
            <w:vAlign w:val="bottom"/>
            <w:gridSpan w:val="3"/>
          </w:tcPr>
          <w:p>
            <w:pPr>
              <w:jc w:val="right"/>
              <w:ind w:right="101"/>
              <w:spacing w:after="0"/>
              <w:rPr>
                <w:sz w:val="20"/>
                <w:szCs w:val="20"/>
                <w:color w:val="auto"/>
              </w:rPr>
            </w:pPr>
            <w:r>
              <w:rPr>
                <w:rFonts w:ascii="Times New Roman" w:cs="Times New Roman" w:eastAsia="Times New Roman" w:hAnsi="Times New Roman"/>
                <w:sz w:val="20"/>
                <w:szCs w:val="20"/>
                <w:color w:val="auto"/>
              </w:rPr>
              <w:t>190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9.16</w:t>
            </w:r>
          </w:p>
        </w:tc>
        <w:tc>
          <w:tcPr>
            <w:tcW w:w="19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w w:val="99"/>
              </w:rPr>
              <w:t>Interest Rate Limitation</w:t>
            </w:r>
          </w:p>
        </w:tc>
        <w:tc>
          <w:tcPr>
            <w:tcW w:w="720" w:type="dxa"/>
            <w:vAlign w:val="bottom"/>
            <w:gridSpan w:val="5"/>
          </w:tcPr>
          <w:p>
            <w:pPr>
              <w:jc w:val="right"/>
              <w:ind w:right="161"/>
              <w:spacing w:after="0"/>
              <w:rPr>
                <w:sz w:val="20"/>
                <w:szCs w:val="20"/>
                <w:color w:val="auto"/>
              </w:rPr>
            </w:pPr>
            <w:r>
              <w:rPr>
                <w:rFonts w:ascii="Times New Roman" w:cs="Times New Roman" w:eastAsia="Times New Roman" w:hAnsi="Times New Roman"/>
                <w:sz w:val="20"/>
                <w:szCs w:val="20"/>
                <w:color w:val="auto"/>
              </w:rPr>
              <w:t>190</w:t>
            </w: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9.17</w:t>
            </w:r>
          </w:p>
        </w:tc>
        <w:tc>
          <w:tcPr>
            <w:tcW w:w="4220" w:type="dxa"/>
            <w:vAlign w:val="bottom"/>
            <w:gridSpan w:val="14"/>
          </w:tcPr>
          <w:p>
            <w:pPr>
              <w:ind w:left="60"/>
              <w:spacing w:after="0"/>
              <w:rPr>
                <w:sz w:val="20"/>
                <w:szCs w:val="20"/>
                <w:color w:val="auto"/>
              </w:rPr>
            </w:pPr>
            <w:r>
              <w:rPr>
                <w:rFonts w:ascii="Times New Roman" w:cs="Times New Roman" w:eastAsia="Times New Roman" w:hAnsi="Times New Roman"/>
                <w:sz w:val="20"/>
                <w:szCs w:val="20"/>
                <w:color w:val="auto"/>
              </w:rPr>
              <w:t>Material Non-Public Information  190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gridSpan w:val="10"/>
          </w:tcPr>
          <w:p>
            <w:pPr>
              <w:spacing w:after="0" w:line="216" w:lineRule="exact"/>
              <w:rPr>
                <w:sz w:val="20"/>
                <w:szCs w:val="20"/>
                <w:color w:val="auto"/>
              </w:rPr>
            </w:pPr>
            <w:r>
              <w:rPr>
                <w:rFonts w:ascii="Times New Roman" w:cs="Times New Roman" w:eastAsia="Times New Roman" w:hAnsi="Times New Roman"/>
                <w:sz w:val="20"/>
                <w:szCs w:val="20"/>
                <w:color w:val="auto"/>
              </w:rPr>
              <w:t>SECTION 9.18  No Fiduciary Duty, etc.</w:t>
            </w:r>
          </w:p>
        </w:tc>
        <w:tc>
          <w:tcPr>
            <w:tcW w:w="3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FF0000"/>
                <w:strike w:val="1"/>
                <w:w w:val="93"/>
              </w:rPr>
              <w:t>191</w:t>
            </w:r>
          </w:p>
        </w:tc>
        <w:tc>
          <w:tcPr>
            <w:tcW w:w="30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20"/>
                <w:szCs w:val="20"/>
                <w:color w:val="0000FF"/>
                <w:w w:val="86"/>
              </w:rPr>
              <w:t>190</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SECTION 9.19</w:t>
            </w:r>
          </w:p>
        </w:tc>
        <w:tc>
          <w:tcPr>
            <w:tcW w:w="1020" w:type="dxa"/>
            <w:vAlign w:val="bottom"/>
          </w:tcPr>
          <w:p>
            <w:pPr>
              <w:ind w:left="60"/>
              <w:spacing w:after="0" w:line="209" w:lineRule="exact"/>
              <w:rPr>
                <w:sz w:val="20"/>
                <w:szCs w:val="20"/>
                <w:color w:val="auto"/>
              </w:rPr>
            </w:pPr>
            <w:r>
              <w:rPr>
                <w:rFonts w:ascii="Times New Roman" w:cs="Times New Roman" w:eastAsia="Times New Roman" w:hAnsi="Times New Roman"/>
                <w:sz w:val="20"/>
                <w:szCs w:val="20"/>
                <w:color w:val="auto"/>
              </w:rPr>
              <w:t>Keepwell</w:t>
            </w:r>
          </w:p>
        </w:tc>
        <w:tc>
          <w:tcPr>
            <w:tcW w:w="28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6"/>
              </w:rPr>
              <w:t>192</w:t>
            </w:r>
          </w:p>
        </w:tc>
        <w:tc>
          <w:tcPr>
            <w:tcW w:w="300" w:type="dxa"/>
            <w:vAlign w:val="bottom"/>
            <w:tcBorders>
              <w:bottom w:val="single" w:sz="8" w:color="0000FF"/>
            </w:tcBorders>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9.20</w:t>
            </w:r>
          </w:p>
        </w:tc>
        <w:tc>
          <w:tcPr>
            <w:tcW w:w="6260" w:type="dxa"/>
            <w:vAlign w:val="bottom"/>
            <w:gridSpan w:val="18"/>
          </w:tcPr>
          <w:p>
            <w:pPr>
              <w:ind w:left="40"/>
              <w:spacing w:after="0"/>
              <w:rPr>
                <w:sz w:val="20"/>
                <w:szCs w:val="20"/>
                <w:color w:val="auto"/>
              </w:rPr>
            </w:pPr>
            <w:r>
              <w:rPr>
                <w:rFonts w:ascii="Times New Roman" w:cs="Times New Roman" w:eastAsia="Times New Roman" w:hAnsi="Times New Roman"/>
                <w:sz w:val="20"/>
                <w:szCs w:val="20"/>
                <w:color w:val="auto"/>
              </w:rPr>
              <w:t>Acknowledgement and Consent to Bail-In of EEA Financial Institutions  192</w:t>
            </w: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9.21</w:t>
            </w:r>
          </w:p>
        </w:tc>
        <w:tc>
          <w:tcPr>
            <w:tcW w:w="4220" w:type="dxa"/>
            <w:vAlign w:val="bottom"/>
            <w:gridSpan w:val="14"/>
          </w:tcPr>
          <w:p>
            <w:pPr>
              <w:ind w:left="4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660" w:type="dxa"/>
            <w:vAlign w:val="bottom"/>
            <w:gridSpan w:val="3"/>
          </w:tcPr>
          <w:p>
            <w:pPr>
              <w:jc w:val="right"/>
              <w:ind w:right="161"/>
              <w:spacing w:after="0"/>
              <w:rPr>
                <w:sz w:val="20"/>
                <w:szCs w:val="20"/>
                <w:color w:val="auto"/>
              </w:rPr>
            </w:pPr>
            <w:r>
              <w:rPr>
                <w:rFonts w:ascii="Times New Roman" w:cs="Times New Roman" w:eastAsia="Times New Roman" w:hAnsi="Times New Roman"/>
                <w:sz w:val="20"/>
                <w:szCs w:val="20"/>
                <w:color w:val="auto"/>
              </w:rPr>
              <w:t>192</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5"/>
          </w:tcPr>
          <w:p>
            <w:pPr>
              <w:jc w:val="center"/>
              <w:ind w:right="480"/>
              <w:spacing w:after="0"/>
              <w:rPr>
                <w:sz w:val="20"/>
                <w:szCs w:val="20"/>
                <w:color w:val="auto"/>
              </w:rPr>
            </w:pPr>
            <w:r>
              <w:rPr>
                <w:rFonts w:ascii="Times New Roman" w:cs="Times New Roman" w:eastAsia="Times New Roman" w:hAnsi="Times New Roman"/>
                <w:sz w:val="20"/>
                <w:szCs w:val="20"/>
                <w:color w:val="auto"/>
                <w:w w:val="98"/>
              </w:rPr>
              <w:t>ARTICLE X</w:t>
            </w:r>
          </w:p>
        </w:tc>
        <w:tc>
          <w:tcPr>
            <w:tcW w:w="0" w:type="dxa"/>
            <w:vAlign w:val="bottom"/>
          </w:tcPr>
          <w:p>
            <w:pPr>
              <w:spacing w:after="0"/>
              <w:rPr>
                <w:sz w:val="1"/>
                <w:szCs w:val="1"/>
                <w:color w:val="auto"/>
              </w:rPr>
            </w:pPr>
          </w:p>
        </w:tc>
      </w:tr>
      <w:tr>
        <w:trPr>
          <w:trHeight w:val="459"/>
        </w:trPr>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5"/>
          </w:tcPr>
          <w:p>
            <w:pPr>
              <w:jc w:val="center"/>
              <w:ind w:right="500"/>
              <w:spacing w:after="0"/>
              <w:rPr>
                <w:sz w:val="20"/>
                <w:szCs w:val="20"/>
                <w:color w:val="auto"/>
              </w:rPr>
            </w:pPr>
            <w:r>
              <w:rPr>
                <w:rFonts w:ascii="Times New Roman" w:cs="Times New Roman" w:eastAsia="Times New Roman" w:hAnsi="Times New Roman"/>
                <w:sz w:val="20"/>
                <w:szCs w:val="20"/>
                <w:color w:val="auto"/>
                <w:w w:val="99"/>
              </w:rPr>
              <w:t>LOAN GUARANTY</w:t>
            </w:r>
          </w:p>
        </w:tc>
        <w:tc>
          <w:tcPr>
            <w:tcW w:w="0" w:type="dxa"/>
            <w:vAlign w:val="bottom"/>
          </w:tcPr>
          <w:p>
            <w:pPr>
              <w:spacing w:after="0"/>
              <w:rPr>
                <w:sz w:val="1"/>
                <w:szCs w:val="1"/>
                <w:color w:val="auto"/>
              </w:rPr>
            </w:pPr>
          </w:p>
        </w:tc>
      </w:tr>
      <w:tr>
        <w:trPr>
          <w:trHeight w:val="444"/>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10.01</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Guaranty</w:t>
            </w:r>
          </w:p>
        </w:tc>
        <w:tc>
          <w:tcPr>
            <w:tcW w:w="54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w w:val="99"/>
              </w:rPr>
              <w:t>193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10.02</w:t>
            </w:r>
          </w:p>
        </w:tc>
        <w:tc>
          <w:tcPr>
            <w:tcW w:w="198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Guaranty of Payment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3"/>
              </w:rPr>
              <w:t>194</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10.03</w:t>
            </w:r>
          </w:p>
        </w:tc>
        <w:tc>
          <w:tcPr>
            <w:tcW w:w="4220" w:type="dxa"/>
            <w:vAlign w:val="bottom"/>
            <w:gridSpan w:val="14"/>
          </w:tcPr>
          <w:p>
            <w:pPr>
              <w:ind w:left="160"/>
              <w:spacing w:after="0" w:line="212" w:lineRule="exact"/>
              <w:rPr>
                <w:sz w:val="20"/>
                <w:szCs w:val="20"/>
                <w:color w:val="auto"/>
              </w:rPr>
            </w:pPr>
            <w:r>
              <w:rPr>
                <w:rFonts w:ascii="Times New Roman" w:cs="Times New Roman" w:eastAsia="Times New Roman" w:hAnsi="Times New Roman"/>
                <w:sz w:val="20"/>
                <w:szCs w:val="20"/>
                <w:color w:val="auto"/>
              </w:rPr>
              <w:t>No Discharge or Diminishment of Loan Guaranty</w:t>
            </w:r>
          </w:p>
        </w:tc>
        <w:tc>
          <w:tcPr>
            <w:tcW w:w="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8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86"/>
              </w:rPr>
              <w:t>193</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10.04</w:t>
            </w:r>
          </w:p>
        </w:tc>
        <w:tc>
          <w:tcPr>
            <w:tcW w:w="172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Defenses Waived</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194</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3"/>
              </w:rPr>
              <w:t>195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10.05</w:t>
            </w:r>
          </w:p>
        </w:tc>
        <w:tc>
          <w:tcPr>
            <w:tcW w:w="1980" w:type="dxa"/>
            <w:vAlign w:val="bottom"/>
            <w:gridSpan w:val="7"/>
          </w:tcPr>
          <w:p>
            <w:pPr>
              <w:ind w:left="160"/>
              <w:spacing w:after="0" w:line="212" w:lineRule="exact"/>
              <w:rPr>
                <w:sz w:val="20"/>
                <w:szCs w:val="20"/>
                <w:color w:val="auto"/>
              </w:rPr>
            </w:pPr>
            <w:r>
              <w:rPr>
                <w:rFonts w:ascii="Times New Roman" w:cs="Times New Roman" w:eastAsia="Times New Roman" w:hAnsi="Times New Roman"/>
                <w:sz w:val="20"/>
                <w:szCs w:val="20"/>
                <w:color w:val="auto"/>
              </w:rPr>
              <w:t>Rights of Subrogation</w:t>
            </w:r>
          </w:p>
        </w:tc>
        <w:tc>
          <w:tcPr>
            <w:tcW w:w="12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300" w:type="dxa"/>
            <w:vAlign w:val="bottom"/>
            <w:tcBorders>
              <w:bottom w:val="single" w:sz="8" w:color="0000FF"/>
            </w:tcBorders>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0000FF"/>
                <w:w w:val="93"/>
              </w:rPr>
              <w:t>194</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10.06</w:t>
            </w:r>
          </w:p>
        </w:tc>
        <w:tc>
          <w:tcPr>
            <w:tcW w:w="4220" w:type="dxa"/>
            <w:vAlign w:val="bottom"/>
            <w:gridSpan w:val="14"/>
          </w:tcPr>
          <w:p>
            <w:pPr>
              <w:ind w:left="160"/>
              <w:spacing w:after="0"/>
              <w:rPr>
                <w:sz w:val="20"/>
                <w:szCs w:val="20"/>
                <w:color w:val="auto"/>
              </w:rPr>
            </w:pPr>
            <w:r>
              <w:rPr>
                <w:rFonts w:ascii="Times New Roman" w:cs="Times New Roman" w:eastAsia="Times New Roman" w:hAnsi="Times New Roman"/>
                <w:sz w:val="20"/>
                <w:szCs w:val="20"/>
                <w:color w:val="auto"/>
              </w:rPr>
              <w:t>Reinstatement; Stay of Acceleration  195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10.07</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Information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10.08</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1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10.09</w:t>
            </w:r>
          </w:p>
        </w:tc>
        <w:tc>
          <w:tcPr>
            <w:tcW w:w="172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w w:val="97"/>
              </w:rPr>
              <w:t>Maximum Liability</w:t>
            </w:r>
          </w:p>
        </w:tc>
        <w:tc>
          <w:tcPr>
            <w:tcW w:w="680" w:type="dxa"/>
            <w:vAlign w:val="bottom"/>
            <w:gridSpan w:val="4"/>
          </w:tcPr>
          <w:p>
            <w:pPr>
              <w:jc w:val="right"/>
              <w:ind w:right="101"/>
              <w:spacing w:after="0"/>
              <w:rPr>
                <w:sz w:val="20"/>
                <w:szCs w:val="20"/>
                <w:color w:val="auto"/>
              </w:rPr>
            </w:pPr>
            <w:r>
              <w:rPr>
                <w:rFonts w:ascii="Times New Roman" w:cs="Times New Roman" w:eastAsia="Times New Roman" w:hAnsi="Times New Roman"/>
                <w:sz w:val="20"/>
                <w:szCs w:val="20"/>
                <w:color w:val="auto"/>
              </w:rPr>
              <w:t>195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10.10</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Contribution</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195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10.11</w:t>
            </w:r>
          </w:p>
        </w:tc>
        <w:tc>
          <w:tcPr>
            <w:tcW w:w="1980" w:type="dxa"/>
            <w:vAlign w:val="bottom"/>
            <w:gridSpan w:val="7"/>
          </w:tcPr>
          <w:p>
            <w:pPr>
              <w:ind w:left="140"/>
              <w:spacing w:after="0"/>
              <w:rPr>
                <w:sz w:val="20"/>
                <w:szCs w:val="20"/>
                <w:color w:val="auto"/>
              </w:rPr>
            </w:pPr>
            <w:r>
              <w:rPr>
                <w:rFonts w:ascii="Times New Roman" w:cs="Times New Roman" w:eastAsia="Times New Roman" w:hAnsi="Times New Roman"/>
                <w:sz w:val="20"/>
                <w:szCs w:val="20"/>
                <w:color w:val="auto"/>
              </w:rPr>
              <w:t>Liability Cumulative</w:t>
            </w:r>
          </w:p>
        </w:tc>
        <w:tc>
          <w:tcPr>
            <w:tcW w:w="42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w w:val="99"/>
              </w:rPr>
              <w:t>196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10.12</w:t>
            </w:r>
          </w:p>
        </w:tc>
        <w:tc>
          <w:tcPr>
            <w:tcW w:w="4220" w:type="dxa"/>
            <w:vAlign w:val="bottom"/>
            <w:gridSpan w:val="14"/>
          </w:tcPr>
          <w:p>
            <w:pPr>
              <w:ind w:left="160"/>
              <w:spacing w:after="0"/>
              <w:rPr>
                <w:sz w:val="20"/>
                <w:szCs w:val="20"/>
                <w:color w:val="auto"/>
              </w:rPr>
            </w:pPr>
            <w:r>
              <w:rPr>
                <w:rFonts w:ascii="Times New Roman" w:cs="Times New Roman" w:eastAsia="Times New Roman" w:hAnsi="Times New Roman"/>
                <w:sz w:val="20"/>
                <w:szCs w:val="20"/>
                <w:color w:val="auto"/>
              </w:rPr>
              <w:t>Release of Loan Guarantors  196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21" w:right="339" w:bottom="1440" w:gutter="0" w:footer="0" w:header="0"/>
        </w:sectPr>
      </w:pPr>
    </w:p>
    <w:bookmarkStart w:id="146" w:name="page147"/>
    <w:bookmarkEnd w:id="146"/>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SCHEDULES:</w:t>
      </w:r>
    </w:p>
    <w:p>
      <w:pPr>
        <w:spacing w:after="0" w:line="125" w:lineRule="exact"/>
        <w:rPr>
          <w:sz w:val="20"/>
          <w:szCs w:val="20"/>
          <w:color w:val="auto"/>
        </w:rPr>
      </w:pPr>
    </w:p>
    <w:p>
      <w:pPr>
        <w:spacing w:after="0"/>
        <w:tabs>
          <w:tab w:leader="none" w:pos="1020" w:val="left"/>
          <w:tab w:leader="none" w:pos="1420" w:val="left"/>
        </w:tabs>
        <w:rPr>
          <w:sz w:val="20"/>
          <w:szCs w:val="20"/>
          <w:color w:val="auto"/>
        </w:rPr>
      </w:pPr>
      <w:r>
        <w:rPr>
          <w:rFonts w:ascii="Times New Roman" w:cs="Times New Roman" w:eastAsia="Times New Roman" w:hAnsi="Times New Roman"/>
          <w:sz w:val="20"/>
          <w:szCs w:val="20"/>
          <w:color w:val="auto"/>
        </w:rPr>
        <w:t>Schedule I</w:t>
        <w:tab/>
        <w:t>—</w:t>
      </w:r>
      <w:r>
        <w:rPr>
          <w:sz w:val="20"/>
          <w:szCs w:val="20"/>
          <w:color w:val="auto"/>
        </w:rPr>
        <w:tab/>
      </w:r>
      <w:r>
        <w:rPr>
          <w:rFonts w:ascii="Times New Roman" w:cs="Times New Roman" w:eastAsia="Times New Roman" w:hAnsi="Times New Roman"/>
          <w:sz w:val="19"/>
          <w:szCs w:val="19"/>
          <w:color w:val="auto"/>
        </w:rPr>
        <w:t>Commitments</w:t>
      </w:r>
    </w:p>
    <w:p>
      <w:pPr>
        <w:spacing w:after="0" w:line="22" w:lineRule="exact"/>
        <w:rPr>
          <w:sz w:val="20"/>
          <w:szCs w:val="20"/>
          <w:color w:val="auto"/>
        </w:rPr>
      </w:pPr>
    </w:p>
    <w:p>
      <w:pPr>
        <w:spacing w:after="0"/>
        <w:tabs>
          <w:tab w:leader="none" w:pos="1520" w:val="left"/>
          <w:tab w:leader="none" w:pos="1920" w:val="left"/>
        </w:tabs>
        <w:rPr>
          <w:sz w:val="20"/>
          <w:szCs w:val="20"/>
          <w:color w:val="auto"/>
        </w:rPr>
      </w:pPr>
      <w:r>
        <w:rPr>
          <w:rFonts w:ascii="Times New Roman" w:cs="Times New Roman" w:eastAsia="Times New Roman" w:hAnsi="Times New Roman"/>
          <w:sz w:val="20"/>
          <w:szCs w:val="20"/>
          <w:color w:val="auto"/>
        </w:rPr>
        <w:t>Schedule 1.01(a)</w:t>
        <w:tab/>
        <w:t>—</w:t>
      </w:r>
      <w:r>
        <w:rPr>
          <w:sz w:val="20"/>
          <w:szCs w:val="20"/>
          <w:color w:val="auto"/>
        </w:rPr>
        <w:tab/>
      </w:r>
      <w:r>
        <w:rPr>
          <w:rFonts w:ascii="Times New Roman" w:cs="Times New Roman" w:eastAsia="Times New Roman" w:hAnsi="Times New Roman"/>
          <w:sz w:val="19"/>
          <w:szCs w:val="19"/>
          <w:color w:val="auto"/>
        </w:rPr>
        <w:t>Immaterial Subsidiaries</w:t>
      </w:r>
    </w:p>
    <w:p>
      <w:pPr>
        <w:spacing w:after="0" w:line="6" w:lineRule="exact"/>
        <w:rPr>
          <w:sz w:val="20"/>
          <w:szCs w:val="20"/>
          <w:color w:val="auto"/>
        </w:rPr>
      </w:pPr>
    </w:p>
    <w:p>
      <w:pPr>
        <w:spacing w:after="0"/>
        <w:tabs>
          <w:tab w:leader="none" w:pos="1540" w:val="left"/>
          <w:tab w:leader="none" w:pos="1940" w:val="left"/>
        </w:tabs>
        <w:rPr>
          <w:sz w:val="20"/>
          <w:szCs w:val="20"/>
          <w:color w:val="auto"/>
        </w:rPr>
      </w:pPr>
      <w:r>
        <w:rPr>
          <w:rFonts w:ascii="Times New Roman" w:cs="Times New Roman" w:eastAsia="Times New Roman" w:hAnsi="Times New Roman"/>
          <w:sz w:val="20"/>
          <w:szCs w:val="20"/>
          <w:color w:val="auto"/>
        </w:rPr>
        <w:t>Schedule 1.01(b)</w:t>
        <w:tab/>
        <w:t>—</w:t>
      </w:r>
      <w:r>
        <w:rPr>
          <w:sz w:val="20"/>
          <w:szCs w:val="20"/>
          <w:color w:val="auto"/>
        </w:rPr>
        <w:tab/>
      </w:r>
      <w:r>
        <w:rPr>
          <w:rFonts w:ascii="Times New Roman" w:cs="Times New Roman" w:eastAsia="Times New Roman" w:hAnsi="Times New Roman"/>
          <w:sz w:val="19"/>
          <w:szCs w:val="19"/>
          <w:color w:val="auto"/>
        </w:rPr>
        <w:t>Mortgaged Properties</w:t>
      </w:r>
    </w:p>
    <w:p>
      <w:pPr>
        <w:spacing w:after="0" w:line="6" w:lineRule="exact"/>
        <w:rPr>
          <w:sz w:val="20"/>
          <w:szCs w:val="20"/>
          <w:color w:val="auto"/>
        </w:rPr>
      </w:pPr>
    </w:p>
    <w:p>
      <w:pPr>
        <w:ind w:right="3819"/>
        <w:spacing w:after="0" w:line="257" w:lineRule="auto"/>
        <w:rPr>
          <w:sz w:val="20"/>
          <w:szCs w:val="20"/>
          <w:color w:val="auto"/>
        </w:rPr>
      </w:pPr>
      <w:r>
        <w:rPr>
          <w:rFonts w:ascii="Times New Roman" w:cs="Times New Roman" w:eastAsia="Times New Roman" w:hAnsi="Times New Roman"/>
          <w:sz w:val="20"/>
          <w:szCs w:val="20"/>
          <w:color w:val="auto"/>
        </w:rPr>
        <w:t>Schedule 3.05(a) — Principal Place of Business and Chief Executive Office Schedule 3.05(f) — Intellectual Property Schedule 3.06 — Disclosed Matters</w:t>
      </w:r>
    </w:p>
    <w:p>
      <w:pPr>
        <w:spacing w:after="0" w:line="223" w:lineRule="exact"/>
        <w:rPr>
          <w:sz w:val="20"/>
          <w:szCs w:val="20"/>
          <w:color w:val="auto"/>
        </w:rPr>
      </w:pPr>
    </w:p>
    <w:p>
      <w:pPr>
        <w:spacing w:after="0"/>
        <w:tabs>
          <w:tab w:leader="none" w:pos="1300" w:val="left"/>
          <w:tab w:leader="none" w:pos="1700" w:val="left"/>
        </w:tabs>
        <w:rPr>
          <w:sz w:val="20"/>
          <w:szCs w:val="20"/>
          <w:color w:val="auto"/>
        </w:rPr>
      </w:pPr>
      <w:r>
        <w:rPr>
          <w:rFonts w:ascii="Times New Roman" w:cs="Times New Roman" w:eastAsia="Times New Roman" w:hAnsi="Times New Roman"/>
          <w:sz w:val="20"/>
          <w:szCs w:val="20"/>
          <w:color w:val="auto"/>
        </w:rPr>
        <w:t>Schedule 3.17</w:t>
        <w:tab/>
        <w:t>—</w:t>
      </w:r>
      <w:r>
        <w:rPr>
          <w:sz w:val="20"/>
          <w:szCs w:val="20"/>
          <w:color w:val="auto"/>
        </w:rPr>
        <w:tab/>
      </w:r>
      <w:r>
        <w:rPr>
          <w:rFonts w:ascii="Times New Roman" w:cs="Times New Roman" w:eastAsia="Times New Roman" w:hAnsi="Times New Roman"/>
          <w:sz w:val="19"/>
          <w:szCs w:val="19"/>
          <w:color w:val="auto"/>
        </w:rPr>
        <w:t>Capitalization and Subsidiaries</w:t>
      </w:r>
    </w:p>
    <w:p>
      <w:pPr>
        <w:spacing w:after="0" w:line="6" w:lineRule="exact"/>
        <w:rPr>
          <w:sz w:val="20"/>
          <w:szCs w:val="20"/>
          <w:color w:val="auto"/>
        </w:rPr>
      </w:pPr>
    </w:p>
    <w:p>
      <w:pPr>
        <w:spacing w:after="0"/>
        <w:tabs>
          <w:tab w:leader="none" w:pos="1300" w:val="left"/>
          <w:tab w:leader="none" w:pos="1700" w:val="left"/>
        </w:tabs>
        <w:rPr>
          <w:sz w:val="20"/>
          <w:szCs w:val="20"/>
          <w:color w:val="auto"/>
        </w:rPr>
      </w:pPr>
      <w:r>
        <w:rPr>
          <w:rFonts w:ascii="Times New Roman" w:cs="Times New Roman" w:eastAsia="Times New Roman" w:hAnsi="Times New Roman"/>
          <w:sz w:val="20"/>
          <w:szCs w:val="20"/>
          <w:color w:val="auto"/>
        </w:rPr>
        <w:t>Schedule 3.19</w:t>
        <w:tab/>
        <w:t>—</w:t>
      </w:r>
      <w:r>
        <w:rPr>
          <w:sz w:val="20"/>
          <w:szCs w:val="20"/>
          <w:color w:val="auto"/>
        </w:rPr>
        <w:tab/>
      </w:r>
      <w:r>
        <w:rPr>
          <w:rFonts w:ascii="Times New Roman" w:cs="Times New Roman" w:eastAsia="Times New Roman" w:hAnsi="Times New Roman"/>
          <w:sz w:val="19"/>
          <w:szCs w:val="19"/>
          <w:color w:val="auto"/>
        </w:rPr>
        <w:t>Labor Disputes</w:t>
      </w:r>
    </w:p>
    <w:p>
      <w:pPr>
        <w:spacing w:after="0" w:line="6" w:lineRule="exact"/>
        <w:rPr>
          <w:sz w:val="20"/>
          <w:szCs w:val="20"/>
          <w:color w:val="auto"/>
        </w:rPr>
      </w:pPr>
    </w:p>
    <w:p>
      <w:pPr>
        <w:spacing w:after="0"/>
        <w:tabs>
          <w:tab w:leader="none" w:pos="1540" w:val="left"/>
          <w:tab w:leader="none" w:pos="1940" w:val="left"/>
        </w:tabs>
        <w:rPr>
          <w:sz w:val="20"/>
          <w:szCs w:val="20"/>
          <w:color w:val="auto"/>
        </w:rPr>
      </w:pPr>
      <w:r>
        <w:rPr>
          <w:rFonts w:ascii="Times New Roman" w:cs="Times New Roman" w:eastAsia="Times New Roman" w:hAnsi="Times New Roman"/>
          <w:sz w:val="20"/>
          <w:szCs w:val="20"/>
          <w:color w:val="auto"/>
        </w:rPr>
        <w:t>Schedule 4.01(b)</w:t>
        <w:tab/>
        <w:t>—</w:t>
      </w:r>
      <w:r>
        <w:rPr>
          <w:sz w:val="20"/>
          <w:szCs w:val="20"/>
          <w:color w:val="auto"/>
        </w:rPr>
        <w:tab/>
      </w:r>
      <w:r>
        <w:rPr>
          <w:rFonts w:ascii="Times New Roman" w:cs="Times New Roman" w:eastAsia="Times New Roman" w:hAnsi="Times New Roman"/>
          <w:sz w:val="19"/>
          <w:szCs w:val="19"/>
          <w:color w:val="auto"/>
        </w:rPr>
        <w:t>Local Counsel</w:t>
      </w:r>
    </w:p>
    <w:p>
      <w:pPr>
        <w:spacing w:after="0" w:line="6" w:lineRule="exact"/>
        <w:rPr>
          <w:sz w:val="20"/>
          <w:szCs w:val="20"/>
          <w:color w:val="auto"/>
        </w:rPr>
      </w:pPr>
    </w:p>
    <w:p>
      <w:pPr>
        <w:spacing w:after="0"/>
        <w:tabs>
          <w:tab w:leader="none" w:pos="1300" w:val="left"/>
          <w:tab w:leader="none" w:pos="1700" w:val="left"/>
        </w:tabs>
        <w:rPr>
          <w:sz w:val="20"/>
          <w:szCs w:val="20"/>
          <w:color w:val="auto"/>
        </w:rPr>
      </w:pPr>
      <w:r>
        <w:rPr>
          <w:rFonts w:ascii="Times New Roman" w:cs="Times New Roman" w:eastAsia="Times New Roman" w:hAnsi="Times New Roman"/>
          <w:sz w:val="20"/>
          <w:szCs w:val="20"/>
          <w:color w:val="auto"/>
        </w:rPr>
        <w:t>Schedule 5.12</w:t>
        <w:tab/>
        <w:t>—</w:t>
      </w:r>
      <w:r>
        <w:rPr>
          <w:sz w:val="20"/>
          <w:szCs w:val="20"/>
          <w:color w:val="auto"/>
        </w:rPr>
        <w:tab/>
      </w:r>
      <w:r>
        <w:rPr>
          <w:rFonts w:ascii="Times New Roman" w:cs="Times New Roman" w:eastAsia="Times New Roman" w:hAnsi="Times New Roman"/>
          <w:sz w:val="19"/>
          <w:szCs w:val="19"/>
          <w:color w:val="auto"/>
        </w:rPr>
        <w:t>Post-Closing Requirements</w:t>
      </w:r>
    </w:p>
    <w:p>
      <w:pPr>
        <w:spacing w:after="0" w:line="13" w:lineRule="exact"/>
        <w:rPr>
          <w:sz w:val="20"/>
          <w:szCs w:val="20"/>
          <w:color w:val="auto"/>
        </w:rPr>
      </w:pPr>
    </w:p>
    <w:p>
      <w:pPr>
        <w:spacing w:after="0"/>
        <w:tabs>
          <w:tab w:leader="none" w:pos="1300" w:val="left"/>
          <w:tab w:leader="none" w:pos="1700" w:val="left"/>
        </w:tabs>
        <w:rPr>
          <w:sz w:val="20"/>
          <w:szCs w:val="20"/>
          <w:color w:val="auto"/>
        </w:rPr>
      </w:pPr>
      <w:r>
        <w:rPr>
          <w:rFonts w:ascii="Times New Roman" w:cs="Times New Roman" w:eastAsia="Times New Roman" w:hAnsi="Times New Roman"/>
          <w:sz w:val="20"/>
          <w:szCs w:val="20"/>
          <w:color w:val="auto"/>
        </w:rPr>
        <w:t>Schedule 6.01</w:t>
        <w:tab/>
        <w:t>—</w:t>
      </w:r>
      <w:r>
        <w:rPr>
          <w:sz w:val="20"/>
          <w:szCs w:val="20"/>
          <w:color w:val="auto"/>
        </w:rPr>
        <w:tab/>
      </w:r>
      <w:r>
        <w:rPr>
          <w:rFonts w:ascii="Times New Roman" w:cs="Times New Roman" w:eastAsia="Times New Roman" w:hAnsi="Times New Roman"/>
          <w:sz w:val="19"/>
          <w:szCs w:val="19"/>
          <w:color w:val="auto"/>
        </w:rPr>
        <w:t>Existing Indebtedness</w:t>
      </w:r>
    </w:p>
    <w:p>
      <w:pPr>
        <w:spacing w:after="0" w:line="6" w:lineRule="exact"/>
        <w:rPr>
          <w:sz w:val="20"/>
          <w:szCs w:val="20"/>
          <w:color w:val="auto"/>
        </w:rPr>
      </w:pPr>
    </w:p>
    <w:p>
      <w:pPr>
        <w:spacing w:after="0"/>
        <w:tabs>
          <w:tab w:leader="none" w:pos="1300" w:val="left"/>
          <w:tab w:leader="none" w:pos="1700" w:val="left"/>
        </w:tabs>
        <w:rPr>
          <w:sz w:val="20"/>
          <w:szCs w:val="20"/>
          <w:color w:val="auto"/>
        </w:rPr>
      </w:pPr>
      <w:r>
        <w:rPr>
          <w:rFonts w:ascii="Times New Roman" w:cs="Times New Roman" w:eastAsia="Times New Roman" w:hAnsi="Times New Roman"/>
          <w:sz w:val="20"/>
          <w:szCs w:val="20"/>
          <w:color w:val="auto"/>
        </w:rPr>
        <w:t>Schedule 6.02</w:t>
        <w:tab/>
        <w:t>—</w:t>
      </w:r>
      <w:r>
        <w:rPr>
          <w:sz w:val="20"/>
          <w:szCs w:val="20"/>
          <w:color w:val="auto"/>
        </w:rPr>
        <w:tab/>
      </w:r>
      <w:r>
        <w:rPr>
          <w:rFonts w:ascii="Times New Roman" w:cs="Times New Roman" w:eastAsia="Times New Roman" w:hAnsi="Times New Roman"/>
          <w:sz w:val="19"/>
          <w:szCs w:val="19"/>
          <w:color w:val="auto"/>
        </w:rPr>
        <w:t>Existing Liens</w:t>
      </w:r>
    </w:p>
    <w:p>
      <w:pPr>
        <w:spacing w:after="0" w:line="6" w:lineRule="exact"/>
        <w:rPr>
          <w:sz w:val="20"/>
          <w:szCs w:val="20"/>
          <w:color w:val="auto"/>
        </w:rPr>
      </w:pPr>
    </w:p>
    <w:p>
      <w:pPr>
        <w:spacing w:after="0"/>
        <w:tabs>
          <w:tab w:leader="none" w:pos="1300" w:val="left"/>
          <w:tab w:leader="none" w:pos="1700" w:val="left"/>
        </w:tabs>
        <w:rPr>
          <w:sz w:val="20"/>
          <w:szCs w:val="20"/>
          <w:color w:val="auto"/>
        </w:rPr>
      </w:pPr>
      <w:r>
        <w:rPr>
          <w:rFonts w:ascii="Times New Roman" w:cs="Times New Roman" w:eastAsia="Times New Roman" w:hAnsi="Times New Roman"/>
          <w:sz w:val="20"/>
          <w:szCs w:val="20"/>
          <w:color w:val="auto"/>
        </w:rPr>
        <w:t>Schedule 6.04</w:t>
        <w:tab/>
        <w:t>—</w:t>
      </w:r>
      <w:r>
        <w:rPr>
          <w:sz w:val="20"/>
          <w:szCs w:val="20"/>
          <w:color w:val="auto"/>
        </w:rPr>
        <w:tab/>
      </w:r>
      <w:r>
        <w:rPr>
          <w:rFonts w:ascii="Times New Roman" w:cs="Times New Roman" w:eastAsia="Times New Roman" w:hAnsi="Times New Roman"/>
          <w:sz w:val="19"/>
          <w:szCs w:val="19"/>
          <w:color w:val="auto"/>
        </w:rPr>
        <w:t>Restricted Payments</w:t>
      </w:r>
    </w:p>
    <w:p>
      <w:pPr>
        <w:spacing w:after="0" w:line="6" w:lineRule="exact"/>
        <w:rPr>
          <w:sz w:val="20"/>
          <w:szCs w:val="20"/>
          <w:color w:val="auto"/>
        </w:rPr>
      </w:pPr>
    </w:p>
    <w:p>
      <w:pPr>
        <w:spacing w:after="0"/>
        <w:tabs>
          <w:tab w:leader="none" w:pos="1300" w:val="left"/>
          <w:tab w:leader="none" w:pos="1700" w:val="left"/>
        </w:tabs>
        <w:rPr>
          <w:sz w:val="20"/>
          <w:szCs w:val="20"/>
          <w:color w:val="auto"/>
        </w:rPr>
      </w:pPr>
      <w:r>
        <w:rPr>
          <w:rFonts w:ascii="Times New Roman" w:cs="Times New Roman" w:eastAsia="Times New Roman" w:hAnsi="Times New Roman"/>
          <w:sz w:val="20"/>
          <w:szCs w:val="20"/>
          <w:color w:val="auto"/>
        </w:rPr>
        <w:t>Schedule 6.05</w:t>
        <w:tab/>
        <w:t>—</w:t>
      </w:r>
      <w:r>
        <w:rPr>
          <w:sz w:val="20"/>
          <w:szCs w:val="20"/>
          <w:color w:val="auto"/>
        </w:rPr>
        <w:tab/>
      </w:r>
      <w:r>
        <w:rPr>
          <w:rFonts w:ascii="Times New Roman" w:cs="Times New Roman" w:eastAsia="Times New Roman" w:hAnsi="Times New Roman"/>
          <w:sz w:val="19"/>
          <w:szCs w:val="19"/>
          <w:color w:val="auto"/>
        </w:rPr>
        <w:t>Existing Affiliate Transactions</w:t>
      </w:r>
    </w:p>
    <w:p>
      <w:pPr>
        <w:spacing w:after="0" w:line="6" w:lineRule="exact"/>
        <w:rPr>
          <w:sz w:val="20"/>
          <w:szCs w:val="20"/>
          <w:color w:val="auto"/>
        </w:rPr>
      </w:pPr>
    </w:p>
    <w:p>
      <w:pPr>
        <w:spacing w:after="0"/>
        <w:tabs>
          <w:tab w:leader="none" w:pos="1300" w:val="left"/>
          <w:tab w:leader="none" w:pos="1700" w:val="left"/>
        </w:tabs>
        <w:rPr>
          <w:sz w:val="20"/>
          <w:szCs w:val="20"/>
          <w:color w:val="auto"/>
        </w:rPr>
      </w:pPr>
      <w:r>
        <w:rPr>
          <w:rFonts w:ascii="Times New Roman" w:cs="Times New Roman" w:eastAsia="Times New Roman" w:hAnsi="Times New Roman"/>
          <w:sz w:val="20"/>
          <w:szCs w:val="20"/>
          <w:color w:val="auto"/>
        </w:rPr>
        <w:t>Schedule 6.07</w:t>
        <w:tab/>
        <w:t>—</w:t>
      </w:r>
      <w:r>
        <w:rPr>
          <w:sz w:val="20"/>
          <w:szCs w:val="20"/>
          <w:color w:val="auto"/>
        </w:rPr>
        <w:tab/>
      </w:r>
      <w:r>
        <w:rPr>
          <w:rFonts w:ascii="Times New Roman" w:cs="Times New Roman" w:eastAsia="Times New Roman" w:hAnsi="Times New Roman"/>
          <w:sz w:val="19"/>
          <w:szCs w:val="19"/>
          <w:color w:val="auto"/>
        </w:rPr>
        <w:t>Existing Investments</w:t>
      </w:r>
    </w:p>
    <w:p>
      <w:pPr>
        <w:spacing w:after="0" w:line="13" w:lineRule="exact"/>
        <w:rPr>
          <w:sz w:val="20"/>
          <w:szCs w:val="20"/>
          <w:color w:val="auto"/>
        </w:rPr>
      </w:pPr>
    </w:p>
    <w:p>
      <w:pPr>
        <w:spacing w:after="0"/>
        <w:tabs>
          <w:tab w:leader="none" w:pos="1300" w:val="left"/>
          <w:tab w:leader="none" w:pos="1700" w:val="left"/>
        </w:tabs>
        <w:rPr>
          <w:sz w:val="20"/>
          <w:szCs w:val="20"/>
          <w:color w:val="auto"/>
        </w:rPr>
      </w:pPr>
      <w:r>
        <w:rPr>
          <w:rFonts w:ascii="Times New Roman" w:cs="Times New Roman" w:eastAsia="Times New Roman" w:hAnsi="Times New Roman"/>
          <w:sz w:val="20"/>
          <w:szCs w:val="20"/>
          <w:color w:val="auto"/>
        </w:rPr>
        <w:t>Schedule 9.01</w:t>
        <w:tab/>
        <w:t>—</w:t>
      </w:r>
      <w:r>
        <w:rPr>
          <w:sz w:val="20"/>
          <w:szCs w:val="20"/>
          <w:color w:val="auto"/>
        </w:rPr>
        <w:tab/>
      </w:r>
      <w:r>
        <w:rPr>
          <w:rFonts w:ascii="Times New Roman" w:cs="Times New Roman" w:eastAsia="Times New Roman" w:hAnsi="Times New Roman"/>
          <w:sz w:val="19"/>
          <w:szCs w:val="19"/>
          <w:color w:val="auto"/>
        </w:rPr>
        <w:t>Borrowers’ Website for Electronic Delivery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233" w:lineRule="exact"/>
        <w:rPr>
          <w:sz w:val="20"/>
          <w:szCs w:val="20"/>
          <w:color w:val="auto"/>
        </w:rPr>
      </w:pPr>
    </w:p>
    <w:p>
      <w:pPr>
        <w:spacing w:after="0"/>
        <w:tabs>
          <w:tab w:leader="none" w:pos="940" w:val="left"/>
          <w:tab w:leader="none" w:pos="1340" w:val="left"/>
        </w:tabs>
        <w:rPr>
          <w:sz w:val="20"/>
          <w:szCs w:val="20"/>
          <w:color w:val="auto"/>
        </w:rPr>
      </w:pPr>
      <w:r>
        <w:rPr>
          <w:rFonts w:ascii="Times New Roman" w:cs="Times New Roman" w:eastAsia="Times New Roman" w:hAnsi="Times New Roman"/>
          <w:sz w:val="20"/>
          <w:szCs w:val="20"/>
          <w:color w:val="auto"/>
        </w:rPr>
        <w:t>Exhibit A</w:t>
        <w:tab/>
        <w:t>—</w:t>
      </w:r>
      <w:r>
        <w:rPr>
          <w:sz w:val="20"/>
          <w:szCs w:val="20"/>
          <w:color w:val="auto"/>
        </w:rPr>
        <w:tab/>
      </w:r>
      <w:r>
        <w:rPr>
          <w:rFonts w:ascii="Times New Roman" w:cs="Times New Roman" w:eastAsia="Times New Roman" w:hAnsi="Times New Roman"/>
          <w:sz w:val="19"/>
          <w:szCs w:val="19"/>
          <w:color w:val="auto"/>
        </w:rPr>
        <w:t>Form of Administrative Questionnaire</w:t>
      </w:r>
    </w:p>
    <w:p>
      <w:pPr>
        <w:spacing w:after="0" w:line="22" w:lineRule="exact"/>
        <w:rPr>
          <w:sz w:val="20"/>
          <w:szCs w:val="20"/>
          <w:color w:val="auto"/>
        </w:rPr>
      </w:pPr>
    </w:p>
    <w:p>
      <w:pPr>
        <w:spacing w:after="0"/>
        <w:tabs>
          <w:tab w:leader="none" w:pos="940" w:val="left"/>
          <w:tab w:leader="none" w:pos="1340" w:val="left"/>
        </w:tabs>
        <w:rPr>
          <w:sz w:val="20"/>
          <w:szCs w:val="20"/>
          <w:color w:val="auto"/>
        </w:rPr>
      </w:pPr>
      <w:r>
        <w:rPr>
          <w:rFonts w:ascii="Times New Roman" w:cs="Times New Roman" w:eastAsia="Times New Roman" w:hAnsi="Times New Roman"/>
          <w:sz w:val="20"/>
          <w:szCs w:val="20"/>
          <w:color w:val="auto"/>
        </w:rPr>
        <w:t>Exhibit B</w:t>
        <w:tab/>
        <w:t>—</w:t>
      </w:r>
      <w:r>
        <w:rPr>
          <w:sz w:val="20"/>
          <w:szCs w:val="20"/>
          <w:color w:val="auto"/>
        </w:rPr>
        <w:tab/>
      </w:r>
      <w:r>
        <w:rPr>
          <w:rFonts w:ascii="Times New Roman" w:cs="Times New Roman" w:eastAsia="Times New Roman" w:hAnsi="Times New Roman"/>
          <w:sz w:val="19"/>
          <w:szCs w:val="19"/>
          <w:color w:val="auto"/>
        </w:rPr>
        <w:t>Form of Assignment and Assumption</w:t>
      </w:r>
    </w:p>
    <w:p>
      <w:pPr>
        <w:spacing w:after="0" w:line="6" w:lineRule="exact"/>
        <w:rPr>
          <w:sz w:val="20"/>
          <w:szCs w:val="20"/>
          <w:color w:val="auto"/>
        </w:rPr>
      </w:pPr>
    </w:p>
    <w:p>
      <w:pPr>
        <w:spacing w:after="0"/>
        <w:tabs>
          <w:tab w:leader="none" w:pos="940" w:val="left"/>
          <w:tab w:leader="none" w:pos="1340" w:val="left"/>
        </w:tabs>
        <w:rPr>
          <w:sz w:val="20"/>
          <w:szCs w:val="20"/>
          <w:color w:val="auto"/>
        </w:rPr>
      </w:pPr>
      <w:r>
        <w:rPr>
          <w:rFonts w:ascii="Times New Roman" w:cs="Times New Roman" w:eastAsia="Times New Roman" w:hAnsi="Times New Roman"/>
          <w:sz w:val="20"/>
          <w:szCs w:val="20"/>
          <w:color w:val="auto"/>
        </w:rPr>
        <w:t>Exhibit C</w:t>
        <w:tab/>
        <w:t>—</w:t>
      </w:r>
      <w:r>
        <w:rPr>
          <w:sz w:val="20"/>
          <w:szCs w:val="20"/>
          <w:color w:val="auto"/>
        </w:rPr>
        <w:tab/>
      </w:r>
      <w:r>
        <w:rPr>
          <w:rFonts w:ascii="Times New Roman" w:cs="Times New Roman" w:eastAsia="Times New Roman" w:hAnsi="Times New Roman"/>
          <w:sz w:val="19"/>
          <w:szCs w:val="19"/>
          <w:color w:val="auto"/>
        </w:rPr>
        <w:t>Form of Compliance Certificate</w:t>
      </w:r>
    </w:p>
    <w:p>
      <w:pPr>
        <w:spacing w:after="0" w:line="6" w:lineRule="exact"/>
        <w:rPr>
          <w:sz w:val="20"/>
          <w:szCs w:val="20"/>
          <w:color w:val="auto"/>
        </w:rPr>
      </w:pPr>
    </w:p>
    <w:p>
      <w:pPr>
        <w:spacing w:after="0"/>
        <w:tabs>
          <w:tab w:leader="none" w:pos="960" w:val="left"/>
          <w:tab w:leader="none" w:pos="1360" w:val="left"/>
        </w:tabs>
        <w:rPr>
          <w:sz w:val="20"/>
          <w:szCs w:val="20"/>
          <w:color w:val="auto"/>
        </w:rPr>
      </w:pPr>
      <w:r>
        <w:rPr>
          <w:rFonts w:ascii="Times New Roman" w:cs="Times New Roman" w:eastAsia="Times New Roman" w:hAnsi="Times New Roman"/>
          <w:sz w:val="20"/>
          <w:szCs w:val="20"/>
          <w:color w:val="auto"/>
        </w:rPr>
        <w:t>Exhibit D</w:t>
        <w:tab/>
        <w:t>—</w:t>
      </w:r>
      <w:r>
        <w:rPr>
          <w:sz w:val="20"/>
          <w:szCs w:val="20"/>
          <w:color w:val="auto"/>
        </w:rPr>
        <w:tab/>
      </w:r>
      <w:r>
        <w:rPr>
          <w:rFonts w:ascii="Times New Roman" w:cs="Times New Roman" w:eastAsia="Times New Roman" w:hAnsi="Times New Roman"/>
          <w:sz w:val="19"/>
          <w:szCs w:val="19"/>
          <w:color w:val="auto"/>
        </w:rPr>
        <w:t>Joinder Agreement</w:t>
      </w:r>
    </w:p>
    <w:p>
      <w:pPr>
        <w:spacing w:after="0" w:line="6" w:lineRule="exact"/>
        <w:rPr>
          <w:sz w:val="20"/>
          <w:szCs w:val="20"/>
          <w:color w:val="auto"/>
        </w:rPr>
      </w:pPr>
    </w:p>
    <w:p>
      <w:pPr>
        <w:spacing w:after="0"/>
        <w:tabs>
          <w:tab w:leader="none" w:pos="940" w:val="left"/>
          <w:tab w:leader="none" w:pos="1340" w:val="left"/>
        </w:tabs>
        <w:rPr>
          <w:sz w:val="20"/>
          <w:szCs w:val="20"/>
          <w:color w:val="auto"/>
        </w:rPr>
      </w:pPr>
      <w:r>
        <w:rPr>
          <w:rFonts w:ascii="Times New Roman" w:cs="Times New Roman" w:eastAsia="Times New Roman" w:hAnsi="Times New Roman"/>
          <w:sz w:val="20"/>
          <w:szCs w:val="20"/>
          <w:color w:val="auto"/>
        </w:rPr>
        <w:t>Exhibit E</w:t>
        <w:tab/>
        <w:t>—</w:t>
      </w:r>
      <w:r>
        <w:rPr>
          <w:sz w:val="20"/>
          <w:szCs w:val="20"/>
          <w:color w:val="auto"/>
        </w:rPr>
        <w:tab/>
      </w:r>
      <w:r>
        <w:rPr>
          <w:rFonts w:ascii="Times New Roman" w:cs="Times New Roman" w:eastAsia="Times New Roman" w:hAnsi="Times New Roman"/>
          <w:sz w:val="19"/>
          <w:szCs w:val="19"/>
          <w:color w:val="auto"/>
        </w:rPr>
        <w:t>Form of Borrowing Request</w:t>
      </w:r>
    </w:p>
    <w:p>
      <w:pPr>
        <w:spacing w:after="0" w:line="13"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20"/>
          <w:szCs w:val="20"/>
          <w:color w:val="auto"/>
        </w:rPr>
        <w:t>Exhibit F-1</w:t>
        <w:tab/>
        <w:t>—</w:t>
      </w:r>
      <w:r>
        <w:rPr>
          <w:sz w:val="20"/>
          <w:szCs w:val="20"/>
          <w:color w:val="auto"/>
        </w:rPr>
        <w:tab/>
      </w:r>
      <w:r>
        <w:rPr>
          <w:rFonts w:ascii="Times New Roman" w:cs="Times New Roman" w:eastAsia="Times New Roman" w:hAnsi="Times New Roman"/>
          <w:sz w:val="19"/>
          <w:szCs w:val="19"/>
          <w:color w:val="auto"/>
        </w:rPr>
        <w:t>Form of Revolving Credit Note</w:t>
      </w:r>
    </w:p>
    <w:p>
      <w:pPr>
        <w:spacing w:after="0" w:line="6"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20"/>
          <w:szCs w:val="20"/>
          <w:color w:val="auto"/>
        </w:rPr>
        <w:t>Exhibit F-2</w:t>
        <w:tab/>
        <w:t>—</w:t>
      </w:r>
      <w:r>
        <w:rPr>
          <w:sz w:val="20"/>
          <w:szCs w:val="20"/>
          <w:color w:val="auto"/>
        </w:rPr>
        <w:tab/>
      </w:r>
      <w:r>
        <w:rPr>
          <w:rFonts w:ascii="Times New Roman" w:cs="Times New Roman" w:eastAsia="Times New Roman" w:hAnsi="Times New Roman"/>
          <w:sz w:val="19"/>
          <w:szCs w:val="19"/>
          <w:color w:val="auto"/>
        </w:rPr>
        <w:t>Form of Term Loan Note</w:t>
      </w:r>
    </w:p>
    <w:p>
      <w:pPr>
        <w:spacing w:after="0" w:line="6" w:lineRule="exact"/>
        <w:rPr>
          <w:sz w:val="20"/>
          <w:szCs w:val="20"/>
          <w:color w:val="auto"/>
        </w:rPr>
      </w:pPr>
    </w:p>
    <w:p>
      <w:pPr>
        <w:spacing w:after="0"/>
        <w:tabs>
          <w:tab w:leader="none" w:pos="960" w:val="left"/>
          <w:tab w:leader="none" w:pos="1360" w:val="left"/>
        </w:tabs>
        <w:rPr>
          <w:sz w:val="20"/>
          <w:szCs w:val="20"/>
          <w:color w:val="auto"/>
        </w:rPr>
      </w:pPr>
      <w:r>
        <w:rPr>
          <w:rFonts w:ascii="Times New Roman" w:cs="Times New Roman" w:eastAsia="Times New Roman" w:hAnsi="Times New Roman"/>
          <w:sz w:val="20"/>
          <w:szCs w:val="20"/>
          <w:color w:val="auto"/>
        </w:rPr>
        <w:t>Exhibit G</w:t>
        <w:tab/>
        <w:t>—</w:t>
      </w:r>
      <w:r>
        <w:rPr>
          <w:sz w:val="20"/>
          <w:szCs w:val="20"/>
          <w:color w:val="auto"/>
        </w:rPr>
        <w:tab/>
      </w:r>
      <w:r>
        <w:rPr>
          <w:rFonts w:ascii="Times New Roman" w:cs="Times New Roman" w:eastAsia="Times New Roman" w:hAnsi="Times New Roman"/>
          <w:sz w:val="19"/>
          <w:szCs w:val="19"/>
          <w:color w:val="auto"/>
        </w:rPr>
        <w:t>Form of Conversion or Continuation Notice</w:t>
      </w:r>
    </w:p>
    <w:p>
      <w:pPr>
        <w:spacing w:after="0" w:line="6" w:lineRule="exact"/>
        <w:rPr>
          <w:sz w:val="20"/>
          <w:szCs w:val="20"/>
          <w:color w:val="auto"/>
        </w:rPr>
      </w:pPr>
    </w:p>
    <w:p>
      <w:pPr>
        <w:spacing w:after="0"/>
        <w:tabs>
          <w:tab w:leader="none" w:pos="960" w:val="left"/>
          <w:tab w:leader="none" w:pos="1360" w:val="left"/>
        </w:tabs>
        <w:rPr>
          <w:sz w:val="20"/>
          <w:szCs w:val="20"/>
          <w:color w:val="auto"/>
        </w:rPr>
      </w:pPr>
      <w:r>
        <w:rPr>
          <w:rFonts w:ascii="Times New Roman" w:cs="Times New Roman" w:eastAsia="Times New Roman" w:hAnsi="Times New Roman"/>
          <w:sz w:val="20"/>
          <w:szCs w:val="20"/>
          <w:color w:val="auto"/>
        </w:rPr>
        <w:t>Exhibit H</w:t>
        <w:tab/>
        <w:t>—</w:t>
      </w:r>
      <w:r>
        <w:rPr>
          <w:sz w:val="20"/>
          <w:szCs w:val="20"/>
          <w:color w:val="auto"/>
        </w:rPr>
        <w:tab/>
      </w:r>
      <w:r>
        <w:rPr>
          <w:rFonts w:ascii="Times New Roman" w:cs="Times New Roman" w:eastAsia="Times New Roman" w:hAnsi="Times New Roman"/>
          <w:sz w:val="19"/>
          <w:szCs w:val="19"/>
          <w:color w:val="auto"/>
        </w:rPr>
        <w:t>Form of First Lien Intercreditor Agreement</w:t>
      </w:r>
    </w:p>
    <w:p>
      <w:pPr>
        <w:spacing w:after="0" w:line="6" w:lineRule="exact"/>
        <w:rPr>
          <w:sz w:val="20"/>
          <w:szCs w:val="20"/>
          <w:color w:val="auto"/>
        </w:rPr>
      </w:pPr>
    </w:p>
    <w:p>
      <w:pPr>
        <w:spacing w:after="0"/>
        <w:tabs>
          <w:tab w:leader="none" w:pos="880" w:val="left"/>
          <w:tab w:leader="none" w:pos="1280" w:val="left"/>
        </w:tabs>
        <w:rPr>
          <w:sz w:val="20"/>
          <w:szCs w:val="20"/>
          <w:color w:val="auto"/>
        </w:rPr>
      </w:pPr>
      <w:r>
        <w:rPr>
          <w:rFonts w:ascii="Times New Roman" w:cs="Times New Roman" w:eastAsia="Times New Roman" w:hAnsi="Times New Roman"/>
          <w:sz w:val="20"/>
          <w:szCs w:val="20"/>
          <w:color w:val="auto"/>
        </w:rPr>
        <w:t>Exhibit I</w:t>
        <w:tab/>
        <w:t>—</w:t>
      </w:r>
      <w:r>
        <w:rPr>
          <w:sz w:val="20"/>
          <w:szCs w:val="20"/>
          <w:color w:val="auto"/>
        </w:rPr>
        <w:tab/>
      </w:r>
      <w:r>
        <w:rPr>
          <w:rFonts w:ascii="Times New Roman" w:cs="Times New Roman" w:eastAsia="Times New Roman" w:hAnsi="Times New Roman"/>
          <w:sz w:val="19"/>
          <w:szCs w:val="19"/>
          <w:color w:val="auto"/>
        </w:rPr>
        <w:t>Form of Junior Lien Intercreditor Agreement</w:t>
      </w:r>
    </w:p>
    <w:p>
      <w:pPr>
        <w:spacing w:after="0" w:line="13" w:lineRule="exact"/>
        <w:rPr>
          <w:sz w:val="20"/>
          <w:szCs w:val="20"/>
          <w:color w:val="auto"/>
        </w:rPr>
      </w:pPr>
    </w:p>
    <w:p>
      <w:pPr>
        <w:spacing w:after="0"/>
        <w:tabs>
          <w:tab w:leader="none" w:pos="1100" w:val="left"/>
          <w:tab w:leader="none" w:pos="1560" w:val="left"/>
        </w:tabs>
        <w:rPr>
          <w:sz w:val="20"/>
          <w:szCs w:val="20"/>
          <w:color w:val="auto"/>
        </w:rPr>
      </w:pPr>
      <w:r>
        <w:rPr>
          <w:rFonts w:ascii="Times New Roman" w:cs="Times New Roman" w:eastAsia="Times New Roman" w:hAnsi="Times New Roman"/>
          <w:sz w:val="20"/>
          <w:szCs w:val="20"/>
          <w:color w:val="auto"/>
        </w:rPr>
        <w:t>Exhibit J-1</w:t>
        <w:tab/>
        <w:t>—</w:t>
      </w:r>
      <w:r>
        <w:rPr>
          <w:sz w:val="20"/>
          <w:szCs w:val="20"/>
          <w:color w:val="auto"/>
        </w:rPr>
        <w:tab/>
      </w:r>
      <w:r>
        <w:rPr>
          <w:rFonts w:ascii="Times New Roman" w:cs="Times New Roman" w:eastAsia="Times New Roman" w:hAnsi="Times New Roman"/>
          <w:sz w:val="19"/>
          <w:szCs w:val="19"/>
          <w:color w:val="auto"/>
        </w:rPr>
        <w:t>Form of U.S. Tax Compliance Certificate</w:t>
      </w:r>
    </w:p>
    <w:p>
      <w:pPr>
        <w:spacing w:after="0" w:line="6" w:lineRule="exact"/>
        <w:rPr>
          <w:sz w:val="20"/>
          <w:szCs w:val="20"/>
          <w:color w:val="auto"/>
        </w:rPr>
      </w:pPr>
    </w:p>
    <w:p>
      <w:pPr>
        <w:spacing w:after="0"/>
        <w:tabs>
          <w:tab w:leader="none" w:pos="1100" w:val="left"/>
          <w:tab w:leader="none" w:pos="1560" w:val="left"/>
        </w:tabs>
        <w:rPr>
          <w:sz w:val="20"/>
          <w:szCs w:val="20"/>
          <w:color w:val="auto"/>
        </w:rPr>
      </w:pPr>
      <w:r>
        <w:rPr>
          <w:rFonts w:ascii="Times New Roman" w:cs="Times New Roman" w:eastAsia="Times New Roman" w:hAnsi="Times New Roman"/>
          <w:sz w:val="20"/>
          <w:szCs w:val="20"/>
          <w:color w:val="auto"/>
        </w:rPr>
        <w:t>Exhibit J-2</w:t>
        <w:tab/>
        <w:t>—</w:t>
      </w:r>
      <w:r>
        <w:rPr>
          <w:sz w:val="20"/>
          <w:szCs w:val="20"/>
          <w:color w:val="auto"/>
        </w:rPr>
        <w:tab/>
      </w:r>
      <w:r>
        <w:rPr>
          <w:rFonts w:ascii="Times New Roman" w:cs="Times New Roman" w:eastAsia="Times New Roman" w:hAnsi="Times New Roman"/>
          <w:sz w:val="19"/>
          <w:szCs w:val="19"/>
          <w:color w:val="auto"/>
        </w:rPr>
        <w:t>Form of U.S. Tax Compliance Certificate</w:t>
      </w:r>
    </w:p>
    <w:p>
      <w:pPr>
        <w:spacing w:after="0" w:line="6" w:lineRule="exact"/>
        <w:rPr>
          <w:sz w:val="20"/>
          <w:szCs w:val="20"/>
          <w:color w:val="auto"/>
        </w:rPr>
      </w:pPr>
    </w:p>
    <w:p>
      <w:pPr>
        <w:spacing w:after="0"/>
        <w:tabs>
          <w:tab w:leader="none" w:pos="1100" w:val="left"/>
          <w:tab w:leader="none" w:pos="1560" w:val="left"/>
        </w:tabs>
        <w:rPr>
          <w:sz w:val="20"/>
          <w:szCs w:val="20"/>
          <w:color w:val="auto"/>
        </w:rPr>
      </w:pPr>
      <w:r>
        <w:rPr>
          <w:rFonts w:ascii="Times New Roman" w:cs="Times New Roman" w:eastAsia="Times New Roman" w:hAnsi="Times New Roman"/>
          <w:sz w:val="20"/>
          <w:szCs w:val="20"/>
          <w:color w:val="auto"/>
        </w:rPr>
        <w:t>Exhibit J-3</w:t>
        <w:tab/>
        <w:t>—</w:t>
      </w:r>
      <w:r>
        <w:rPr>
          <w:sz w:val="20"/>
          <w:szCs w:val="20"/>
          <w:color w:val="auto"/>
        </w:rPr>
        <w:tab/>
      </w:r>
      <w:r>
        <w:rPr>
          <w:rFonts w:ascii="Times New Roman" w:cs="Times New Roman" w:eastAsia="Times New Roman" w:hAnsi="Times New Roman"/>
          <w:sz w:val="19"/>
          <w:szCs w:val="19"/>
          <w:color w:val="auto"/>
        </w:rPr>
        <w:t>Form of U.S. Tax Compliance Certificate</w:t>
      </w:r>
    </w:p>
    <w:p>
      <w:pPr>
        <w:spacing w:after="0" w:line="6" w:lineRule="exact"/>
        <w:rPr>
          <w:sz w:val="20"/>
          <w:szCs w:val="20"/>
          <w:color w:val="auto"/>
        </w:rPr>
      </w:pPr>
    </w:p>
    <w:p>
      <w:pPr>
        <w:spacing w:after="0"/>
        <w:tabs>
          <w:tab w:leader="none" w:pos="1100" w:val="left"/>
          <w:tab w:leader="none" w:pos="1560" w:val="left"/>
        </w:tabs>
        <w:rPr>
          <w:sz w:val="20"/>
          <w:szCs w:val="20"/>
          <w:color w:val="auto"/>
        </w:rPr>
      </w:pPr>
      <w:r>
        <w:rPr>
          <w:rFonts w:ascii="Times New Roman" w:cs="Times New Roman" w:eastAsia="Times New Roman" w:hAnsi="Times New Roman"/>
          <w:sz w:val="20"/>
          <w:szCs w:val="20"/>
          <w:color w:val="auto"/>
        </w:rPr>
        <w:t>Exhibit J-4</w:t>
        <w:tab/>
        <w:t>—</w:t>
      </w:r>
      <w:r>
        <w:rPr>
          <w:sz w:val="20"/>
          <w:szCs w:val="20"/>
          <w:color w:val="auto"/>
        </w:rPr>
        <w:tab/>
      </w:r>
      <w:r>
        <w:rPr>
          <w:rFonts w:ascii="Times New Roman" w:cs="Times New Roman" w:eastAsia="Times New Roman" w:hAnsi="Times New Roman"/>
          <w:sz w:val="19"/>
          <w:szCs w:val="19"/>
          <w:color w:val="auto"/>
        </w:rPr>
        <w:t>Form of U.S. Tax Compliance Certificate</w:t>
      </w:r>
    </w:p>
    <w:p>
      <w:pPr>
        <w:spacing w:after="0" w:line="3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-v-</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0139"/>
          </w:cols>
          <w:pgMar w:left="320" w:top="1440" w:right="1440" w:bottom="1440" w:gutter="0" w:footer="0" w:header="0"/>
        </w:sectPr>
      </w:pPr>
    </w:p>
    <w:bookmarkStart w:id="147" w:name="page148"/>
    <w:bookmarkEnd w:id="147"/>
    <w:p>
      <w:pPr>
        <w:jc w:val="both"/>
        <w:ind w:right="40"/>
        <w:spacing w:after="0" w:line="264" w:lineRule="auto"/>
        <w:rPr>
          <w:sz w:val="20"/>
          <w:szCs w:val="20"/>
          <w:color w:val="auto"/>
        </w:rPr>
      </w:pPr>
      <w:r>
        <w:rPr>
          <w:rFonts w:ascii="Times New Roman" w:cs="Times New Roman" w:eastAsia="Times New Roman" w:hAnsi="Times New Roman"/>
          <w:sz w:val="19"/>
          <w:szCs w:val="19"/>
          <w:color w:val="auto"/>
        </w:rPr>
        <w:t>CREDIT AGREEMENT dated as of March 28, 2017 (as supplemented by Incremental Amendment No. 1 (as defined herein), Incremental Amendment No. 2 (as defined herein), Supplement No. 1, dated as of January 22, 2018, Incremental Amendment No. 3 (as defined herein), Amendment No. 4, dated as of May 11, 2018, Amendment No. 5 (as defined herein), Amendment No. 6 (as defined herein), dated as of June 12, 2018, Amendment No. 7 (as defined herein), dated as of October 1, 2018 and Incremental Amendment No. 8 (as defined herein), dated as of January 15, 2020, Amendment No. 9, dated as of April 22, 2020, Amendment No. 10, dated as of November 12, 2020, Amendment No.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 dated as of April 6, 2021, Amendment No. 12, dated as of June 22, 2023, Amendment No. 13, dated as of June 29, 2023, Amendment No.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14, dated as of March 27, 2024 </w:t>
      </w:r>
      <w:r>
        <w:rPr>
          <w:rFonts w:ascii="Times New Roman" w:cs="Times New Roman" w:eastAsia="Times New Roman" w:hAnsi="Times New Roman"/>
          <w:sz w:val="20"/>
          <w:szCs w:val="20"/>
          <w:b w:val="1"/>
          <w:bCs w:val="1"/>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Amendment No. 15, dated as of August 2, </w:t>
      </w:r>
      <w:r>
        <w:rPr>
          <w:rFonts w:ascii="Times New Roman" w:cs="Times New Roman" w:eastAsia="Times New Roman" w:hAnsi="Times New Roman"/>
          <w:sz w:val="20"/>
          <w:szCs w:val="20"/>
          <w:u w:val="single" w:color="auto"/>
          <w:color w:val="0000FF"/>
        </w:rPr>
        <w:t>2024, and Amendment No. 16, dated as of August 23,</w:t>
      </w:r>
      <w:r>
        <w:rPr>
          <w:rFonts w:ascii="Times New Roman" w:cs="Times New Roman" w:eastAsia="Times New Roman" w:hAnsi="Times New Roman"/>
          <w:sz w:val="20"/>
          <w:szCs w:val="20"/>
          <w:color w:val="auto"/>
        </w:rPr>
        <w:t xml:space="preserv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-71755</wp:posOffset>
            </wp:positionV>
            <wp:extent cx="2336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73">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and as the same may be further amended, supplemented or otherwise 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ARAMARK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SERVICES, INC., a Delaware corporation (the “</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ARAMARK CANADA LTD., a company organized under the laws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Canada (the “</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ARAMARK INVESTMENTS LIMITED, a limited company incorporated under the laws of England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Wales (the “</w:t>
      </w:r>
      <w:r>
        <w:rPr>
          <w:rFonts w:ascii="Times New Roman" w:cs="Times New Roman" w:eastAsia="Times New Roman" w:hAnsi="Times New Roman"/>
          <w:sz w:val="20"/>
          <w:szCs w:val="20"/>
          <w:u w:val="single" w:color="auto"/>
          <w:color w:val="auto"/>
        </w:rPr>
        <w:t>Existing U.K. Borrower</w:t>
      </w:r>
      <w:r>
        <w:rPr>
          <w:rFonts w:ascii="Times New Roman" w:cs="Times New Roman" w:eastAsia="Times New Roman" w:hAnsi="Times New Roman"/>
          <w:sz w:val="20"/>
          <w:szCs w:val="20"/>
          <w:color w:val="auto"/>
        </w:rPr>
        <w:t>”), ARAMARK LIMITED, a limited company incorporated under the laws of England and Wales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Additional U.K. Borrower</w:t>
      </w:r>
      <w:r>
        <w:rPr>
          <w:rFonts w:ascii="Times New Roman" w:cs="Times New Roman" w:eastAsia="Times New Roman" w:hAnsi="Times New Roman"/>
          <w:sz w:val="20"/>
          <w:szCs w:val="20"/>
          <w:color w:val="auto"/>
        </w:rPr>
        <w:t>” together with the Existing U.K. Borrower, the “</w:t>
      </w:r>
      <w:r>
        <w:rPr>
          <w:rFonts w:ascii="Times New Roman" w:cs="Times New Roman" w:eastAsia="Times New Roman" w:hAnsi="Times New Roman"/>
          <w:sz w:val="20"/>
          <w:szCs w:val="20"/>
          <w:u w:val="single" w:color="auto"/>
          <w:color w:val="auto"/>
        </w:rPr>
        <w:t>U.K. 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u w:val="single" w:color="auto"/>
          <w:color w:val="auto"/>
        </w:rPr>
        <w:t>U.K.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ARAMARK IRELAND HOLDINGS LIMITED, a company incorporated under the laws of Ireland, ARAMARK REGIONAL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TREASURY EUROPE, DESIGNATED ACTIVITY COMPANY, a company incorporated under the laws of Ireland (together with Aramark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Ireland Holdings Limited, the “</w:t>
      </w:r>
      <w:r>
        <w:rPr>
          <w:rFonts w:ascii="Times New Roman" w:cs="Times New Roman" w:eastAsia="Times New Roman" w:hAnsi="Times New Roman"/>
          <w:sz w:val="20"/>
          <w:szCs w:val="20"/>
          <w:u w:val="single" w:color="auto"/>
          <w:color w:val="auto"/>
        </w:rPr>
        <w:t>Irish Borrowers</w:t>
      </w:r>
      <w:r>
        <w:rPr>
          <w:rFonts w:ascii="Times New Roman" w:cs="Times New Roman" w:eastAsia="Times New Roman" w:hAnsi="Times New Roman"/>
          <w:sz w:val="20"/>
          <w:szCs w:val="20"/>
          <w:color w:val="auto"/>
        </w:rPr>
        <w:t>” and each an “</w:t>
      </w:r>
      <w:r>
        <w:rPr>
          <w:rFonts w:ascii="Times New Roman" w:cs="Times New Roman" w:eastAsia="Times New Roman" w:hAnsi="Times New Roman"/>
          <w:sz w:val="20"/>
          <w:szCs w:val="20"/>
          <w:u w:val="single" w:color="auto"/>
          <w:color w:val="auto"/>
        </w:rPr>
        <w:t>Irish Borrower</w:t>
      </w:r>
      <w:r>
        <w:rPr>
          <w:rFonts w:ascii="Times New Roman" w:cs="Times New Roman" w:eastAsia="Times New Roman" w:hAnsi="Times New Roman"/>
          <w:sz w:val="20"/>
          <w:szCs w:val="20"/>
          <w:color w:val="auto"/>
        </w:rPr>
        <w:t>”), ARAMARK HOLDING DEUTSCHLAND GMBH,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limited liability company established under the laws of Germany (as successor by merger to ARAMARK HOLDINGS GMBH &amp; CO. KG,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limited partnership </w:t>
      </w:r>
      <w:r>
        <w:rPr>
          <w:rFonts w:ascii="Times New Roman" w:cs="Times New Roman" w:eastAsia="Times New Roman" w:hAnsi="Times New Roman"/>
          <w:sz w:val="20"/>
          <w:szCs w:val="20"/>
          <w:i w:val="1"/>
          <w:iCs w:val="1"/>
          <w:color w:val="auto"/>
        </w:rPr>
        <w:t>(Kommanditgesellschaft)</w:t>
      </w:r>
      <w:r>
        <w:rPr>
          <w:rFonts w:ascii="Times New Roman" w:cs="Times New Roman" w:eastAsia="Times New Roman" w:hAnsi="Times New Roman"/>
          <w:sz w:val="20"/>
          <w:szCs w:val="20"/>
          <w:color w:val="auto"/>
        </w:rPr>
        <w:t xml:space="preserve"> established under the laws of Germany) (the “</w:t>
      </w:r>
      <w:r>
        <w:rPr>
          <w:rFonts w:ascii="Times New Roman" w:cs="Times New Roman" w:eastAsia="Times New Roman" w:hAnsi="Times New Roman"/>
          <w:sz w:val="20"/>
          <w:szCs w:val="20"/>
          <w:u w:val="single" w:color="auto"/>
          <w:color w:val="auto"/>
        </w:rPr>
        <w:t>German Borrower</w:t>
      </w:r>
      <w:r>
        <w:rPr>
          <w:rFonts w:ascii="Times New Roman" w:cs="Times New Roman" w:eastAsia="Times New Roman" w:hAnsi="Times New Roman"/>
          <w:sz w:val="20"/>
          <w:szCs w:val="20"/>
          <w:color w:val="auto"/>
        </w:rPr>
        <w:t>”) and ARAMARK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INTERNATIONAL FINANCE S.À R.L., a private limited liability company (</w:t>
      </w:r>
      <w:r>
        <w:rPr>
          <w:rFonts w:ascii="Times New Roman" w:cs="Times New Roman" w:eastAsia="Times New Roman" w:hAnsi="Times New Roman"/>
          <w:sz w:val="19"/>
          <w:szCs w:val="19"/>
          <w:i w:val="1"/>
          <w:iCs w:val="1"/>
          <w:color w:val="auto"/>
        </w:rPr>
        <w:t>société à responsabilité limitée</w:t>
      </w:r>
      <w:r>
        <w:rPr>
          <w:rFonts w:ascii="Times New Roman" w:cs="Times New Roman" w:eastAsia="Times New Roman" w:hAnsi="Times New Roman"/>
          <w:sz w:val="19"/>
          <w:szCs w:val="19"/>
          <w:color w:val="auto"/>
        </w:rPr>
        <w:t>) incorporated under the laws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Grand Duchy of Luxembourg (“</w:t>
      </w:r>
      <w:r>
        <w:rPr>
          <w:rFonts w:ascii="Times New Roman" w:cs="Times New Roman" w:eastAsia="Times New Roman" w:hAnsi="Times New Roman"/>
          <w:sz w:val="20"/>
          <w:szCs w:val="20"/>
          <w:u w:val="single" w:color="auto"/>
          <w:color w:val="auto"/>
        </w:rPr>
        <w:t>Luxembourg</w:t>
      </w:r>
      <w:r>
        <w:rPr>
          <w:rFonts w:ascii="Times New Roman" w:cs="Times New Roman" w:eastAsia="Times New Roman" w:hAnsi="Times New Roman"/>
          <w:sz w:val="20"/>
          <w:szCs w:val="20"/>
          <w:color w:val="auto"/>
        </w:rPr>
        <w:t>”) having its registered office at 562 rue de Neudorf, L-2220 Luxembourg, Grand Duchy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Luxembourg, registered with the Luxembourg Trade and Companies Register (</w:t>
      </w:r>
      <w:r>
        <w:rPr>
          <w:rFonts w:ascii="Times New Roman" w:cs="Times New Roman" w:eastAsia="Times New Roman" w:hAnsi="Times New Roman"/>
          <w:sz w:val="20"/>
          <w:szCs w:val="20"/>
          <w:i w:val="1"/>
          <w:iCs w:val="1"/>
          <w:color w:val="auto"/>
        </w:rPr>
        <w:t>Registre de commerce et des sociétés, Luxembourg</w:t>
      </w:r>
      <w:r>
        <w:rPr>
          <w:rFonts w:ascii="Times New Roman" w:cs="Times New Roman" w:eastAsia="Times New Roman" w:hAnsi="Times New Roman"/>
          <w:sz w:val="20"/>
          <w:szCs w:val="20"/>
          <w:color w:val="auto"/>
        </w:rPr>
        <w:t>)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Register</w:t>
      </w:r>
      <w:r>
        <w:rPr>
          <w:rFonts w:ascii="Times New Roman" w:cs="Times New Roman" w:eastAsia="Times New Roman" w:hAnsi="Times New Roman"/>
          <w:sz w:val="20"/>
          <w:szCs w:val="20"/>
          <w:color w:val="auto"/>
        </w:rPr>
        <w:t>”) under number B 213.360 (the “</w:t>
      </w:r>
      <w:r>
        <w:rPr>
          <w:rFonts w:ascii="Times New Roman" w:cs="Times New Roman" w:eastAsia="Times New Roman" w:hAnsi="Times New Roman"/>
          <w:sz w:val="20"/>
          <w:szCs w:val="20"/>
          <w:u w:val="single" w:color="auto"/>
          <w:color w:val="auto"/>
        </w:rPr>
        <w:t>Lux Borrower</w:t>
      </w:r>
      <w:r>
        <w:rPr>
          <w:rFonts w:ascii="Times New Roman" w:cs="Times New Roman" w:eastAsia="Times New Roman" w:hAnsi="Times New Roman"/>
          <w:sz w:val="20"/>
          <w:szCs w:val="20"/>
          <w:color w:val="auto"/>
        </w:rPr>
        <w:t>” and, together with the U.S. Borrower, the Canadian Borrower,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Existing U.K. Borrower, the Additional U.K. Borrower, the Irish Borrowers, the German Borrower and any Additional Foreign Borrower,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ARAMARK INTERMEDIATE HOLDCO CORPORATION,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each Subsidiary of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Borrower that, from time to time, becomes a party hereto, the Lenders (as defined in Article I), the Issuing Banks named herein,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 (or any of its designated branch offices or affiliates), as administrative agent for the Lenders (in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collateral agent for the Secured Parties hereunder (in such capacities, together with its successors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assigns in such capacities,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NOW THEREFORE, the parties hereto agree as follows:</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2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I.1</w:t>
      </w:r>
      <w:r>
        <w:rPr>
          <w:sz w:val="20"/>
          <w:szCs w:val="20"/>
          <w:color w:val="auto"/>
        </w:rPr>
        <w:tab/>
      </w:r>
      <w:r>
        <w:rPr>
          <w:rFonts w:ascii="Times New Roman" w:cs="Times New Roman" w:eastAsia="Times New Roman" w:hAnsi="Times New Roman"/>
          <w:sz w:val="19"/>
          <w:szCs w:val="19"/>
          <w:u w:val="single" w:color="auto"/>
          <w:color w:val="auto"/>
        </w:rPr>
        <w:t>Defined Terms</w:t>
      </w:r>
    </w:p>
    <w:p>
      <w:pPr>
        <w:spacing w:after="0" w:line="229" w:lineRule="exact"/>
        <w:rPr>
          <w:sz w:val="20"/>
          <w:szCs w:val="20"/>
          <w:color w:val="auto"/>
        </w:rPr>
      </w:pPr>
    </w:p>
    <w:p>
      <w:pPr>
        <w:ind w:right="4520" w:firstLine="8"/>
        <w:spacing w:after="0" w:line="359" w:lineRule="auto"/>
        <w:tabs>
          <w:tab w:leader="none" w:pos="9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Agreement, the following terms have the meanings specified below: “</w:t>
      </w:r>
      <w:r>
        <w:rPr>
          <w:rFonts w:ascii="Times New Roman" w:cs="Times New Roman" w:eastAsia="Times New Roman" w:hAnsi="Times New Roman"/>
          <w:sz w:val="20"/>
          <w:szCs w:val="20"/>
          <w:u w:val="single" w:color="auto"/>
          <w:color w:val="auto"/>
        </w:rPr>
        <w:t>2024 Refinancing Amendments</w:t>
      </w:r>
      <w:r>
        <w:rPr>
          <w:rFonts w:ascii="Times New Roman" w:cs="Times New Roman" w:eastAsia="Times New Roman" w:hAnsi="Times New Roman"/>
          <w:sz w:val="20"/>
          <w:szCs w:val="20"/>
          <w:color w:val="auto"/>
        </w:rPr>
        <w:t>” means:</w:t>
      </w:r>
    </w:p>
    <w:p>
      <w:pPr>
        <w:ind w:left="660" w:right="180" w:firstLine="644"/>
        <w:spacing w:after="0" w:line="283" w:lineRule="auto"/>
        <w:tabs>
          <w:tab w:leader="none" w:pos="177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addition of (i) the definitions of “Approved Commercial Bank”, “BHC Act Affiliate”, “Creditor Party”, “Covered Party”, “Cured Default”, “Default Right”, “Fitch”,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48" w:name="page149"/>
    <w:bookmarkEnd w:id="148"/>
    <w:p>
      <w:pPr>
        <w:ind w:left="660" w:right="360"/>
        <w:spacing w:after="0" w:line="276" w:lineRule="auto"/>
        <w:rPr>
          <w:sz w:val="20"/>
          <w:szCs w:val="20"/>
          <w:color w:val="auto"/>
        </w:rPr>
      </w:pPr>
      <w:r>
        <w:rPr>
          <w:rFonts w:ascii="Times New Roman" w:cs="Times New Roman" w:eastAsia="Times New Roman" w:hAnsi="Times New Roman"/>
          <w:sz w:val="19"/>
          <w:szCs w:val="19"/>
          <w:color w:val="auto"/>
        </w:rPr>
        <w:t>Default”, “ISDA CDS Definitions”, “Net Short Lender”, “Prepayment Event Percentage”, “QFC”, “QFC Credit Support”, “Reclassifiable Item”, “Regulated Bank”, “Similar Business”, “Spain”, “Specified Indebtedness”, “Supported QFC”, “Swap Agreement”, “U.S. Special Resolution regimes”, (ii) clause (a)(xii) to the definition of “EBITDA”, (iii) clauses (v) and (w) to the definition of “Permitted Investments”, (iv) the last paragraph of Section 7.01, and (v) Sections 1.04(b), 1.14, 9.02(g) and 9.21;</w:t>
      </w:r>
    </w:p>
    <w:p>
      <w:pPr>
        <w:spacing w:after="0" w:line="48" w:lineRule="exact"/>
        <w:rPr>
          <w:sz w:val="20"/>
          <w:szCs w:val="20"/>
          <w:color w:val="auto"/>
        </w:rPr>
      </w:pPr>
    </w:p>
    <w:p>
      <w:pPr>
        <w:ind w:left="480" w:hanging="472"/>
        <w:spacing w:after="0"/>
        <w:tabs>
          <w:tab w:leader="none" w:pos="4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modification to Section 6.09 that provides that such section shall no longer apply;</w:t>
      </w:r>
    </w:p>
    <w:p>
      <w:pPr>
        <w:spacing w:after="0" w:line="121" w:lineRule="exact"/>
        <w:rPr>
          <w:rFonts w:ascii="Times New Roman" w:cs="Times New Roman" w:eastAsia="Times New Roman" w:hAnsi="Times New Roman"/>
          <w:sz w:val="20"/>
          <w:szCs w:val="20"/>
          <w:color w:val="auto"/>
        </w:rPr>
      </w:pPr>
    </w:p>
    <w:p>
      <w:pPr>
        <w:ind w:left="660" w:right="260" w:firstLine="644"/>
        <w:spacing w:after="0" w:line="253" w:lineRule="auto"/>
        <w:tabs>
          <w:tab w:leader="none" w:pos="177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which shall have effect only from and after the occurrence of the 2024 Refinancing Amendments Effective Date in (i) the definitions of “Bail-In Action”, “Bail-In Legislation”, “Debtor Relief Laws”, “EEA Financial Institution”, “EEA Resolution Authority”, “Excluded Taxes”, “Maximum Incremental Amount”, Reinvestment Period”, “Write-Down and Conversion Powers”, (ii) clause (a)(viii) of the definition of “EBITDA”, (iii) clauses (f), (q), (t) and (u) of the definition of “Permitted Investments”, (iv) Sections 2.09(a), 2.09(b), 5.01(a), 5.07, 5.11(f), 6.01(b)(vi), 6.01(b)(xix), 6.01(b)(xx), 6.01(b)(xxii), 6.01(b)(xxvii), 6.01(g), 6.04(i), 6.04(iii), 6.04(xii) and 6.06(j); and</w:t>
      </w:r>
    </w:p>
    <w:p>
      <w:pPr>
        <w:spacing w:after="0" w:line="84" w:lineRule="exact"/>
        <w:rPr>
          <w:rFonts w:ascii="Times New Roman" w:cs="Times New Roman" w:eastAsia="Times New Roman" w:hAnsi="Times New Roman"/>
          <w:sz w:val="20"/>
          <w:szCs w:val="20"/>
          <w:color w:val="auto"/>
        </w:rPr>
      </w:pPr>
    </w:p>
    <w:p>
      <w:pPr>
        <w:ind w:left="660" w:firstLine="644"/>
        <w:spacing w:after="0" w:line="253" w:lineRule="auto"/>
        <w:tabs>
          <w:tab w:leader="none" w:pos="1737"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replacement of </w:t>
      </w:r>
      <w:r>
        <w:rPr>
          <w:rFonts w:ascii="Times New Roman" w:cs="Times New Roman" w:eastAsia="Times New Roman" w:hAnsi="Times New Roman"/>
          <w:sz w:val="20"/>
          <w:szCs w:val="20"/>
          <w:u w:val="single" w:color="auto"/>
          <w:color w:val="auto"/>
        </w:rPr>
        <w:t>Schedules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with the schedules to be provided to the Agent on the 2024 Refinancing Amendments Effective Date, so long as such schedules are (i) in form and substance reasonably satisfactory to the Agent and (ii) are posted to all Lenders at least five Business Days prior to the 2024 Refinancing Amendments Effective Date, and the Agent does not receive, by the 2024 Refinancing Amendments Effective Date, written notice of objection to such schedules from the Lenders that comprise the Required Lenders.</w:t>
      </w:r>
    </w:p>
    <w:p>
      <w:pPr>
        <w:spacing w:after="0" w:line="8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2024 Refinancing Amendments Effective Date</w:t>
      </w:r>
      <w:r>
        <w:rPr>
          <w:rFonts w:ascii="Times New Roman" w:cs="Times New Roman" w:eastAsia="Times New Roman" w:hAnsi="Times New Roman"/>
          <w:sz w:val="20"/>
          <w:szCs w:val="20"/>
          <w:color w:val="auto"/>
        </w:rPr>
        <w:t>” means the first date upon which the Borrowers, the Administrative Agent, and the Required Lenders shall have consented or be deemed to have consented to the 2024 Refinancing Amendments.</w:t>
      </w:r>
    </w:p>
    <w:p>
      <w:pPr>
        <w:spacing w:after="0" w:line="6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2024 Refinancing Term A Loans</w:t>
      </w:r>
      <w:r>
        <w:rPr>
          <w:rFonts w:ascii="Times New Roman" w:cs="Times New Roman" w:eastAsia="Times New Roman" w:hAnsi="Times New Roman"/>
          <w:sz w:val="20"/>
          <w:szCs w:val="20"/>
          <w:color w:val="auto"/>
        </w:rPr>
        <w:t>” means the Canadian Term A-4 Loans, the Euro Term A-3 Loans, the GBP Term A Loans, the U.S. Term A Loans and the U.S. Term A-1 Loans.</w:t>
      </w:r>
    </w:p>
    <w:p>
      <w:pPr>
        <w:spacing w:after="0" w:line="6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2024 Tranche Revolving Commitments</w:t>
      </w:r>
      <w:r>
        <w:rPr>
          <w:rFonts w:ascii="Times New Roman" w:cs="Times New Roman" w:eastAsia="Times New Roman" w:hAnsi="Times New Roman"/>
          <w:sz w:val="20"/>
          <w:szCs w:val="20"/>
          <w:color w:val="auto"/>
        </w:rPr>
        <w:t>” means with respect to each Revolving Lender, the commitment of such Revolving Lender to make 2024 Tranche Revolving Loans in the aggregate principal amount set forth opposite such Revolving Lender’s name on the Commitments Schedule (for the avoidance of doubt, as supplemented pursuant to Amendment No. 15 on the Amendment No. 15 Effective Date) under the heading “2024 Tranche Revolving Commitments,” as adjusted to reflect each Assignment and Assumption executed by such Revolving Lender and as such amount may be increased or reduced pursuant to this Agreement, and “</w:t>
      </w:r>
      <w:r>
        <w:rPr>
          <w:rFonts w:ascii="Times New Roman" w:cs="Times New Roman" w:eastAsia="Times New Roman" w:hAnsi="Times New Roman"/>
          <w:sz w:val="20"/>
          <w:szCs w:val="20"/>
          <w:u w:val="single" w:color="auto"/>
          <w:color w:val="auto"/>
        </w:rPr>
        <w:t>2024 Tranche Revolving Commitments</w:t>
      </w:r>
      <w:r>
        <w:rPr>
          <w:rFonts w:ascii="Times New Roman" w:cs="Times New Roman" w:eastAsia="Times New Roman" w:hAnsi="Times New Roman"/>
          <w:sz w:val="20"/>
          <w:szCs w:val="20"/>
          <w:color w:val="auto"/>
        </w:rPr>
        <w:t>” means the aggregate 2024 Tranche Revolving Commitments of all Revolving Lenders, which amount, initially as of the Amendment No. 15 Effective Date, is $1,400,000,000.00.</w:t>
      </w:r>
    </w:p>
    <w:p>
      <w:pPr>
        <w:spacing w:after="0" w:line="85"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2024 Tranche Revolving Facility</w:t>
      </w:r>
      <w:r>
        <w:rPr>
          <w:rFonts w:ascii="Times New Roman" w:cs="Times New Roman" w:eastAsia="Times New Roman" w:hAnsi="Times New Roman"/>
          <w:sz w:val="20"/>
          <w:szCs w:val="20"/>
          <w:color w:val="auto"/>
        </w:rPr>
        <w:t>” means the 2024 Tranche Revolving Commitments and the provisions herein related to the 2024 Tranche Revolving Loans and the Letters of Credit thereunder.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2024 Tranche Revolving Facility Scheduled Maturity Date</w:t>
      </w:r>
      <w:r>
        <w:rPr>
          <w:rFonts w:ascii="Times New Roman" w:cs="Times New Roman" w:eastAsia="Times New Roman" w:hAnsi="Times New Roman"/>
          <w:sz w:val="20"/>
          <w:szCs w:val="20"/>
          <w:color w:val="auto"/>
        </w:rPr>
        <w:t>” means August 2, 2029.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2024 Tranche Revolving Lender</w:t>
      </w:r>
      <w:r>
        <w:rPr>
          <w:rFonts w:ascii="Times New Roman" w:cs="Times New Roman" w:eastAsia="Times New Roman" w:hAnsi="Times New Roman"/>
          <w:sz w:val="20"/>
          <w:szCs w:val="20"/>
          <w:color w:val="auto"/>
        </w:rPr>
        <w:t>” means each Lender that has a 2024 Tranche Revolving Loan or a 2024 Tranche Revolving Commitment.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2024 Tranche Revolving Loan</w:t>
      </w:r>
      <w:r>
        <w:rPr>
          <w:rFonts w:ascii="Times New Roman" w:cs="Times New Roman" w:eastAsia="Times New Roman" w:hAnsi="Times New Roman"/>
          <w:sz w:val="20"/>
          <w:szCs w:val="20"/>
          <w:color w:val="auto"/>
        </w:rPr>
        <w:t>” has the meaning provided in Section 2.01(a).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2028 Senior Notes</w:t>
      </w:r>
      <w:r>
        <w:rPr>
          <w:rFonts w:ascii="Times New Roman" w:cs="Times New Roman" w:eastAsia="Times New Roman" w:hAnsi="Times New Roman"/>
          <w:sz w:val="20"/>
          <w:szCs w:val="20"/>
          <w:color w:val="auto"/>
        </w:rPr>
        <w:t>” means the 5.00% Senior Notes due 2028 of the U.S.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49" w:name="page150"/>
    <w:bookmarkEnd w:id="149"/>
    <w:p>
      <w:pPr>
        <w:ind w:right="1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Entity or Business</w:t>
      </w:r>
      <w:r>
        <w:rPr>
          <w:rFonts w:ascii="Times New Roman" w:cs="Times New Roman" w:eastAsia="Times New Roman" w:hAnsi="Times New Roman"/>
          <w:sz w:val="20"/>
          <w:szCs w:val="20"/>
          <w:color w:val="auto"/>
        </w:rPr>
        <w:t>” means any Person, property, business or asset acquired by the U.S. Borrower or any Restricted Subsidiary, to the extent not subsequently sold, transferred or otherwise disposed by the U.S. Borrower or such Restricted Subsidiary.</w:t>
      </w:r>
    </w:p>
    <w:p>
      <w:pPr>
        <w:spacing w:after="0" w:line="3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Indebtedness</w:t>
      </w:r>
      <w:r>
        <w:rPr>
          <w:rFonts w:ascii="Times New Roman" w:cs="Times New Roman" w:eastAsia="Times New Roman" w:hAnsi="Times New Roman"/>
          <w:sz w:val="20"/>
          <w:szCs w:val="20"/>
          <w:color w:val="auto"/>
        </w:rPr>
        <w:t>” means, with respect to any specified Person, (a) Indebtedness of any other Person existing at the time such other Person is merged with or into or became a Restricted Subsidiary of such specified Person, including Indebtedness incurred in connection with, or in contemplation of, such other Person merging with or into, or becoming a Restricted Subsidiary of such specified Person, and (b) Indebtedness secured by a Lien encumbering any asset acquired by such specified Person.</w:t>
      </w:r>
    </w:p>
    <w:p>
      <w:pPr>
        <w:spacing w:after="0" w:line="7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Foreign Borrower</w:t>
      </w:r>
      <w:r>
        <w:rPr>
          <w:rFonts w:ascii="Times New Roman" w:cs="Times New Roman" w:eastAsia="Times New Roman" w:hAnsi="Times New Roman"/>
          <w:sz w:val="20"/>
          <w:szCs w:val="20"/>
          <w:color w:val="auto"/>
        </w:rPr>
        <w:t xml:space="preserve">” means any Restricted Subsidiary of the U.S. Borrower formed under the laws of Canada, Germany, Ireland, Luxembourg, the United Kingdom, Spain or any other jurisdiction reasonably satisfactory to the Agent and the Revolving Lenders that is designated as an Additional Foreign Borrower hereunder pursuant to an Officers’ Certificate delivered to the Agent and which has become a Foreign Borrower hereunder pursuant to a supplement to this Agreement and other documentation reasonably satisfactory to the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no event shall any Restricted Subsidiary that is organized under the laws of a Sanctioned Country or that is a Sanctioned Person become an Additional Foreign Borrower and (ii) in the case of any Additional Foreign Borrower under any Revolving Facility, the U.S. Borrower shall have provided not less than fifteen (15) Business Days prior notice thereof to the Revolving Lenders under such Revolving Facility and shall have furnished to the Agent and such Revolving Lenders all information and documents as may reasonably be requested by any of them within five (5) Business Days of the date such notice is provided in order to comply with applicable “know your customer” requirements.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U.K. Borrower</w:t>
      </w:r>
      <w:r>
        <w:rPr>
          <w:rFonts w:ascii="Times New Roman" w:cs="Times New Roman" w:eastAsia="Times New Roman" w:hAnsi="Times New Roman"/>
          <w:sz w:val="20"/>
          <w:szCs w:val="20"/>
          <w:color w:val="auto"/>
        </w:rPr>
        <w:t>” has the meaning assigned to such term in the preamble to this Agreement.</w:t>
      </w:r>
    </w:p>
    <w:p>
      <w:pPr>
        <w:spacing w:after="0" w:line="108"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U.S. Term B-7 Commitment</w:t>
      </w:r>
      <w:r>
        <w:rPr>
          <w:rFonts w:ascii="Times New Roman" w:cs="Times New Roman" w:eastAsia="Times New Roman" w:hAnsi="Times New Roman"/>
          <w:sz w:val="20"/>
          <w:szCs w:val="20"/>
          <w:color w:val="auto"/>
        </w:rPr>
        <w:t>” means, with respect to the Additional U.S. Term Lender, the commitment of such Lender to make U.S. Term B-7 Loans to the U.S. Borrower in an aggregate principal amount equal to $69,491,079.91.</w:t>
      </w:r>
    </w:p>
    <w:p>
      <w:pPr>
        <w:spacing w:after="0" w:line="38"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U.S. Term B-8 Commitment</w:t>
      </w:r>
      <w:r>
        <w:rPr>
          <w:rFonts w:ascii="Times New Roman" w:cs="Times New Roman" w:eastAsia="Times New Roman" w:hAnsi="Times New Roman"/>
          <w:sz w:val="20"/>
          <w:szCs w:val="20"/>
          <w:color w:val="auto"/>
        </w:rPr>
        <w:t>” means, with respect to the Additional U.S. Term Lender, the commitment of such Lender to make U.S. Term B-8 Loans to the U.S. Borrower in an aggregate principal amount equal to $120,666,199.61.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U.S. Term Lender</w:t>
      </w:r>
      <w:r>
        <w:rPr>
          <w:rFonts w:ascii="Times New Roman" w:cs="Times New Roman" w:eastAsia="Times New Roman" w:hAnsi="Times New Roman"/>
          <w:sz w:val="20"/>
          <w:szCs w:val="20"/>
          <w:color w:val="auto"/>
        </w:rPr>
        <w:t>” means Wells Fargo Bank, National Association.</w:t>
      </w:r>
    </w:p>
    <w:p>
      <w:pPr>
        <w:spacing w:after="0" w:line="121"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EURIBOR Rate</w:t>
      </w:r>
      <w:r>
        <w:rPr>
          <w:rFonts w:ascii="Times New Roman" w:cs="Times New Roman" w:eastAsia="Times New Roman" w:hAnsi="Times New Roman"/>
          <w:sz w:val="20"/>
          <w:szCs w:val="20"/>
          <w:color w:val="auto"/>
        </w:rPr>
        <w:t>” means, with respect to any Eurocurrency Borrowing denominated in Euros for any Interest Period, an interest rate per annum equal to (a) the EURIBOR Rate for such Interest Period multiplied by (b) the Statutory Reserve Rate.</w:t>
      </w:r>
    </w:p>
    <w:p>
      <w:pPr>
        <w:spacing w:after="0" w:line="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means, for any Interest Period, an interest rate per annum equal to the Term SOFR Rate for such Interest Period </w:t>
      </w: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the Term SOFR Adjustment;</w:t>
      </w:r>
      <w:r>
        <w:rPr>
          <w:rFonts w:ascii="Times New Roman" w:cs="Times New Roman" w:eastAsia="Times New Roman" w:hAnsi="Times New Roman"/>
          <w:sz w:val="20"/>
          <w:szCs w:val="20"/>
          <w:i w:val="1"/>
          <w:iCs w:val="1"/>
          <w:color w:val="auto"/>
        </w:rPr>
        <w:t xml:space="preserve"> provided that </w:t>
      </w:r>
      <w:r>
        <w:rPr>
          <w:rFonts w:ascii="Times New Roman" w:cs="Times New Roman" w:eastAsia="Times New Roman" w:hAnsi="Times New Roman"/>
          <w:sz w:val="20"/>
          <w:szCs w:val="20"/>
          <w:color w:val="auto"/>
        </w:rPr>
        <w:t>if the Adjusted Term SOFR Rate as so determined would be less than 0.00 %, such rate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deemed to be equal to 0.00% for the purposes of this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the form supplied by the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of any specified Person means any other Person directly or indirectly controlling or controlled by or under direct or indirect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control with such specified Person. For purposes of this Agreement,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(including, with correlative meanings, the terms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under common control with</w:t>
      </w:r>
      <w:r>
        <w:rPr>
          <w:rFonts w:ascii="Times New Roman" w:cs="Times New Roman" w:eastAsia="Times New Roman" w:hAnsi="Times New Roman"/>
          <w:sz w:val="20"/>
          <w:szCs w:val="20"/>
          <w:color w:val="auto"/>
        </w:rPr>
        <w:t>”), as used with respect to any Person, shall mean the possession, directly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indirectly, of the power to direct or cause the direction of the management or policies of such Person, whether through the ownership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voting securities, by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 Transaction</w:t>
      </w:r>
      <w:r>
        <w:rPr>
          <w:rFonts w:ascii="Times New Roman" w:cs="Times New Roman" w:eastAsia="Times New Roman" w:hAnsi="Times New Roman"/>
          <w:sz w:val="20"/>
          <w:szCs w:val="20"/>
          <w:color w:val="auto"/>
        </w:rPr>
        <w:t>” has the meaning assigned to such term in Section 6.05(a).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has the meaning assigned to such term in the preamble to this Agreement.</w:t>
      </w:r>
    </w:p>
    <w:p>
      <w:pPr>
        <w:spacing w:after="0" w:line="108"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 Office</w:t>
      </w:r>
      <w:r>
        <w:rPr>
          <w:rFonts w:ascii="Times New Roman" w:cs="Times New Roman" w:eastAsia="Times New Roman" w:hAnsi="Times New Roman"/>
          <w:sz w:val="20"/>
          <w:szCs w:val="20"/>
          <w:color w:val="auto"/>
        </w:rPr>
        <w:t>” means, with respect to any currency, the Agent’s address and, as appropriate, account with respect to such currency as the Agent may from time to time notify the U.S. Borrower and the Lenders.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has the meaning assigned to such term in Section 9.09(f).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AIM</w:t>
      </w:r>
      <w:r>
        <w:rPr>
          <w:rFonts w:ascii="Times New Roman" w:cs="Times New Roman" w:eastAsia="Times New Roman" w:hAnsi="Times New Roman"/>
          <w:sz w:val="20"/>
          <w:szCs w:val="20"/>
          <w:color w:val="auto"/>
        </w:rPr>
        <w:t>” means AIM Services Co., Ltd., a limited company organized under the laws of Japan, and its successors.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means any lawful currency other than Dollars that is freely transferable into Dollars.</w:t>
      </w:r>
    </w:p>
    <w:p>
      <w:pPr>
        <w:spacing w:after="0" w:line="108"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5</w:t>
      </w:r>
      <w:r>
        <w:rPr>
          <w:rFonts w:ascii="Times New Roman" w:cs="Times New Roman" w:eastAsia="Times New Roman" w:hAnsi="Times New Roman"/>
          <w:sz w:val="20"/>
          <w:szCs w:val="20"/>
          <w:color w:val="auto"/>
        </w:rPr>
        <w:t>” means Amendment No. 5, dated as of May 24, 2018 by and among the Loan Parties, the Agent and the Lenders party thereto.</w:t>
      </w:r>
    </w:p>
    <w:p>
      <w:pPr>
        <w:spacing w:after="0" w:line="3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5 Arrangers</w:t>
      </w:r>
      <w:r>
        <w:rPr>
          <w:rFonts w:ascii="Times New Roman" w:cs="Times New Roman" w:eastAsia="Times New Roman" w:hAnsi="Times New Roman"/>
          <w:sz w:val="20"/>
          <w:szCs w:val="20"/>
          <w:color w:val="auto"/>
        </w:rPr>
        <w:t>” means Credit Suisse Loan Funding LLC, JPMorgan Chase Bank, N.A., Barclays Bank PLC, Merrill Lynch, Pierce, Fenner &amp; Smith Incorporated, PNC Capital Markets LLC, The Bank of Nova Scotia, TD Securities (USA) LLC and Wells Fargo Securities, LLC, each in its capacity as joint lead arranger.</w:t>
      </w:r>
    </w:p>
    <w:p>
      <w:pPr>
        <w:spacing w:after="0" w:line="53"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6</w:t>
      </w:r>
      <w:r>
        <w:rPr>
          <w:rFonts w:ascii="Times New Roman" w:cs="Times New Roman" w:eastAsia="Times New Roman" w:hAnsi="Times New Roman"/>
          <w:sz w:val="20"/>
          <w:szCs w:val="20"/>
          <w:color w:val="auto"/>
        </w:rPr>
        <w:t>” means Amendment No. 6, dated as of June 12, 2018 by and among the Loan Parties, the Agent and the Lenders party thereto.</w:t>
      </w:r>
    </w:p>
    <w:p>
      <w:pPr>
        <w:spacing w:after="0" w:line="3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6 Arrangers</w:t>
      </w:r>
      <w:r>
        <w:rPr>
          <w:rFonts w:ascii="Times New Roman" w:cs="Times New Roman" w:eastAsia="Times New Roman" w:hAnsi="Times New Roman"/>
          <w:sz w:val="20"/>
          <w:szCs w:val="20"/>
          <w:color w:val="auto"/>
        </w:rPr>
        <w:t>” means Credit Suisse Loan Funding LLC, JPMorgan Chase Bank, N.A., Barclays Bank PLC, Capital One, National Association, Merrill Lynch, Pierce, Fenner &amp; Smith Incorporated, Morgan Stanley Senior Funding, Inc., PNC Capital Markets LLC and Wells Fargo Securities, LLC, each in its capacity as joint lead arranger.</w:t>
      </w:r>
    </w:p>
    <w:p>
      <w:pPr>
        <w:spacing w:after="0" w:line="53"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7</w:t>
      </w:r>
      <w:r>
        <w:rPr>
          <w:rFonts w:ascii="Times New Roman" w:cs="Times New Roman" w:eastAsia="Times New Roman" w:hAnsi="Times New Roman"/>
          <w:sz w:val="20"/>
          <w:szCs w:val="20"/>
          <w:color w:val="auto"/>
        </w:rPr>
        <w:t>” means Amendment No. 7, dated as of October 1, 2018 by and among the Loan Parties, the Agent and the Lenders party thereto.</w:t>
      </w:r>
    </w:p>
    <w:p>
      <w:pPr>
        <w:spacing w:after="0" w:line="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7 Arrangers</w:t>
      </w:r>
      <w:r>
        <w:rPr>
          <w:rFonts w:ascii="Times New Roman" w:cs="Times New Roman" w:eastAsia="Times New Roman" w:hAnsi="Times New Roman"/>
          <w:sz w:val="20"/>
          <w:szCs w:val="20"/>
          <w:color w:val="auto"/>
        </w:rPr>
        <w:t>” means JPMorgan Chase Bank, N.A. and Merrill Lynch, Pierce, Fenner &amp; Smith Incorporated, PNC Capital Markets LLC, Wells Fargo Securities, LLC, Goldman Sachs Lending Partners LLC, Credit Suisse Securities (USA) LLC, Barclays Bank PLC and Morgan Stanley MUFG Loan Partners LLC, each in its capacity as joint lead arranger.</w:t>
      </w:r>
    </w:p>
    <w:p>
      <w:pPr>
        <w:spacing w:after="0" w:line="73"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9</w:t>
      </w:r>
      <w:r>
        <w:rPr>
          <w:rFonts w:ascii="Times New Roman" w:cs="Times New Roman" w:eastAsia="Times New Roman" w:hAnsi="Times New Roman"/>
          <w:sz w:val="20"/>
          <w:szCs w:val="20"/>
          <w:color w:val="auto"/>
        </w:rPr>
        <w:t>” means Amendment No. 9, dated as of April 22, 2020, by and among the Loan Parties, the Agent and the Lenders party thereto.</w:t>
      </w:r>
    </w:p>
    <w:p>
      <w:pPr>
        <w:spacing w:after="0" w:line="38"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10</w:t>
      </w:r>
      <w:r>
        <w:rPr>
          <w:rFonts w:ascii="Times New Roman" w:cs="Times New Roman" w:eastAsia="Times New Roman" w:hAnsi="Times New Roman"/>
          <w:sz w:val="20"/>
          <w:szCs w:val="20"/>
          <w:color w:val="auto"/>
        </w:rPr>
        <w:t>” means Amendment No. 10, dated as of November 12, 2020, by and among the Loan Parties, the Agent and the Lenders party thereto.</w:t>
      </w:r>
    </w:p>
    <w:p>
      <w:pPr>
        <w:spacing w:after="0" w:line="38"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11</w:t>
      </w:r>
      <w:r>
        <w:rPr>
          <w:rFonts w:ascii="Times New Roman" w:cs="Times New Roman" w:eastAsia="Times New Roman" w:hAnsi="Times New Roman"/>
          <w:sz w:val="20"/>
          <w:szCs w:val="20"/>
          <w:color w:val="auto"/>
        </w:rPr>
        <w:t>” means Amendment No. 11, dated as of April 6, 2021 by and among the Loan Parties, the Agent and the Lenders party thereto.</w:t>
      </w:r>
    </w:p>
    <w:p>
      <w:pPr>
        <w:spacing w:after="0" w:line="5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11 Arrangers</w:t>
      </w:r>
      <w:r>
        <w:rPr>
          <w:rFonts w:ascii="Times New Roman" w:cs="Times New Roman" w:eastAsia="Times New Roman" w:hAnsi="Times New Roman"/>
          <w:sz w:val="20"/>
          <w:szCs w:val="20"/>
          <w:color w:val="auto"/>
        </w:rPr>
        <w:t>” means JPMorgan Chase Bank, N.A., Goldman Sachs Lending Partners LLC, BofA Securities, Inc., Wells Fargo Securities, LLC, Credit Suisse Loan Funding LLC, PNC Capital Markets LLC, Morgan Stanley Senior Funding, Inc. and Barclays Bank PLC, each in its capacity as joint lead arranger.</w:t>
      </w:r>
    </w:p>
    <w:p>
      <w:pPr>
        <w:spacing w:after="0" w:line="6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11 Co-Documentation Agents</w:t>
      </w:r>
      <w:r>
        <w:rPr>
          <w:rFonts w:ascii="Times New Roman" w:cs="Times New Roman" w:eastAsia="Times New Roman" w:hAnsi="Times New Roman"/>
          <w:sz w:val="20"/>
          <w:szCs w:val="20"/>
          <w:color w:val="auto"/>
        </w:rPr>
        <w:t>” means Sumitomo Mitsui Banking Corp., The Bank of Nova Scotia, TD Bank, N.A., Capital One, N.A., Cooperative Rabobank U.A., New York Branch and 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51" w:name="page152"/>
    <w:bookmarkEnd w:id="151"/>
    <w:p>
      <w:pPr>
        <w:ind w:right="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12</w:t>
      </w:r>
      <w:r>
        <w:rPr>
          <w:rFonts w:ascii="Times New Roman" w:cs="Times New Roman" w:eastAsia="Times New Roman" w:hAnsi="Times New Roman"/>
          <w:sz w:val="20"/>
          <w:szCs w:val="20"/>
          <w:color w:val="auto"/>
        </w:rPr>
        <w:t>” means Amendment No. 12, dated as of June 22, 2023 by and among the Loan Parties, the Agent and the Lenders party thereto.</w:t>
      </w:r>
    </w:p>
    <w:p>
      <w:pPr>
        <w:spacing w:after="0" w:line="38" w:lineRule="exact"/>
        <w:rPr>
          <w:sz w:val="20"/>
          <w:szCs w:val="20"/>
          <w:color w:val="auto"/>
        </w:rPr>
      </w:pPr>
    </w:p>
    <w:p>
      <w:pPr>
        <w:jc w:val="both"/>
        <w:ind w:right="60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12 Arrangers</w:t>
      </w:r>
      <w:r>
        <w:rPr>
          <w:rFonts w:ascii="Times New Roman" w:cs="Times New Roman" w:eastAsia="Times New Roman" w:hAnsi="Times New Roman"/>
          <w:sz w:val="20"/>
          <w:szCs w:val="20"/>
          <w:color w:val="auto"/>
        </w:rPr>
        <w:t>” means JPMorgan Chase Bank, N.A., Wells Fargo Securities, LLC, Credit Suisse Loan Funding LLC, Goldman Sachs Lending Partners LLC, BofA Securities, Inc. , PNC Capital Markets LLC, Morgan Stanley Senior Funding, Inc., and Barclays Bank PLC , each in its capacity as joint lead arranger.</w:t>
      </w:r>
    </w:p>
    <w:p>
      <w:pPr>
        <w:spacing w:after="0" w:line="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12 Co-Documentation Agents</w:t>
      </w:r>
      <w:r>
        <w:rPr>
          <w:rFonts w:ascii="Times New Roman" w:cs="Times New Roman" w:eastAsia="Times New Roman" w:hAnsi="Times New Roman"/>
          <w:sz w:val="20"/>
          <w:szCs w:val="20"/>
          <w:color w:val="auto"/>
        </w:rPr>
        <w:t>” means The Bank of Nova Scotia, TD Securities (USA) LLC, Coöperatieve Rabobank U.A., New York Branch, U.S. Bank National Association, Sumitomo Mitsui Banking Corporation, and Capital One, National Association.</w:t>
      </w:r>
    </w:p>
    <w:p>
      <w:pPr>
        <w:spacing w:after="0" w:line="3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13</w:t>
      </w:r>
      <w:r>
        <w:rPr>
          <w:rFonts w:ascii="Times New Roman" w:cs="Times New Roman" w:eastAsia="Times New Roman" w:hAnsi="Times New Roman"/>
          <w:sz w:val="20"/>
          <w:szCs w:val="20"/>
          <w:color w:val="auto"/>
        </w:rPr>
        <w:t>” means Amendment No. 13, dated as of June 29, 2023 by and among the Loan Parties party thereto, the Agent and the Lenders party thereto.</w:t>
      </w:r>
    </w:p>
    <w:p>
      <w:pPr>
        <w:spacing w:after="0" w:line="38"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14</w:t>
      </w:r>
      <w:r>
        <w:rPr>
          <w:rFonts w:ascii="Times New Roman" w:cs="Times New Roman" w:eastAsia="Times New Roman" w:hAnsi="Times New Roman"/>
          <w:sz w:val="20"/>
          <w:szCs w:val="20"/>
          <w:color w:val="auto"/>
        </w:rPr>
        <w:t>” means Amendment No. 14, dated as of March 27, 2024 by and among the Loan Parties party thereto, the Agent and the Lenders party thereto.</w:t>
      </w:r>
    </w:p>
    <w:p>
      <w:pPr>
        <w:spacing w:after="0" w:line="5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14 Arrangers</w:t>
      </w:r>
      <w:r>
        <w:rPr>
          <w:rFonts w:ascii="Times New Roman" w:cs="Times New Roman" w:eastAsia="Times New Roman" w:hAnsi="Times New Roman"/>
          <w:sz w:val="20"/>
          <w:szCs w:val="20"/>
          <w:color w:val="auto"/>
        </w:rPr>
        <w:t>” means Wells Fargo Securities, LLC, JPMorgan Chase Bank, N.A, Goldman Sachs Lending Partners LLC, BofA Securities, Inc., Barclays Bank PLC, PNC Capital Markets LLC, Morgan Stanley Senior Funding, Inc. and UBS Securities LLC each in its capacity as joint lead arranger and joint bookrunner.</w:t>
      </w:r>
    </w:p>
    <w:p>
      <w:pPr>
        <w:spacing w:after="0" w:line="60"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Amendment No. 14 Co-Managers</w:t>
      </w:r>
      <w:r>
        <w:rPr>
          <w:rFonts w:ascii="Times New Roman" w:cs="Times New Roman" w:eastAsia="Times New Roman" w:hAnsi="Times New Roman"/>
          <w:sz w:val="19"/>
          <w:szCs w:val="19"/>
          <w:color w:val="auto"/>
        </w:rPr>
        <w:t>” means The Bank of Nova Scotia, Sumitomo Mitsui Banking Corporation, Cöoperatieve Rabobank U.A., TD Securities (USA) LLC, U.S. Bank, National Association and Capital One, National Association each in its capacity as co-manager.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14 Effective Date</w:t>
      </w:r>
      <w:r>
        <w:rPr>
          <w:rFonts w:ascii="Times New Roman" w:cs="Times New Roman" w:eastAsia="Times New Roman" w:hAnsi="Times New Roman"/>
          <w:sz w:val="20"/>
          <w:szCs w:val="20"/>
          <w:color w:val="auto"/>
        </w:rPr>
        <w:t>” has the meaning set forth in Amendment No. 14.</w:t>
      </w:r>
    </w:p>
    <w:p>
      <w:pPr>
        <w:spacing w:after="0" w:line="10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15</w:t>
      </w:r>
      <w:r>
        <w:rPr>
          <w:rFonts w:ascii="Times New Roman" w:cs="Times New Roman" w:eastAsia="Times New Roman" w:hAnsi="Times New Roman"/>
          <w:sz w:val="20"/>
          <w:szCs w:val="20"/>
          <w:color w:val="auto"/>
        </w:rPr>
        <w:t>” means Amendment No. 15, dated as of August 2, 2024 by and among the Loan Parties party thereto, the Agent and the Lenders party thereto.</w:t>
      </w:r>
    </w:p>
    <w:p>
      <w:pPr>
        <w:spacing w:after="0" w:line="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15 Arrangers</w:t>
      </w:r>
      <w:r>
        <w:rPr>
          <w:rFonts w:ascii="Times New Roman" w:cs="Times New Roman" w:eastAsia="Times New Roman" w:hAnsi="Times New Roman"/>
          <w:sz w:val="20"/>
          <w:szCs w:val="20"/>
          <w:color w:val="auto"/>
        </w:rPr>
        <w:t>” means JPMorgan Chase Bank, N.A., BofA Securities, Inc., Wells Fargo Securities, LLC, Goldman Sachs Bank USA, PNC Capital Markets LLC, Capital One, National Association and Barclays Bank PLC, each in its capacity as joint lead arranger and joint bookrunner.</w:t>
      </w:r>
    </w:p>
    <w:p>
      <w:pPr>
        <w:spacing w:after="0" w:line="73"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15 Co-Documentation Agents</w:t>
      </w:r>
      <w:r>
        <w:rPr>
          <w:rFonts w:ascii="Times New Roman" w:cs="Times New Roman" w:eastAsia="Times New Roman" w:hAnsi="Times New Roman"/>
          <w:sz w:val="20"/>
          <w:szCs w:val="20"/>
          <w:color w:val="auto"/>
        </w:rPr>
        <w:t>” means Truist Bank, Coöperatieve Rabobank U.A., New York Branch, The Bank of Nova Scotia, TD Bank, N.A., U.S. Bank National Association, Sumitomo Mitsui Banking Corporation, HSBC Bank USA, N.A., Citizens Bank, N.A., and Canadian Imperial Bank of Commerce, New York Branch, each in its capacity as a co-documentation agent.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15 Effective Date</w:t>
      </w:r>
      <w:r>
        <w:rPr>
          <w:rFonts w:ascii="Times New Roman" w:cs="Times New Roman" w:eastAsia="Times New Roman" w:hAnsi="Times New Roman"/>
          <w:sz w:val="20"/>
          <w:szCs w:val="20"/>
          <w:color w:val="auto"/>
        </w:rPr>
        <w:t>” has the meaning set forth in Amendment No. 15.</w:t>
      </w:r>
    </w:p>
    <w:p>
      <w:pPr>
        <w:spacing w:after="0" w:line="108" w:lineRule="exact"/>
        <w:rPr>
          <w:sz w:val="20"/>
          <w:szCs w:val="20"/>
          <w:color w:val="auto"/>
        </w:rPr>
      </w:pPr>
    </w:p>
    <w:p>
      <w:pPr>
        <w:jc w:val="both"/>
        <w:ind w:right="220"/>
        <w:spacing w:after="0" w:line="283" w:lineRule="auto"/>
        <w:rPr>
          <w:sz w:val="20"/>
          <w:szCs w:val="20"/>
          <w:color w:val="auto"/>
        </w:rPr>
      </w:pPr>
      <w:r>
        <w:rPr>
          <w:rFonts w:ascii="Times New Roman" w:cs="Times New Roman" w:eastAsia="Times New Roman" w:hAnsi="Times New Roman"/>
          <w:sz w:val="20"/>
          <w:szCs w:val="20"/>
          <w:u w:val="single" w:color="auto"/>
          <w:color w:val="0000FF"/>
        </w:rPr>
        <w:t>“Amendment No. 16” means Amendment No. 16, dated as of August 23, 2024 by and among the Loan Parties party thereto, the Agent and the Lenders party thereto.</w:t>
      </w:r>
    </w:p>
    <w:p>
      <w:pPr>
        <w:spacing w:after="0" w:line="52"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Borrowers or any of their direct or indirect parent companies or Subsidiaries from time to time concerning or relating to bribery or corruption.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Amount</w:t>
      </w:r>
      <w:r>
        <w:rPr>
          <w:rFonts w:ascii="Times New Roman" w:cs="Times New Roman" w:eastAsia="Times New Roman" w:hAnsi="Times New Roman"/>
          <w:sz w:val="20"/>
          <w:szCs w:val="20"/>
          <w:color w:val="auto"/>
        </w:rPr>
        <w:t>” means, at any time (the “</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an amount equal to (a) the sum, without duplication, of:</w:t>
      </w:r>
    </w:p>
    <w:p>
      <w:pPr>
        <w:spacing w:after="0" w:line="108" w:lineRule="exact"/>
        <w:rPr>
          <w:sz w:val="20"/>
          <w:szCs w:val="20"/>
          <w:color w:val="auto"/>
        </w:rPr>
      </w:pPr>
    </w:p>
    <w:p>
      <w:pPr>
        <w:ind w:left="660" w:right="20" w:firstLine="194"/>
        <w:spacing w:after="0" w:line="268" w:lineRule="auto"/>
        <w:tabs>
          <w:tab w:leader="none" w:pos="124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50% of the Consolidated Net Income (excluding from Consolidated Net Income, for this purpose only, any amount that otherwise increased the Applicable Amount pursuant to clause (iv) or (v) below) of the U.S. Borrower for the period (taken as one accounting period) from October 1, 2016 to the end of the U.S. Borrower’s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52" w:name="page153"/>
    <w:bookmarkEnd w:id="152"/>
    <w:p>
      <w:pPr>
        <w:ind w:left="660" w:right="200"/>
        <w:spacing w:after="0" w:line="283" w:lineRule="auto"/>
        <w:rPr>
          <w:sz w:val="20"/>
          <w:szCs w:val="20"/>
          <w:color w:val="auto"/>
        </w:rPr>
      </w:pPr>
      <w:r>
        <w:rPr>
          <w:rFonts w:ascii="Times New Roman" w:cs="Times New Roman" w:eastAsia="Times New Roman" w:hAnsi="Times New Roman"/>
          <w:sz w:val="20"/>
          <w:szCs w:val="20"/>
          <w:color w:val="auto"/>
        </w:rPr>
        <w:t xml:space="preserve">recently ended fiscal quarter for which financial statements have been delivered pursuant to Section 5.01 at the Reference Time, or, in case such Consolidated Net Income for such period is a deficit,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100% of such deficit, </w:t>
      </w:r>
      <w:r>
        <w:rPr>
          <w:rFonts w:ascii="Times New Roman" w:cs="Times New Roman" w:eastAsia="Times New Roman" w:hAnsi="Times New Roman"/>
          <w:sz w:val="20"/>
          <w:szCs w:val="20"/>
          <w:u w:val="single" w:color="auto"/>
          <w:color w:val="auto"/>
        </w:rPr>
        <w:t>plus</w:t>
      </w:r>
    </w:p>
    <w:p>
      <w:pPr>
        <w:spacing w:after="0" w:line="146" w:lineRule="exact"/>
        <w:rPr>
          <w:sz w:val="20"/>
          <w:szCs w:val="20"/>
          <w:color w:val="auto"/>
        </w:rPr>
      </w:pPr>
    </w:p>
    <w:p>
      <w:pPr>
        <w:ind w:left="660" w:firstLine="194"/>
        <w:spacing w:after="0" w:line="252" w:lineRule="auto"/>
        <w:tabs>
          <w:tab w:leader="none" w:pos="129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capital contributions in cash, marketable securities or Qualified Proceeds made to, or any proceeds in cash, marketable securities or Qualified Proceeds of an issuance of Equity Interests of the U.S. Borrower or any of its direct or indirect parent companies (or debt securities that have been converted or exchanged into Equity Interests of the U.S. Borrower or any of its direct or indirect parent companies (other than Disqualified Stock)) (in each case, other than (w) Excluded Contributions, (x) proceeds from Equity Interests of any direct or indirect parent company of the U.S. Borrower constituting the consideration for an Investment made in reliance on clause (j) of the definition of “Permitted Investments,” (y) the Designated Equity Amount and (z) the proceeds of Disqualified Stock of the U.S. Borrower and Designated Preferred Stock) received by, the U.S. Borrower from and including the Business Day immediately following the Closing Date through and including the Reference Time, including any such proceeds from the issuance of Equity Interests of any direct or indirect parent of the U.S. Borrower to the extent the cash proceeds thereof are contributed to the U.S. Borrower, </w:t>
      </w:r>
      <w:r>
        <w:rPr>
          <w:rFonts w:ascii="Times New Roman" w:cs="Times New Roman" w:eastAsia="Times New Roman" w:hAnsi="Times New Roman"/>
          <w:sz w:val="20"/>
          <w:szCs w:val="20"/>
          <w:u w:val="single" w:color="auto"/>
          <w:color w:val="auto"/>
        </w:rPr>
        <w:t>plus</w:t>
      </w:r>
    </w:p>
    <w:p>
      <w:pPr>
        <w:spacing w:after="0" w:line="177" w:lineRule="exact"/>
        <w:rPr>
          <w:rFonts w:ascii="Times New Roman" w:cs="Times New Roman" w:eastAsia="Times New Roman" w:hAnsi="Times New Roman"/>
          <w:sz w:val="20"/>
          <w:szCs w:val="20"/>
          <w:color w:val="auto"/>
        </w:rPr>
      </w:pPr>
    </w:p>
    <w:p>
      <w:pPr>
        <w:ind w:left="660" w:firstLine="194"/>
        <w:spacing w:after="0" w:line="257" w:lineRule="auto"/>
        <w:tabs>
          <w:tab w:leader="none" w:pos="135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already reflected as an increase to Consolidated Net Income or reflected as a return of capital or deemed reduction in the amount of such Investment pursuant to clause (b)(ii) below, the amount of any distribution in cash, marketable securities or Qualified Proceeds received in respect of any Investment made in reliance on clause (q) of the definition of “Permitted Investments” and any dividend in cash, marketable securities or Qualified Proceeds received from an Unrestricted Subsidiary, in each case by the U.S. Borrower or any Restricted Subsidiary, </w:t>
      </w:r>
      <w:r>
        <w:rPr>
          <w:rFonts w:ascii="Times New Roman" w:cs="Times New Roman" w:eastAsia="Times New Roman" w:hAnsi="Times New Roman"/>
          <w:sz w:val="20"/>
          <w:szCs w:val="20"/>
          <w:u w:val="single" w:color="auto"/>
          <w:color w:val="auto"/>
        </w:rPr>
        <w:t>plus</w:t>
      </w:r>
    </w:p>
    <w:p>
      <w:pPr>
        <w:spacing w:after="0" w:line="172" w:lineRule="exact"/>
        <w:rPr>
          <w:rFonts w:ascii="Times New Roman" w:cs="Times New Roman" w:eastAsia="Times New Roman" w:hAnsi="Times New Roman"/>
          <w:sz w:val="20"/>
          <w:szCs w:val="20"/>
          <w:color w:val="auto"/>
        </w:rPr>
      </w:pPr>
    </w:p>
    <w:p>
      <w:pPr>
        <w:ind w:left="660" w:right="80" w:firstLine="194"/>
        <w:spacing w:after="0" w:line="252" w:lineRule="auto"/>
        <w:tabs>
          <w:tab w:leader="none" w:pos="134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already reflected as a return of capital or deemed reduction in the amount of such Investment pursuant to clause (b)(ii) below, the aggregate amount received in cash or marketable securities and the fair market value, as determined in good faith by the U.S. Borrower, of Qualified Proceeds received after the Closing Date by the U.S. Borrower and its Restricted Subsidiaries by means of (1) the sale or other disposition (other than to the U.S. Borrower or a Restricted Subsidiary) of Investments made in reliance on clause (q) of the definition of “Permitted Investments,” repurchases and redemptions of such Investments (other than by the U.S. Borrower or any Restricted Subsidiary) and repayments of loans or advances that constitute such Investments or (2) the sale (other than to the U.S. Borrower or a Restricted Subsidiary) of Equity Interests in an Unrestricted Subsidiary (solely to the extent that such Investments in Unrestricted Subsidiaries were outstanding in reliance on clause (q) of the definition of “Permitted Investments”), </w:t>
      </w:r>
      <w:r>
        <w:rPr>
          <w:rFonts w:ascii="Times New Roman" w:cs="Times New Roman" w:eastAsia="Times New Roman" w:hAnsi="Times New Roman"/>
          <w:sz w:val="20"/>
          <w:szCs w:val="20"/>
          <w:u w:val="single" w:color="auto"/>
          <w:color w:val="auto"/>
        </w:rPr>
        <w:t>plus</w:t>
      </w:r>
    </w:p>
    <w:p>
      <w:pPr>
        <w:spacing w:after="0" w:line="175" w:lineRule="exact"/>
        <w:rPr>
          <w:rFonts w:ascii="Times New Roman" w:cs="Times New Roman" w:eastAsia="Times New Roman" w:hAnsi="Times New Roman"/>
          <w:sz w:val="20"/>
          <w:szCs w:val="20"/>
          <w:color w:val="auto"/>
        </w:rPr>
      </w:pPr>
    </w:p>
    <w:p>
      <w:pPr>
        <w:ind w:left="660" w:right="40" w:firstLine="194"/>
        <w:spacing w:after="0" w:line="253" w:lineRule="auto"/>
        <w:tabs>
          <w:tab w:leader="none" w:pos="128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already reflected as a return of capital or deemed reduction in the amount of such Investment pursuant to clause (b)(ii) below, the excess, if any, of (x) the fair market value of any Unrestricted Subsidiary redesignated after the Closing Date as a Restricted Subsidiary (as determined by the U.S. Borrower in good faith or, if such fair market value exceeded $150.0 million in writing by an Independent Financial Advisor) at the time of such redesignation to the extent that any Investment in such Unrestricted Subsidiary by the U.S. Borrower or any Restricted Subsidiary was made in reliance on clause (q) of the definition of “Permitted Investments” over (y) the aggregate actual amount of Investments in such Unrestricted Subsidiary made in reliance on clause (q) of the definition of “Permitted Investments,”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53" w:name="page154"/>
    <w:bookmarkEnd w:id="153"/>
    <w:p>
      <w:pPr>
        <w:ind w:left="860"/>
        <w:spacing w:after="0"/>
        <w:tabs>
          <w:tab w:leader="none" w:pos="1320" w:val="left"/>
        </w:tabs>
        <w:rPr>
          <w:sz w:val="20"/>
          <w:szCs w:val="20"/>
          <w:color w:val="auto"/>
        </w:rPr>
      </w:pPr>
      <w:r>
        <w:rPr>
          <w:rFonts w:ascii="Times New Roman" w:cs="Times New Roman" w:eastAsia="Times New Roman" w:hAnsi="Times New Roman"/>
          <w:sz w:val="20"/>
          <w:szCs w:val="20"/>
          <w:color w:val="auto"/>
        </w:rPr>
        <w:t>(vi)</w:t>
      </w:r>
      <w:r>
        <w:rPr>
          <w:sz w:val="20"/>
          <w:szCs w:val="20"/>
          <w:color w:val="auto"/>
        </w:rPr>
        <w:tab/>
      </w:r>
      <w:r>
        <w:rPr>
          <w:rFonts w:ascii="Times New Roman" w:cs="Times New Roman" w:eastAsia="Times New Roman" w:hAnsi="Times New Roman"/>
          <w:sz w:val="19"/>
          <w:szCs w:val="19"/>
          <w:color w:val="auto"/>
        </w:rPr>
        <w:t>$1,400.0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sum, without duplication, of:</w:t>
      </w:r>
    </w:p>
    <w:p>
      <w:pPr>
        <w:spacing w:after="0" w:line="216" w:lineRule="exact"/>
        <w:rPr>
          <w:sz w:val="20"/>
          <w:szCs w:val="20"/>
          <w:color w:val="auto"/>
        </w:rPr>
      </w:pPr>
    </w:p>
    <w:p>
      <w:pPr>
        <w:ind w:left="660" w:right="100" w:firstLine="194"/>
        <w:spacing w:after="0" w:line="283" w:lineRule="auto"/>
        <w:tabs>
          <w:tab w:leader="none" w:pos="124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actual amount of Restricted Payments made pursuant to Section 6.04(i) since the Closing Date and prior to the Reference Time; and</w:t>
      </w:r>
    </w:p>
    <w:p>
      <w:pPr>
        <w:spacing w:after="0" w:line="146" w:lineRule="exact"/>
        <w:rPr>
          <w:rFonts w:ascii="Times New Roman" w:cs="Times New Roman" w:eastAsia="Times New Roman" w:hAnsi="Times New Roman"/>
          <w:sz w:val="20"/>
          <w:szCs w:val="20"/>
          <w:color w:val="auto"/>
        </w:rPr>
      </w:pPr>
    </w:p>
    <w:p>
      <w:pPr>
        <w:ind w:left="660" w:right="120" w:firstLine="194"/>
        <w:spacing w:after="0" w:line="258" w:lineRule="auto"/>
        <w:tabs>
          <w:tab w:leader="none" w:pos="129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actual amount of Investments made in reliance on clause (q) of the definition of “Permitted Investments” (net of any return of capital in respect of such Investment or deemed reduction in the amount of such Investment including, without limitation, upon the redesignation of any Unrestricted Subsidiary as a Restricted Subsidiary or the sale of any such Investment for cash or Qualified Proceeds).</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Lending Office</w:t>
      </w:r>
      <w:r>
        <w:rPr>
          <w:rFonts w:ascii="Times New Roman" w:cs="Times New Roman" w:eastAsia="Times New Roman" w:hAnsi="Times New Roman"/>
          <w:sz w:val="20"/>
          <w:szCs w:val="20"/>
          <w:color w:val="auto"/>
        </w:rPr>
        <w:t>” means, with respect to each Lender, (a) its U.S. Lending Office in the case of a Loan to the U.S. Borrower, (b) its U.K. Lending Office in the case of a Loan to any U.K. Borrower, (c) its Canadian Lending Office in the case of a Loan to the Canadian Borrower, (d) its Irish Lending Office in the case of a Loan to any Irish Borrower, (e) its German Lending Office, in the case of a Loan made to the German Borrower and (f) its Luxembourg Lending Office in the case of a Loan made to the Lux Borrower.</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with respect to any Lender, the percentage of the total Dollar Equivalent of the aggregate outstanding Term Loans and Commitments represented by such Lender’s Term Loans and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Section 2.19 when a Defaulting Lender shall exist, “Applicable Percentage” shall mean the percentage of the total Dollar Equivalent of the aggregate outstanding Term Loans and Commitments (disregarding any Defaulting Lender’s Term Loans and Commitments) represented by such Lender’s Dollar Equivalent of the aggregate outstanding Term Loans and Commitments. If the Term Loans have been repaid and the Commitments have terminated or expired, the Applicable Percentages shall be determined based upon the Term Loans and Commitments most recently in effect, giving effect to any assignments and to any Lender’s status as a Defaulting Lender at the time of determination.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a percentage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w:t>
      </w:r>
    </w:p>
    <w:p>
      <w:pPr>
        <w:spacing w:after="0" w:line="121" w:lineRule="exact"/>
        <w:rPr>
          <w:sz w:val="20"/>
          <w:szCs w:val="20"/>
          <w:color w:val="auto"/>
        </w:rPr>
      </w:pPr>
    </w:p>
    <w:p>
      <w:pPr>
        <w:ind w:left="660" w:firstLine="644"/>
        <w:spacing w:after="0" w:line="265" w:lineRule="auto"/>
        <w:tabs>
          <w:tab w:leader="none" w:pos="1725"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the 2024 Refinancing Term A Loans, 2024 Tranche Revolving Loans and Commitment Fees and LC Fees under the 2024 Tranche Revolving Facility, (i) until delivery of financial statements for the fiscal quarter ending September 30, 2024 pursuant to Section 5.01(b) and the related Compliance Certificate pursuant to Section 5.01(c), (A) for Eurocurrency Rate Loans, Term CORRA Rate Loans, Term Benchmark Loans and LC Fees, </w:t>
      </w:r>
      <w:r>
        <w:rPr>
          <w:rFonts w:ascii="Times New Roman" w:cs="Times New Roman" w:eastAsia="Times New Roman" w:hAnsi="Times New Roman"/>
          <w:sz w:val="19"/>
          <w:szCs w:val="19"/>
          <w:b w:val="1"/>
          <w:bCs w:val="1"/>
          <w:color w:val="FF0000"/>
          <w:strike w:val="1"/>
        </w:rPr>
        <w:t>1.625</w:t>
      </w:r>
      <w:r>
        <w:rPr>
          <w:rFonts w:ascii="Times New Roman" w:cs="Times New Roman" w:eastAsia="Times New Roman" w:hAnsi="Times New Roman"/>
          <w:sz w:val="19"/>
          <w:szCs w:val="19"/>
          <w:u w:val="single" w:color="auto"/>
          <w:color w:val="0000FF"/>
        </w:rPr>
        <w:t>1.500</w:t>
      </w:r>
      <w:r>
        <w:rPr>
          <w:rFonts w:ascii="Times New Roman" w:cs="Times New Roman" w:eastAsia="Times New Roman" w:hAnsi="Times New Roman"/>
          <w:sz w:val="19"/>
          <w:szCs w:val="19"/>
          <w:color w:val="auto"/>
        </w:rPr>
        <w:t xml:space="preserve">%, (B) for SONIA Rate Loans, </w:t>
      </w:r>
      <w:r>
        <w:rPr>
          <w:rFonts w:ascii="Times New Roman" w:cs="Times New Roman" w:eastAsia="Times New Roman" w:hAnsi="Times New Roman"/>
          <w:sz w:val="19"/>
          <w:szCs w:val="19"/>
          <w:b w:val="1"/>
          <w:bCs w:val="1"/>
          <w:color w:val="FF0000"/>
          <w:strike w:val="1"/>
        </w:rPr>
        <w:t>1.6576</w:t>
      </w:r>
      <w:r>
        <w:rPr>
          <w:rFonts w:ascii="Times New Roman" w:cs="Times New Roman" w:eastAsia="Times New Roman" w:hAnsi="Times New Roman"/>
          <w:sz w:val="19"/>
          <w:szCs w:val="19"/>
          <w:u w:val="single" w:color="auto"/>
          <w:color w:val="0000FF"/>
        </w:rPr>
        <w:t>1.5326</w:t>
      </w:r>
      <w:r>
        <w:rPr>
          <w:rFonts w:ascii="Times New Roman" w:cs="Times New Roman" w:eastAsia="Times New Roman" w:hAnsi="Times New Roman"/>
          <w:sz w:val="19"/>
          <w:szCs w:val="19"/>
          <w:color w:val="auto"/>
        </w:rPr>
        <w:t>%,</w:t>
      </w:r>
    </w:p>
    <w:p>
      <w:pPr>
        <w:spacing w:after="0" w:line="2" w:lineRule="exact"/>
        <w:rPr>
          <w:rFonts w:ascii="Times New Roman" w:cs="Times New Roman" w:eastAsia="Times New Roman" w:hAnsi="Times New Roman"/>
          <w:sz w:val="19"/>
          <w:szCs w:val="19"/>
          <w:color w:val="auto"/>
        </w:rPr>
      </w:pPr>
    </w:p>
    <w:p>
      <w:pPr>
        <w:ind w:left="960" w:hanging="304"/>
        <w:spacing w:after="0"/>
        <w:tabs>
          <w:tab w:leader="none" w:pos="9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Base Rate Loans and Canadian Base Rate Loans, </w:t>
      </w:r>
      <w:r>
        <w:rPr>
          <w:rFonts w:ascii="Times New Roman" w:cs="Times New Roman" w:eastAsia="Times New Roman" w:hAnsi="Times New Roman"/>
          <w:sz w:val="20"/>
          <w:szCs w:val="20"/>
          <w:b w:val="1"/>
          <w:bCs w:val="1"/>
          <w:color w:val="FF0000"/>
          <w:strike w:val="1"/>
        </w:rPr>
        <w:t>0.625</w:t>
      </w:r>
      <w:r>
        <w:rPr>
          <w:rFonts w:ascii="Times New Roman" w:cs="Times New Roman" w:eastAsia="Times New Roman" w:hAnsi="Times New Roman"/>
          <w:sz w:val="20"/>
          <w:szCs w:val="20"/>
          <w:u w:val="single" w:color="auto"/>
          <w:color w:val="0000FF"/>
        </w:rPr>
        <w:t>0.500</w:t>
      </w:r>
      <w:r>
        <w:rPr>
          <w:rFonts w:ascii="Times New Roman" w:cs="Times New Roman" w:eastAsia="Times New Roman" w:hAnsi="Times New Roman"/>
          <w:sz w:val="20"/>
          <w:szCs w:val="20"/>
          <w:color w:val="auto"/>
        </w:rPr>
        <w:t xml:space="preserve">%, and (D) for Commitment Fees, </w:t>
      </w:r>
      <w:r>
        <w:rPr>
          <w:rFonts w:ascii="Times New Roman" w:cs="Times New Roman" w:eastAsia="Times New Roman" w:hAnsi="Times New Roman"/>
          <w:sz w:val="20"/>
          <w:szCs w:val="20"/>
          <w:b w:val="1"/>
          <w:bCs w:val="1"/>
          <w:color w:val="FF0000"/>
          <w:strike w:val="1"/>
        </w:rPr>
        <w:t>0.300</w:t>
      </w:r>
      <w:r>
        <w:rPr>
          <w:rFonts w:ascii="Times New Roman" w:cs="Times New Roman" w:eastAsia="Times New Roman" w:hAnsi="Times New Roman"/>
          <w:sz w:val="20"/>
          <w:szCs w:val="20"/>
          <w:u w:val="single" w:color="auto"/>
          <w:color w:val="0000FF"/>
        </w:rPr>
        <w:t>0.250</w:t>
      </w:r>
      <w:r>
        <w:rPr>
          <w:rFonts w:ascii="Times New Roman" w:cs="Times New Roman" w:eastAsia="Times New Roman" w:hAnsi="Times New Roman"/>
          <w:sz w:val="20"/>
          <w:szCs w:val="20"/>
          <w:color w:val="auto"/>
        </w:rPr>
        <w:t>% and (ii)</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thereafter, the following percentages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based upon the Consolidated Leverage Ratio as set forth in the most recent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Compliance Certificate received by the Agent pursuant to Section 5.01(c):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80"/>
          </w:cols>
          <w:pgMar w:left="320" w:top="1413" w:right="399" w:bottom="1440" w:gutter="0" w:footer="0" w:header="0"/>
        </w:sectPr>
      </w:pPr>
    </w:p>
    <w:bookmarkStart w:id="154" w:name="page155"/>
    <w:bookmarkEnd w:id="15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20" w:type="dxa"/>
            <w:vAlign w:val="bottom"/>
            <w:tcBorders>
              <w:top w:val="single" w:sz="8" w:color="auto"/>
              <w:left w:val="single" w:sz="8" w:color="auto"/>
              <w:right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right w:val="single" w:sz="8" w:color="auto"/>
            </w:tcBorders>
          </w:tcPr>
          <w:p>
            <w:pPr>
              <w:spacing w:after="0"/>
              <w:rPr>
                <w:sz w:val="17"/>
                <w:szCs w:val="17"/>
                <w:color w:val="auto"/>
              </w:rPr>
            </w:pPr>
          </w:p>
        </w:tc>
        <w:tc>
          <w:tcPr>
            <w:tcW w:w="196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Eurocurrency Rate</w:t>
            </w:r>
          </w:p>
        </w:tc>
        <w:tc>
          <w:tcPr>
            <w:tcW w:w="1940" w:type="dxa"/>
            <w:vAlign w:val="bottom"/>
            <w:tcBorders>
              <w:top w:val="single" w:sz="8" w:color="auto"/>
              <w:right w:val="single" w:sz="8" w:color="auto"/>
            </w:tcBorders>
          </w:tcPr>
          <w:p>
            <w:pPr>
              <w:spacing w:after="0"/>
              <w:rPr>
                <w:sz w:val="17"/>
                <w:szCs w:val="17"/>
                <w:color w:val="auto"/>
              </w:rPr>
            </w:pPr>
          </w:p>
        </w:tc>
        <w:tc>
          <w:tcPr>
            <w:tcW w:w="1960" w:type="dxa"/>
            <w:vAlign w:val="bottom"/>
            <w:tcBorders>
              <w:top w:val="single" w:sz="8" w:color="auto"/>
              <w:right w:val="single" w:sz="8" w:color="auto"/>
            </w:tcBorders>
          </w:tcPr>
          <w:p>
            <w:pPr>
              <w:spacing w:after="0"/>
              <w:rPr>
                <w:sz w:val="17"/>
                <w:szCs w:val="17"/>
                <w:color w:val="auto"/>
              </w:rPr>
            </w:pPr>
          </w:p>
        </w:tc>
        <w:tc>
          <w:tcPr>
            <w:tcW w:w="19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Loans, Term CORRA</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 Loans and</w:t>
            </w:r>
          </w:p>
        </w:tc>
        <w:tc>
          <w:tcPr>
            <w:tcW w:w="196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Borders>
              <w:left w:val="single" w:sz="8" w:color="auto"/>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right w:val="single" w:sz="8" w:color="auto"/>
            </w:tcBorders>
            <w:gridSpan w:val="3"/>
            <w:vMerge w:val="restart"/>
          </w:tcPr>
          <w:p>
            <w:pPr>
              <w:jc w:val="center"/>
              <w:ind w:right="500"/>
              <w:spacing w:after="0"/>
              <w:rPr>
                <w:sz w:val="20"/>
                <w:szCs w:val="20"/>
                <w:color w:val="auto"/>
              </w:rPr>
            </w:pPr>
            <w:r>
              <w:rPr>
                <w:rFonts w:ascii="Times New Roman" w:cs="Times New Roman" w:eastAsia="Times New Roman" w:hAnsi="Times New Roman"/>
                <w:sz w:val="20"/>
                <w:szCs w:val="20"/>
                <w:b w:val="1"/>
                <w:bCs w:val="1"/>
                <w:color w:val="auto"/>
                <w:w w:val="99"/>
              </w:rPr>
              <w:t>Consolidated</w:t>
            </w:r>
          </w:p>
        </w:tc>
        <w:tc>
          <w:tcPr>
            <w:tcW w:w="19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6"/>
              </w:rPr>
              <w:t>Rate Loans, Term</w:t>
            </w:r>
          </w:p>
        </w:tc>
        <w:tc>
          <w:tcPr>
            <w:tcW w:w="1940" w:type="dxa"/>
            <w:vAlign w:val="bottom"/>
            <w:tcBorders>
              <w:right w:val="single" w:sz="8" w:color="auto"/>
            </w:tcBorders>
            <w:vMerge w:val="continue"/>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 Fee</w:t>
            </w: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Pricing Level</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right w:val="single" w:sz="8" w:color="auto"/>
            </w:tcBorders>
            <w:gridSpan w:val="3"/>
            <w:vMerge w:val="continue"/>
          </w:tcPr>
          <w:p>
            <w:pPr>
              <w:spacing w:after="0"/>
              <w:rPr>
                <w:sz w:val="17"/>
                <w:szCs w:val="17"/>
                <w:color w:val="auto"/>
              </w:rPr>
            </w:pPr>
          </w:p>
        </w:tc>
        <w:tc>
          <w:tcPr>
            <w:tcW w:w="196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Benchmark Loans</w:t>
            </w:r>
          </w:p>
        </w:tc>
        <w:tc>
          <w:tcPr>
            <w:tcW w:w="194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Canadian Base Rate</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SONIA Rate Loans</w:t>
            </w:r>
          </w:p>
        </w:tc>
        <w:tc>
          <w:tcPr>
            <w:tcW w:w="19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2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60" w:type="dxa"/>
            <w:vAlign w:val="bottom"/>
            <w:tcBorders>
              <w:bottom w:val="single" w:sz="8" w:color="auto"/>
              <w:right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8"/>
              </w:rPr>
              <w:t>Leverage Ratio</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and LC Fees</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Loans</w:t>
            </w:r>
          </w:p>
        </w:tc>
        <w:tc>
          <w:tcPr>
            <w:tcW w:w="1960" w:type="dxa"/>
            <w:vAlign w:val="bottom"/>
            <w:tcBorders>
              <w:bottom w:val="single" w:sz="8" w:color="auto"/>
              <w:right w:val="single" w:sz="8" w:color="auto"/>
            </w:tcBorders>
            <w:vMerge w:val="continue"/>
          </w:tcPr>
          <w:p>
            <w:pPr>
              <w:spacing w:after="0"/>
              <w:rPr>
                <w:sz w:val="22"/>
                <w:szCs w:val="22"/>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Rate</w:t>
            </w:r>
          </w:p>
        </w:tc>
        <w:tc>
          <w:tcPr>
            <w:tcW w:w="0" w:type="dxa"/>
            <w:vAlign w:val="bottom"/>
          </w:tcPr>
          <w:p>
            <w:pPr>
              <w:spacing w:after="0"/>
              <w:rPr>
                <w:sz w:val="1"/>
                <w:szCs w:val="1"/>
                <w:color w:val="auto"/>
              </w:rPr>
            </w:pPr>
          </w:p>
        </w:tc>
      </w:tr>
      <w:tr>
        <w:trPr>
          <w:trHeight w:val="250"/>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20"/>
                <w:szCs w:val="20"/>
                <w:color w:val="auto"/>
                <w:w w:val="98"/>
              </w:rPr>
              <w:t>&gt; 4.75 to 1.00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1.625%</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0.625%</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1.6576%</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0.300%</w:t>
            </w:r>
          </w:p>
        </w:tc>
        <w:tc>
          <w:tcPr>
            <w:tcW w:w="0" w:type="dxa"/>
            <w:vAlign w:val="bottom"/>
          </w:tcPr>
          <w:p>
            <w:pPr>
              <w:spacing w:after="0"/>
              <w:rPr>
                <w:sz w:val="1"/>
                <w:szCs w:val="1"/>
                <w:color w:val="auto"/>
              </w:rPr>
            </w:pPr>
          </w:p>
        </w:tc>
      </w:tr>
      <w:tr>
        <w:trPr>
          <w:trHeight w:val="263"/>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2220" w:type="dxa"/>
            <w:vAlign w:val="bottom"/>
            <w:tcBorders>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20"/>
                <w:szCs w:val="20"/>
                <w:color w:val="auto"/>
                <w:w w:val="99"/>
              </w:rPr>
              <w:t>&lt; 4.75 to 1.00 but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1.500%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0.500%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1.5326%</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0.250%</w:t>
            </w: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740" w:type="dxa"/>
            <w:vAlign w:val="bottom"/>
            <w:tcBorders>
              <w:right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20"/>
                <w:szCs w:val="20"/>
                <w:color w:val="auto"/>
                <w:w w:val="98"/>
              </w:rPr>
              <w:t>&gt; 4.25 to 1.00</w:t>
            </w:r>
          </w:p>
        </w:tc>
        <w:tc>
          <w:tcPr>
            <w:tcW w:w="1960" w:type="dxa"/>
            <w:vAlign w:val="bottom"/>
            <w:tcBorders>
              <w:right w:val="single" w:sz="8" w:color="auto"/>
            </w:tcBorders>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c>
          <w:tcPr>
            <w:tcW w:w="1960" w:type="dxa"/>
            <w:vAlign w:val="bottom"/>
            <w:tcBorders>
              <w:right w:val="single" w:sz="8" w:color="auto"/>
            </w:tcBorders>
          </w:tcPr>
          <w:p>
            <w:pPr>
              <w:spacing w:after="0"/>
              <w:rPr>
                <w:sz w:val="23"/>
                <w:szCs w:val="23"/>
                <w:color w:val="auto"/>
              </w:rPr>
            </w:pPr>
          </w:p>
        </w:tc>
        <w:tc>
          <w:tcPr>
            <w:tcW w:w="1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1220" w:type="dxa"/>
            <w:vAlign w:val="bottom"/>
            <w:tcBorders>
              <w:left w:val="single" w:sz="8" w:color="auto"/>
              <w:bottom w:val="single" w:sz="8" w:color="auto"/>
              <w:right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2220" w:type="dxa"/>
            <w:vAlign w:val="bottom"/>
            <w:tcBorders>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20"/>
                <w:szCs w:val="20"/>
                <w:color w:val="auto"/>
                <w:w w:val="99"/>
              </w:rPr>
              <w:t>&lt; 4.25 to 1.00 but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1.375%</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0.375%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1.4076%</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0.200%</w:t>
            </w:r>
          </w:p>
        </w:tc>
        <w:tc>
          <w:tcPr>
            <w:tcW w:w="0" w:type="dxa"/>
            <w:vAlign w:val="bottom"/>
          </w:tcPr>
          <w:p>
            <w:pPr>
              <w:spacing w:after="0"/>
              <w:rPr>
                <w:sz w:val="1"/>
                <w:szCs w:val="1"/>
                <w:color w:val="auto"/>
              </w:rPr>
            </w:pPr>
          </w:p>
        </w:tc>
      </w:tr>
      <w:tr>
        <w:trPr>
          <w:trHeight w:val="269"/>
        </w:trPr>
        <w:tc>
          <w:tcPr>
            <w:tcW w:w="122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740" w:type="dxa"/>
            <w:vAlign w:val="bottom"/>
            <w:tcBorders>
              <w:right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20"/>
                <w:szCs w:val="20"/>
                <w:color w:val="auto"/>
                <w:w w:val="98"/>
              </w:rPr>
              <w:t>&gt; 3.75 to 1.00</w:t>
            </w:r>
          </w:p>
        </w:tc>
        <w:tc>
          <w:tcPr>
            <w:tcW w:w="1960" w:type="dxa"/>
            <w:vAlign w:val="bottom"/>
            <w:tcBorders>
              <w:right w:val="single" w:sz="8" w:color="auto"/>
            </w:tcBorders>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c>
          <w:tcPr>
            <w:tcW w:w="1960" w:type="dxa"/>
            <w:vAlign w:val="bottom"/>
            <w:tcBorders>
              <w:right w:val="single" w:sz="8" w:color="auto"/>
            </w:tcBorders>
          </w:tcPr>
          <w:p>
            <w:pPr>
              <w:spacing w:after="0"/>
              <w:rPr>
                <w:sz w:val="23"/>
                <w:szCs w:val="23"/>
                <w:color w:val="auto"/>
              </w:rPr>
            </w:pPr>
          </w:p>
        </w:tc>
        <w:tc>
          <w:tcPr>
            <w:tcW w:w="1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1220" w:type="dxa"/>
            <w:vAlign w:val="bottom"/>
            <w:tcBorders>
              <w:left w:val="single" w:sz="8" w:color="auto"/>
              <w:bottom w:val="single" w:sz="8" w:color="auto"/>
              <w:right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2220" w:type="dxa"/>
            <w:vAlign w:val="bottom"/>
            <w:tcBorders>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20"/>
                <w:szCs w:val="20"/>
                <w:color w:val="auto"/>
                <w:w w:val="99"/>
              </w:rPr>
              <w:t>&lt; 3.75 to 1.00 but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0.250%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1.2826%</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0.200%</w:t>
            </w: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740" w:type="dxa"/>
            <w:vAlign w:val="bottom"/>
            <w:tcBorders>
              <w:right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20"/>
                <w:szCs w:val="20"/>
                <w:color w:val="auto"/>
                <w:w w:val="98"/>
              </w:rPr>
              <w:t>&gt; 3.25 to 1.00</w:t>
            </w:r>
          </w:p>
        </w:tc>
        <w:tc>
          <w:tcPr>
            <w:tcW w:w="1960" w:type="dxa"/>
            <w:vAlign w:val="bottom"/>
            <w:tcBorders>
              <w:right w:val="single" w:sz="8" w:color="auto"/>
            </w:tcBorders>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c>
          <w:tcPr>
            <w:tcW w:w="1960" w:type="dxa"/>
            <w:vAlign w:val="bottom"/>
            <w:tcBorders>
              <w:right w:val="single" w:sz="8" w:color="auto"/>
            </w:tcBorders>
          </w:tcPr>
          <w:p>
            <w:pPr>
              <w:spacing w:after="0"/>
              <w:rPr>
                <w:sz w:val="23"/>
                <w:szCs w:val="23"/>
                <w:color w:val="auto"/>
              </w:rPr>
            </w:pPr>
          </w:p>
        </w:tc>
        <w:tc>
          <w:tcPr>
            <w:tcW w:w="1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1220" w:type="dxa"/>
            <w:vAlign w:val="bottom"/>
            <w:tcBorders>
              <w:left w:val="single" w:sz="8" w:color="auto"/>
              <w:bottom w:val="single" w:sz="8" w:color="auto"/>
              <w:right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Borders>
              <w:right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20"/>
                <w:szCs w:val="20"/>
                <w:color w:val="auto"/>
                <w:w w:val="98"/>
              </w:rPr>
              <w:t>&lt; 3.25 to 1.00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1.125%</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0.125%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1.1576%</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0.150%</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60" w:right="40"/>
        <w:spacing w:after="0" w:line="269" w:lineRule="auto"/>
        <w:rPr>
          <w:sz w:val="20"/>
          <w:szCs w:val="20"/>
          <w:color w:val="auto"/>
        </w:rPr>
      </w:pPr>
      <w:r>
        <w:rPr>
          <w:rFonts w:ascii="Times New Roman" w:cs="Times New Roman" w:eastAsia="Times New Roman" w:hAnsi="Times New Roman"/>
          <w:sz w:val="19"/>
          <w:szCs w:val="19"/>
          <w:color w:val="auto"/>
        </w:rPr>
        <w:t xml:space="preserve">Any increase or decrease in the Applicable Rate pursuant to this clause (b) resulting from a change in the Consolidated Leverage Ratio shall become effective as of the third Business Day immediately following the date a Compliance Certificate is delivered pursuant to Section 5.01(c);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Compliance Certificate is not delivered by the date required by Section 5.01(c) then, in the case of the 2024 Tranche Revolving Loans, the 2024 Refinancing Term A Loans, Commitment Fees and LC Fees, at the option of the Required Financial Covenant Lenders, Pricing Level 1 shall apply from the Business Day following the date such Compliance Certificate was required to be delivered until the first Business Day following the date such Compliance Certificate is delivered;</w:t>
      </w:r>
    </w:p>
    <w:p>
      <w:pPr>
        <w:spacing w:after="0" w:line="164" w:lineRule="exact"/>
        <w:rPr>
          <w:sz w:val="20"/>
          <w:szCs w:val="20"/>
          <w:color w:val="auto"/>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U.S. Term B-4 Loans, (A) for Term Benchmark Loans, 1.75% and (B) for Base Rate Loans, 0.75%;</w:t>
      </w:r>
    </w:p>
    <w:p>
      <w:pPr>
        <w:spacing w:after="0" w:line="229" w:lineRule="exact"/>
        <w:rPr>
          <w:rFonts w:ascii="Times New Roman" w:cs="Times New Roman" w:eastAsia="Times New Roman" w:hAnsi="Times New Roman"/>
          <w:sz w:val="20"/>
          <w:szCs w:val="20"/>
          <w:color w:val="auto"/>
        </w:rPr>
      </w:pPr>
    </w:p>
    <w:p>
      <w:pPr>
        <w:ind w:left="660" w:right="340" w:firstLine="644"/>
        <w:spacing w:after="0" w:line="269" w:lineRule="auto"/>
        <w:tabs>
          <w:tab w:leader="none" w:pos="177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U.S. Term B-7 Loans and U.S. Term B-8 Loans (A) for Term Benchmark Loans, 2.00%, and (B) for Base Rate Loans, 1.00%; and</w:t>
      </w:r>
    </w:p>
    <w:p>
      <w:pPr>
        <w:spacing w:after="0" w:line="172" w:lineRule="exact"/>
        <w:rPr>
          <w:rFonts w:ascii="Times New Roman" w:cs="Times New Roman" w:eastAsia="Times New Roman" w:hAnsi="Times New Roman"/>
          <w:sz w:val="20"/>
          <w:szCs w:val="20"/>
          <w:color w:val="auto"/>
        </w:rPr>
      </w:pPr>
    </w:p>
    <w:p>
      <w:pPr>
        <w:jc w:val="both"/>
        <w:ind w:left="660" w:right="160" w:firstLine="644"/>
        <w:spacing w:after="0" w:line="261" w:lineRule="auto"/>
        <w:tabs>
          <w:tab w:leader="none" w:pos="173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New Term Loan or Extended Term Loan of any Class or any Revolving Loan, Commitment Fee or LC Fee under any New Revolving Facility, the “Applicable Rates” set forth in the supplement relating thereto entered into pursuant to Section 2.19.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Commercial Bank</w:t>
      </w:r>
      <w:r>
        <w:rPr>
          <w:rFonts w:ascii="Times New Roman" w:cs="Times New Roman" w:eastAsia="Times New Roman" w:hAnsi="Times New Roman"/>
          <w:sz w:val="20"/>
          <w:szCs w:val="20"/>
          <w:color w:val="auto"/>
        </w:rPr>
        <w:t>” means a commercial bank with a consolidated combined capital surplus of at least $5,000,000,000.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60"/>
          </w:cols>
          <w:pgMar w:left="320" w:top="1440" w:right="319" w:bottom="1440" w:gutter="0" w:footer="0" w:header="0"/>
        </w:sectPr>
      </w:pPr>
    </w:p>
    <w:bookmarkStart w:id="155" w:name="page156"/>
    <w:bookmarkEnd w:id="155"/>
    <w:p>
      <w:pPr>
        <w:ind w:right="26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Communications</w:t>
      </w:r>
      <w:r>
        <w:rPr>
          <w:rFonts w:ascii="Times New Roman" w:cs="Times New Roman" w:eastAsia="Times New Roman" w:hAnsi="Times New Roman"/>
          <w:sz w:val="20"/>
          <w:szCs w:val="20"/>
          <w:color w:val="auto"/>
        </w:rPr>
        <w:t>” means each notice, demand, communication, information, document and other material that any Loan Party is obligated to, or otherwise chooses to, provide to the Agent pursuant to any Loan Document or the transactions contemplated therein, including (a) any supplement, joinder or amendment to the Collateral Documents and any other written contractual obligation delivered or required to be delivered in respect of any Loan Document or the transactions contemplated therein and (b) any financial statement, financial and other report, notice, request, certificate and other information material.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meaning assigned to it in Section 9.04(b).</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 Prepayment Event</w:t>
      </w:r>
      <w:r>
        <w:rPr>
          <w:rFonts w:ascii="Times New Roman" w:cs="Times New Roman" w:eastAsia="Times New Roman" w:hAnsi="Times New Roman"/>
          <w:sz w:val="20"/>
          <w:szCs w:val="20"/>
          <w:color w:val="auto"/>
        </w:rPr>
        <w:t>” means any Disposition of any business units, assets or other property of the U.S. Borrower or any of the Restricted Subsidiaries not in the ordinary course of business (including any Disposition of any Equity Interests of any Subsidiary of the U.S. Borrower owned by the U.S. Borrower or a Restricted Subsidiary). Notwithstanding the foregoing, the term “Asset Sale Prepayment Event” shall not include any transaction permitted (or not expressly prohibited) by Section 6.06, other than transactions consummated in reliance on Section 6.06(j) or (n).</w:t>
      </w:r>
    </w:p>
    <w:p>
      <w:pPr>
        <w:spacing w:after="0" w:line="84"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means an assignment and assumption entered into by a Lender and an assignee (with the consent of any party whose consent is required by Section 9.04), and accepted by the Agent,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or any other form approved by the Agent.</w:t>
      </w:r>
    </w:p>
    <w:p>
      <w:pPr>
        <w:spacing w:after="0" w:line="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Debt</w:t>
      </w:r>
      <w:r>
        <w:rPr>
          <w:rFonts w:ascii="Times New Roman" w:cs="Times New Roman" w:eastAsia="Times New Roman" w:hAnsi="Times New Roman"/>
          <w:sz w:val="20"/>
          <w:szCs w:val="20"/>
          <w:color w:val="auto"/>
        </w:rPr>
        <w:t xml:space="preserve">” in respect of a Sale and Lease-Back Transaction means, as at the time of determination, the present value (discounted at the interest rate then borne by the U.S. Term B Loans that are Eurocurrency Rate Loans (as if such Loans were currently outstanding at such time), compounded annually) of the total obligations of the lessee for rental payments during the remaining term of the lease included in such Sale and Lease-Back Transaction (including any period for which such lease has been extended);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Sale and Lease-Back Transaction results in a Capitalized Lease Obligation, the amount of Indebtedness represented thereby will be determined in accordance with the definition of “Capitalized Lease Obligation.”</w:t>
      </w:r>
    </w:p>
    <w:p>
      <w:pPr>
        <w:spacing w:after="0" w:line="71"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Currency</w:t>
      </w:r>
      <w:r>
        <w:rPr>
          <w:rFonts w:ascii="Times New Roman" w:cs="Times New Roman" w:eastAsia="Times New Roman" w:hAnsi="Times New Roman"/>
          <w:sz w:val="20"/>
          <w:szCs w:val="20"/>
          <w:color w:val="auto"/>
        </w:rPr>
        <w:t>” means each of Dollars, Euro, Sterling and Canadian Dollars and any other currency approved in accordance with Section 1.09.</w:t>
      </w:r>
    </w:p>
    <w:p>
      <w:pPr>
        <w:spacing w:after="0" w:line="38"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(a) prior to the 2024 Refinancing Amendments Effective Date, the exercise of any Write-Down and Conversion Powers by the applicable EEA Resolution Authority in respect of any liability of an EEA Financial Institution, and (b) from and after the 2024 Refinancing Amendments Effective Date, the exercise of any Write-Down and Conversion Powers.</w:t>
      </w:r>
    </w:p>
    <w:p>
      <w:pPr>
        <w:spacing w:after="0" w:line="5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(i) prior to the 2024 Refinancing Amendments Effective Date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(ii) from and after the 2024 Refinancing Amendments Effective Date, (a) with respect to any EEA Member Country which has implemented, or which at any time implements Article 55 of Directive 2014/59/EU of the European Parliament and of the Council of the European Union, the implementing law for such EEA Member Country from time to time which is described in the EU Bail-In Legislation Schedule (b) with respect to the United Kingdom, Part I of the “UK Bail-In Legislation” (meaning to the extent that the United Kingdom is not an EEA Member Country which has implemented, or implements, Article 55 BRRD) Part I of the UK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 and (c) in relation to any state other than such an EEA Member Country and the United Kingdom, any analogous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56" w:name="page157"/>
    <w:bookmarkEnd w:id="156"/>
    <w:p>
      <w:pPr>
        <w:ind w:right="160"/>
        <w:spacing w:after="0" w:line="283" w:lineRule="auto"/>
        <w:rPr>
          <w:sz w:val="20"/>
          <w:szCs w:val="20"/>
          <w:color w:val="auto"/>
        </w:rPr>
      </w:pPr>
      <w:r>
        <w:rPr>
          <w:rFonts w:ascii="Times New Roman" w:cs="Times New Roman" w:eastAsia="Times New Roman" w:hAnsi="Times New Roman"/>
          <w:sz w:val="20"/>
          <w:szCs w:val="20"/>
          <w:color w:val="auto"/>
        </w:rPr>
        <w:t>law or regulation from time to time which requires contractual recognition of any Write-down and Conversion Powers contained in that law or regulation.</w:t>
      </w:r>
    </w:p>
    <w:p>
      <w:pPr>
        <w:spacing w:after="0" w:line="3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Agent, has taken any action in furtherance of, or indicating its consent to, approval of, or acquiescence in, any such proceeding or appointment;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8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greater of (a) the Prime Rate in effect on such day, (b) the NYFRB Rate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½ of 1% and (c) the Adjusted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the Eurocurrency Rate or the Adjusted Term SOFR Rate shall be effective from and including the effective date of such change in the Prime Rate, the NYFRB Rate, the Eurocurrency Rate or the Adjusted Term SOFR Rate, respectively.</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means the first alternative set forth in the order below that can be determined by the Administrative Agent for the applicable Benchmark Replacement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Loan denominated in an Alternative Currency, “Benchmark Replacement” shall mean the alternative set forth in (2) below:</w:t>
      </w:r>
    </w:p>
    <w:p>
      <w:pPr>
        <w:spacing w:after="0" w:line="73" w:lineRule="exact"/>
        <w:rPr>
          <w:sz w:val="20"/>
          <w:szCs w:val="20"/>
          <w:color w:val="auto"/>
        </w:rPr>
      </w:pPr>
    </w:p>
    <w:p>
      <w:pPr>
        <w:ind w:left="280" w:hanging="272"/>
        <w:spacing w:after="0"/>
        <w:tabs>
          <w:tab w:leader="none" w:pos="2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Loan denominated in Dollars, (a) Daily Simple SOFR and (b) the related Benchmark Replacement Adjustment; or</w:t>
      </w:r>
    </w:p>
    <w:p>
      <w:pPr>
        <w:spacing w:after="0" w:line="107" w:lineRule="exact"/>
        <w:rPr>
          <w:rFonts w:ascii="Times New Roman" w:cs="Times New Roman" w:eastAsia="Times New Roman" w:hAnsi="Times New Roman"/>
          <w:sz w:val="20"/>
          <w:szCs w:val="20"/>
          <w:color w:val="auto"/>
        </w:rPr>
      </w:pPr>
    </w:p>
    <w:p>
      <w:pPr>
        <w:ind w:firstLine="8"/>
        <w:spacing w:after="0" w:line="274" w:lineRule="auto"/>
        <w:tabs>
          <w:tab w:leader="none" w:pos="28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the alternate benchmark rate for the applicable currency that has been selected by the Administrative Agent and the applicable Borrowers for the applicable Corresponding Tenor giving due consideration to (i) any selection or recommendation of a replacement rate or the mechanism for determining such a rate by the Relevant Governmental Body and/or (ii) any evolving or then-prevailing market convention for determining a rate of interest as a replacement to the Eurocurrency Rate, Term SOFR Rate or Term CORRA Rate, as applicable, for syndicated credit facilities denominated in an applicable currency and (b) the Benchmark Replacement Adjustment;</w:t>
      </w:r>
    </w:p>
    <w:p>
      <w:pPr>
        <w:spacing w:after="0" w:line="4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Benchmark Replacement as so determined would be less than zero, the Benchmark Replacement will be deemed to be zero for the purposes of this Agreement; provided further that any such Benchmark Replacement shall be administratively feasible as determined by the Administrative Agent in its sole discretion;</w:t>
      </w:r>
    </w:p>
    <w:p>
      <w:pPr>
        <w:spacing w:after="0" w:line="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Term CORRA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57" w:name="page158"/>
    <w:bookmarkEnd w:id="157"/>
    <w:p>
      <w:pPr>
        <w:ind w:right="12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the spread adjustment, or method for calculating or determining such spread adjustment, (which may be a positive or negative value or zero) for the applicable currency that has been selected by the Administrative Agent and the applicable Borrowers for the applicable Corresponding Tenor giving due consideration to (i) any selection or recommendation of a spread adjustment, or method for calculating or determining such spread adjustment, for the replacement of the Eurocurrency Rate, Term SOFR Rate or Term CORRA Rate, as applicable, with the applicable Unadjusted Benchmark Replacement by the Relevant Governmental Body and/or (ii) any evolving or then-prevailing market convention for determining a spread adjustment, or method for calculating or determining such spread adjustment, for the replacement of the Eurocurrency Rate, Term SOFR Rate, or Term CORRA Rate, as applicable, with the applicable Unadjusted Benchmark Replacement for syndicated credit facilities denominated in an applicable currency at such time (for the avoidance of doubt, such Benchmark Replacement Adjustment shall not be in the form of a reduction to the Applicable Rate).</w:t>
      </w:r>
    </w:p>
    <w:p>
      <w:pPr>
        <w:spacing w:after="0" w:line="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any technical, administrative or operational changes (including changes to the definition of “Base Rate,” the definition of “Canadian Base Rate,” the definition of “Interest Period,” the definition of “Eurocurrency Interest Period,” the definition of “Term Benchmark Interest Period,” the definition of “Term CORRA Interest Period,” the definition of “Business Day,” or the definition of “U.S. Government Securities Business Day,” timing and frequency of determining rates and making payments of interest and other administrative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69"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the earlier to occur of the following events with respect to the Eurocurrency Rate, Term SOFR Rate or Term CORRA Rate, as applicable, for any currency:</w:t>
      </w:r>
    </w:p>
    <w:p>
      <w:pPr>
        <w:spacing w:after="0" w:line="38" w:lineRule="exact"/>
        <w:rPr>
          <w:sz w:val="20"/>
          <w:szCs w:val="20"/>
          <w:color w:val="auto"/>
        </w:rPr>
      </w:pPr>
    </w:p>
    <w:p>
      <w:pPr>
        <w:ind w:left="660" w:right="20" w:firstLine="644"/>
        <w:spacing w:after="0" w:line="257" w:lineRule="auto"/>
        <w:tabs>
          <w:tab w:leader="none" w:pos="158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in the case of the Eurocurrency Rate, the administrator of the Eurocurrency Screen Rate, in the case of the Term CORRA Rate, the Term CORRA Administrator, or in the case of the Term SOFR Rate, the CME Term SOFR Administrator, permanently or indefinitely ceases to provide the Eurocurrency Screen Rate, the Term SOFR Reference Rate, or the Term CORRA Reference Rate, as applicable;</w:t>
      </w:r>
    </w:p>
    <w:p>
      <w:pPr>
        <w:spacing w:after="0" w:line="64" w:lineRule="exact"/>
        <w:rPr>
          <w:rFonts w:ascii="Times New Roman" w:cs="Times New Roman" w:eastAsia="Times New Roman" w:hAnsi="Times New Roman"/>
          <w:sz w:val="20"/>
          <w:szCs w:val="20"/>
          <w:color w:val="auto"/>
        </w:rPr>
      </w:pPr>
    </w:p>
    <w:p>
      <w:pPr>
        <w:ind w:left="660" w:firstLine="644"/>
        <w:spacing w:after="0" w:line="283" w:lineRule="auto"/>
        <w:tabs>
          <w:tab w:leader="none" w:pos="158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(3) of the definition of “Benchmark Transition Event,” the date of the public statement or publication of information referenced therein; or</w:t>
      </w:r>
    </w:p>
    <w:p>
      <w:pPr>
        <w:spacing w:after="0" w:line="51" w:lineRule="exact"/>
        <w:rPr>
          <w:rFonts w:ascii="Times New Roman" w:cs="Times New Roman" w:eastAsia="Times New Roman" w:hAnsi="Times New Roman"/>
          <w:sz w:val="20"/>
          <w:szCs w:val="20"/>
          <w:color w:val="auto"/>
        </w:rPr>
      </w:pPr>
    </w:p>
    <w:p>
      <w:pPr>
        <w:ind w:left="660" w:right="120" w:firstLine="644"/>
        <w:spacing w:after="0" w:line="269" w:lineRule="auto"/>
        <w:tabs>
          <w:tab w:leader="none" w:pos="158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CORRA Reelection Event, the date that is thirty (30) days after the date a Term CORRA Notice (if any) is provided to the Lenders and the Borrower pursuant to Section 2.14(f)(ii)(x).</w:t>
      </w:r>
    </w:p>
    <w:p>
      <w:pPr>
        <w:spacing w:after="0" w:line="65"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Eurocurrency Rate, Term SOFR Rate or Term CORRA Rate, as applicable, for any currency:</w:t>
      </w:r>
    </w:p>
    <w:p>
      <w:pPr>
        <w:spacing w:after="0" w:line="65" w:lineRule="exact"/>
        <w:rPr>
          <w:sz w:val="20"/>
          <w:szCs w:val="20"/>
          <w:color w:val="auto"/>
        </w:rPr>
      </w:pPr>
    </w:p>
    <w:p>
      <w:pPr>
        <w:ind w:left="660" w:right="20" w:firstLine="644"/>
        <w:spacing w:after="0" w:line="261" w:lineRule="auto"/>
        <w:tabs>
          <w:tab w:leader="none" w:pos="158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in the case of the Eurocurrency Rate, the administrator of the Eurocurrency Screen Rate, in the case of the Term CORRA Rate, the Term CORRA Administrator, or, in the case of the Term SOFR Rate, the CME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58" w:name="page159"/>
    <w:bookmarkEnd w:id="158"/>
    <w:p>
      <w:pPr>
        <w:ind w:left="660" w:right="40"/>
        <w:spacing w:after="0" w:line="258" w:lineRule="auto"/>
        <w:rPr>
          <w:sz w:val="20"/>
          <w:szCs w:val="20"/>
          <w:color w:val="auto"/>
        </w:rPr>
      </w:pPr>
      <w:r>
        <w:rPr>
          <w:rFonts w:ascii="Times New Roman" w:cs="Times New Roman" w:eastAsia="Times New Roman" w:hAnsi="Times New Roman"/>
          <w:sz w:val="20"/>
          <w:szCs w:val="20"/>
          <w:color w:val="auto"/>
        </w:rPr>
        <w:t>Term SOFR Administrator, announcing that such administrator has ceased or will cease to provide the Eurocurrency Screen Rate, the Term CORRA Reference Rate, or the Term SOFR Reference Rate, as appliable, permanently or indefinitely, provided that, at the time of such statement or publication, there is no successor administrator that will continue to provide the Eurocurrency Screen Rate, the Term CORRA Reference Rate, or Term SOFR Reference Rate, as applicable;</w:t>
      </w:r>
    </w:p>
    <w:p>
      <w:pPr>
        <w:spacing w:after="0" w:line="64" w:lineRule="exact"/>
        <w:rPr>
          <w:sz w:val="20"/>
          <w:szCs w:val="20"/>
          <w:color w:val="auto"/>
        </w:rPr>
      </w:pPr>
    </w:p>
    <w:p>
      <w:pPr>
        <w:ind w:left="660" w:right="40" w:firstLine="644"/>
        <w:spacing w:after="0" w:line="251" w:lineRule="auto"/>
        <w:tabs>
          <w:tab w:leader="none" w:pos="158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in the case of the Eurocurrency Rate, the administrator of the Eurocurrency Screen Rate, in the case of the Term CORRA Rate, the Term CORRA Administrator, or, in the case of the Term SOFR Rate, the CME Term SOFR Administrator, the U.S. Federal Reserve System, an insolvency official with jurisdiction over the administrator for the Eurocurrency Screen Rate, the Term CORRA Administrator, or the CME Term SOFR Administrator, as applicable, a resolution authority with jurisdiction over the administrator for the Eurocurrency Screen Rate, the Term CORRA Administrator, or the CME Term SOFR Administrator, as applicable, or a court or an entity with similar insolvency or resolution authority over the administrator for the Eurocurrency Screen Rate, the Term CORRA Administrator, or the CME Term SOFR Administrator, as applicable, in each case which states that the administrator of the Eurocurrency Screen Rate, the Term CORRA Administrator, or the CME Term SOFR Administrator, as applicable, has ceased or will cease to provide the Eurocurrency Screen Rate, the Term CORRA Reference Rate, or the Term SOFR Reference Rate, as applicable, permanently or indefinitely, provided that, at the time of such statement or publication, there is no successor administrator that will continue to provide the Eurocurrency Screen Rate, the Term CORRA Rate, or the Term SOFR Rate, as applicable; and/or</w:t>
      </w:r>
    </w:p>
    <w:p>
      <w:pPr>
        <w:spacing w:after="0" w:line="83" w:lineRule="exact"/>
        <w:rPr>
          <w:rFonts w:ascii="Times New Roman" w:cs="Times New Roman" w:eastAsia="Times New Roman" w:hAnsi="Times New Roman"/>
          <w:sz w:val="20"/>
          <w:szCs w:val="20"/>
          <w:color w:val="auto"/>
        </w:rPr>
      </w:pPr>
    </w:p>
    <w:p>
      <w:pPr>
        <w:ind w:left="660" w:right="20" w:firstLine="644"/>
        <w:spacing w:after="0" w:line="254" w:lineRule="auto"/>
        <w:tabs>
          <w:tab w:leader="none" w:pos="158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in the case of the Eurocurrency Rate, the administrator of the Eurocurrency Screen Rate, in the case of the Term CORRA Rate, the Term CORRA Administrator, or, in the case of the Term SOFR Rate, the CME Term SOFR Administrator, announcing that the Eurocurrency Screen Rate, the Term CORRA Reference Rate, or the Term SOFR Reference Rate, as applicable, is no longer representative.</w:t>
      </w:r>
    </w:p>
    <w:p>
      <w:pPr>
        <w:spacing w:after="0" w:line="7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Class Lenders of each Facility providing for Loans in the applicable currency, as applicable, by notice to the applicable Borrowers, the Administrative Agent (in the case of such notice by the Required Class Lenders of each Facility providing for Loans in the applicable currency) and the Lenders.</w:t>
      </w:r>
    </w:p>
    <w:p>
      <w:pPr>
        <w:spacing w:after="0" w:line="8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if a Benchmark Transition Event and its related Benchmark Replacement Date have occurred with respect to the Eurocurrency Rate, Term SOFR Rate or Term CORRA Rate, as applicable, for the applicable currency and solely to the extent that such Eurocurrency Rate, Term SOFR Rate or Term CORRA Rate, as applicable, has not been replaced with a Benchmark Replacement, the period (x) beginning at the time that such Benchmark Replacement Date has occurred if, at such time, no Benchmark Replacement has replaced the Eurocurrency Rate, Term SOFR Rate or Term CORRA Rate, as applicable, for all purposes hereunder in accordance with Section 2.14 and (y) ending at the time that a Benchmark Replacement has replaced the Eurocurrency Rate, Term SOFR Rate or Term CORRA Rate, as applicable, for all purposes hereunder pursuant to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59" w:name="page160"/>
    <w:bookmarkEnd w:id="159"/>
    <w:p>
      <w:pPr>
        <w:ind w:right="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 (a) with respect to a corporation, the board of directors of the corporation, (b) with respect to a partnership, the board of directors of the general partner of the partnership and (c) with respect to any other Person, the board or committee of such Person serving a similar function.</w:t>
      </w:r>
    </w:p>
    <w:p>
      <w:pPr>
        <w:spacing w:after="0" w:line="73"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Resolution</w:t>
      </w:r>
      <w:r>
        <w:rPr>
          <w:rFonts w:ascii="Times New Roman" w:cs="Times New Roman" w:eastAsia="Times New Roman" w:hAnsi="Times New Roman"/>
          <w:sz w:val="20"/>
          <w:szCs w:val="20"/>
          <w:color w:val="auto"/>
        </w:rPr>
        <w:t>” means, with respect to the U.S. Borrower, a duly adopted resolution of the Board of Directors of the U.S. Borrower or any committee thereof.</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DTTP Filing</w:t>
      </w:r>
      <w:r>
        <w:rPr>
          <w:rFonts w:ascii="Times New Roman" w:cs="Times New Roman" w:eastAsia="Times New Roman" w:hAnsi="Times New Roman"/>
          <w:sz w:val="20"/>
          <w:szCs w:val="20"/>
          <w:color w:val="auto"/>
        </w:rPr>
        <w:t>” means an HMRC Form DTTP2 duly completed and filed by the relevant U.K. Borrower, which:</w:t>
      </w:r>
    </w:p>
    <w:p>
      <w:pPr>
        <w:spacing w:after="0" w:line="108" w:lineRule="exact"/>
        <w:rPr>
          <w:sz w:val="20"/>
          <w:szCs w:val="20"/>
          <w:color w:val="auto"/>
        </w:rPr>
      </w:pPr>
    </w:p>
    <w:p>
      <w:pPr>
        <w:ind w:right="160" w:firstLine="8"/>
        <w:spacing w:after="0" w:line="283" w:lineRule="auto"/>
        <w:tabs>
          <w:tab w:leader="none" w:pos="26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relates to a Treaty Lender that is a Lender on the day this Agreement is entered into, contains the scheme reference number and jurisdiction of tax residence stated opposite that Lender’s name in Schedule I, and:</w:t>
      </w:r>
    </w:p>
    <w:p>
      <w:pPr>
        <w:spacing w:after="0" w:line="52" w:lineRule="exact"/>
        <w:rPr>
          <w:sz w:val="20"/>
          <w:szCs w:val="20"/>
          <w:color w:val="auto"/>
        </w:rPr>
      </w:pPr>
    </w:p>
    <w:p>
      <w:pPr>
        <w:ind w:right="180" w:firstLine="8"/>
        <w:spacing w:after="0" w:line="269" w:lineRule="auto"/>
        <w:tabs>
          <w:tab w:leader="none" w:pos="23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U.K. Borrower is a Borrower on the day this Agreement is entered into, is filed with HMRC within 30 days of the date of this Agreement; or</w:t>
      </w:r>
    </w:p>
    <w:p>
      <w:pPr>
        <w:spacing w:after="0" w:line="64" w:lineRule="exact"/>
        <w:rPr>
          <w:rFonts w:ascii="Times New Roman" w:cs="Times New Roman" w:eastAsia="Times New Roman" w:hAnsi="Times New Roman"/>
          <w:sz w:val="20"/>
          <w:szCs w:val="20"/>
          <w:color w:val="auto"/>
        </w:rPr>
      </w:pPr>
    </w:p>
    <w:p>
      <w:pPr>
        <w:ind w:right="120" w:firstLine="8"/>
        <w:spacing w:after="0" w:line="269" w:lineRule="auto"/>
        <w:tabs>
          <w:tab w:leader="none" w:pos="291"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U.K. Borrower is not a Borrower on the day this Agreement is entered into, is filed with HMRC within 30 days of the date on which that U.K. Borrower becomes a Borrower; or</w:t>
      </w:r>
    </w:p>
    <w:p>
      <w:pPr>
        <w:spacing w:after="0" w:line="65" w:lineRule="exact"/>
        <w:rPr>
          <w:sz w:val="20"/>
          <w:szCs w:val="20"/>
          <w:color w:val="auto"/>
        </w:rPr>
      </w:pPr>
    </w:p>
    <w:p>
      <w:pPr>
        <w:jc w:val="both"/>
        <w:ind w:right="120" w:firstLine="8"/>
        <w:spacing w:after="0" w:line="261" w:lineRule="auto"/>
        <w:tabs>
          <w:tab w:leader="none" w:pos="2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relates to a Treaty Lender that is not a party to this Agreement on the date on which this Agreement is entered into, contains the scheme reference number and jurisdiction of tax residence stated in respect of that Lender in the relevant Assignment and Assumption or as otherwise notified to the Agent or to the U.K. Borrower in writing on the relevant Lender becoming a party to this Agreement; and:</w:t>
      </w:r>
    </w:p>
    <w:p>
      <w:pPr>
        <w:spacing w:after="0" w:line="73" w:lineRule="exact"/>
        <w:rPr>
          <w:sz w:val="20"/>
          <w:szCs w:val="20"/>
          <w:color w:val="auto"/>
        </w:rPr>
      </w:pPr>
    </w:p>
    <w:p>
      <w:pPr>
        <w:ind w:right="240" w:firstLine="8"/>
        <w:spacing w:after="0" w:line="269" w:lineRule="auto"/>
        <w:tabs>
          <w:tab w:leader="none" w:pos="23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U.K. Borrower is a Borrower as at the relevant assignment date, is filed with HM Revenue &amp; Customs within 30 days of that date; or</w:t>
      </w:r>
    </w:p>
    <w:p>
      <w:pPr>
        <w:spacing w:after="0" w:line="64" w:lineRule="exact"/>
        <w:rPr>
          <w:rFonts w:ascii="Times New Roman" w:cs="Times New Roman" w:eastAsia="Times New Roman" w:hAnsi="Times New Roman"/>
          <w:sz w:val="20"/>
          <w:szCs w:val="20"/>
          <w:color w:val="auto"/>
        </w:rPr>
      </w:pPr>
    </w:p>
    <w:p>
      <w:pPr>
        <w:ind w:right="220" w:firstLine="8"/>
        <w:spacing w:after="0" w:line="269" w:lineRule="auto"/>
        <w:tabs>
          <w:tab w:leader="none" w:pos="291"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U.K. Borrower is not a Borrower as at the relevant assignment date, is filed with HM Revenue &amp; Customs within 30 days of the date on which that U.K. Borrower becomes a Borrower.</w:t>
      </w:r>
    </w:p>
    <w:p>
      <w:pPr>
        <w:spacing w:after="0" w:line="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xml:space="preserve">” has the meaning assigned to such term in the preamble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repayment in full of all Loans made to any Foreign Borrower and the return of all Letters of Credit issued for such Foreign Borrower or the assumption of such Foreign Borrower’s Foreign Obligations by another Person as contemplated by the definition of “Change of Control” or as permitted by Section 6.03, then such Foreign Borrower shall cease to constitute a “Borrower” or “Foreign Borrower” (or any equivalent term) hereunder.</w:t>
      </w:r>
    </w:p>
    <w:p>
      <w:pPr>
        <w:spacing w:after="0" w:line="6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any Loans of the same Class, Type and currency to the same Borrower made, converted or continued on the same date and, in the case of Eurocurrency Rate Loans, Term Benchmark Loans or Term CORRA Rate Loans, as to which a single Interest Period is in effect.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Date</w:t>
      </w:r>
      <w:r>
        <w:rPr>
          <w:rFonts w:ascii="Times New Roman" w:cs="Times New Roman" w:eastAsia="Times New Roman" w:hAnsi="Times New Roman"/>
          <w:sz w:val="20"/>
          <w:szCs w:val="20"/>
          <w:color w:val="auto"/>
        </w:rPr>
        <w:t>” means a date on which any Borrowing is made pursuant to Section 2.02.</w:t>
      </w:r>
    </w:p>
    <w:p>
      <w:pPr>
        <w:spacing w:after="0" w:line="12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a Borrower for a Borrowing in accordance with Section 2.02 and substantially in the form attached hereto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or such other form as shall be approved by the Agent.</w:t>
      </w:r>
    </w:p>
    <w:p>
      <w:pPr>
        <w:spacing w:after="0" w:line="6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that is not a Saturday, Sunday or other day on which commercial banks in New York City are authorized or required by law to remain closed and (a) if the applicable Business Day relates to notices, determinations, fundings and payments in connection with the any Loan denominated in Sterling a day on which banks are open for general business in London; (b) if the applicable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160" w:name="page161"/>
    <w:bookmarkEnd w:id="160"/>
    <w:p>
      <w:pPr>
        <w:spacing w:after="0" w:line="253" w:lineRule="auto"/>
        <w:rPr>
          <w:sz w:val="20"/>
          <w:szCs w:val="20"/>
          <w:color w:val="auto"/>
        </w:rPr>
      </w:pPr>
      <w:r>
        <w:rPr>
          <w:rFonts w:ascii="Times New Roman" w:cs="Times New Roman" w:eastAsia="Times New Roman" w:hAnsi="Times New Roman"/>
          <w:sz w:val="20"/>
          <w:szCs w:val="20"/>
          <w:color w:val="auto"/>
        </w:rPr>
        <w:t>Day relates to notices, determinations, fundings and payments in connection with EURIBOR, any day (i) on which banks are open for general business in London and (ii) which is a TARGET Day; (c) if the applicable Business Day relates to notices, determinations, fundings and payments in connection with the Canadian Base Rate, the Term CORRA Rate, Canadian Base Rate Loans or Term CORRA Rate Loans, a day of the year on which banks are not required or authorized to close in Toronto, Ontario and (d)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spacing w:after="0" w:line="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Base Rate</w:t>
      </w:r>
      <w:r>
        <w:rPr>
          <w:rFonts w:ascii="Times New Roman" w:cs="Times New Roman" w:eastAsia="Times New Roman" w:hAnsi="Times New Roman"/>
          <w:sz w:val="20"/>
          <w:szCs w:val="20"/>
          <w:color w:val="auto"/>
        </w:rPr>
        <w:t>” means the rate determined by the Agent as the higher of (i) the annual rate of interest announced by the Agent (or any of its branches) as being its “prime rate” for determining interest rates on Canadian Dollar-denominated commercial loans made by it in Canada and (ii) the Term CORRA Rate (after giving effect to any minimum rate set forth in the definition thereof) for a one month Term CORRA Interest Period commencing on such day (or, if such day is not a Business Day, the immediately preceding Business Day) plus 1.00%.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has the meaning assigned to such term in the preamble to this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each mean the lawful currency of Canada.</w:t>
      </w:r>
    </w:p>
    <w:p>
      <w:pPr>
        <w:spacing w:after="0" w:line="10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Lending Office</w:t>
      </w:r>
      <w:r>
        <w:rPr>
          <w:rFonts w:ascii="Times New Roman" w:cs="Times New Roman" w:eastAsia="Times New Roman" w:hAnsi="Times New Roman"/>
          <w:sz w:val="20"/>
          <w:szCs w:val="20"/>
          <w:color w:val="auto"/>
        </w:rPr>
        <w:t>” means, with respect to any Lender, the office of such Lender specified as its “Canadian Lending Office” in its Administrative Questionnaire or such other office of such Lender as such Lender may from time to time specify to the U.S. Borrower and the Agent.</w:t>
      </w:r>
    </w:p>
    <w:p>
      <w:pPr>
        <w:spacing w:after="0" w:line="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Term A-4 Commitment</w:t>
      </w:r>
      <w:r>
        <w:rPr>
          <w:rFonts w:ascii="Times New Roman" w:cs="Times New Roman" w:eastAsia="Times New Roman" w:hAnsi="Times New Roman"/>
          <w:sz w:val="20"/>
          <w:szCs w:val="20"/>
          <w:color w:val="auto"/>
        </w:rPr>
        <w:t>” means, with respect to each Canadian Term A-4 Lender, the commitment of such Lender to make Canadian Term A-4 Loans to the Canadian Borrower on the Amendment No. 15 Effective Date in the aggregate principal amount forth opposite such Lender’s name on the Commitments Schedule (for the avoidance of doubt, as supplemented pursuant to Amendment No. 15 on the Amendment No. 15 Effective Date) under the heading “Canadian Term A-4 Commitment,” as adjusted to reflect each Assignment and Assumption executed by such Lender and as such amount may be increased or reduced pursuant to this Agreement, and “Canadian Term A-4 Commitments” shall mean the aggregate Canadian Term A-4 Commitments of all Canadian Term A-4 Lenders, which amount, initially as of the Amendment No. 15 Effective Date, shall be C$214,582,924.03.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Term A-4 Lender</w:t>
      </w:r>
      <w:r>
        <w:rPr>
          <w:rFonts w:ascii="Times New Roman" w:cs="Times New Roman" w:eastAsia="Times New Roman" w:hAnsi="Times New Roman"/>
          <w:sz w:val="20"/>
          <w:szCs w:val="20"/>
          <w:color w:val="auto"/>
        </w:rPr>
        <w:t>” means each Lender that has a Canadian Term A-4 Loan or a Canadian Term A-4 Commitment.</w:t>
      </w:r>
    </w:p>
    <w:p>
      <w:pPr>
        <w:spacing w:after="0" w:line="121"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Term A-4 Loan</w:t>
      </w:r>
      <w:r>
        <w:rPr>
          <w:rFonts w:ascii="Times New Roman" w:cs="Times New Roman" w:eastAsia="Times New Roman" w:hAnsi="Times New Roman"/>
          <w:sz w:val="20"/>
          <w:szCs w:val="20"/>
          <w:color w:val="auto"/>
        </w:rPr>
        <w:t>” has the meaning assigned to such term in Section 2.01(b)(i) and shall include all Canadian Term A-4 Loans funded on the Amendment No. 15 Effective Date pursuant to the Canadian Term A-4 Commitments.</w:t>
      </w:r>
    </w:p>
    <w:p>
      <w:pPr>
        <w:spacing w:after="0" w:line="65"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Term A-4 Loan Facility</w:t>
      </w:r>
      <w:r>
        <w:rPr>
          <w:rFonts w:ascii="Times New Roman" w:cs="Times New Roman" w:eastAsia="Times New Roman" w:hAnsi="Times New Roman"/>
          <w:sz w:val="20"/>
          <w:szCs w:val="20"/>
          <w:color w:val="auto"/>
        </w:rPr>
        <w:t>” means the provisions herein related to the Canadian Term A-4 Commitments and the Canadian Term A-4 Loans.</w:t>
      </w:r>
    </w:p>
    <w:p>
      <w:pPr>
        <w:spacing w:after="0" w:line="3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Term A-4 Loan Maturity Date</w:t>
      </w:r>
      <w:r>
        <w:rPr>
          <w:rFonts w:ascii="Times New Roman" w:cs="Times New Roman" w:eastAsia="Times New Roman" w:hAnsi="Times New Roman"/>
          <w:sz w:val="20"/>
          <w:szCs w:val="20"/>
          <w:color w:val="auto"/>
        </w:rPr>
        <w:t xml:space="preserve">” means the Canadian Term A-4 Loan Scheduled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aggregate amount of Indebtedness outstanding under the U.S. Term B-7 Loans and the 2028 Senior Notes, and any Indebtedness constituting Refinancing Indebtedness or Permitted Refinancing Notes in respect thereof, exceeds $500,000,000.00 on the Springing Maturity Date, the Canadian Term A-4 Loans will mature on the Springing Maturity Date (if earlier than the Canadian Term A-4 Loan Scheduled Maturity Date).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Term A-4 Loan Scheduled Maturity Date</w:t>
      </w:r>
      <w:r>
        <w:rPr>
          <w:rFonts w:ascii="Times New Roman" w:cs="Times New Roman" w:eastAsia="Times New Roman" w:hAnsi="Times New Roman"/>
          <w:sz w:val="20"/>
          <w:szCs w:val="20"/>
          <w:color w:val="auto"/>
        </w:rPr>
        <w:t>” means August 2,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61" w:name="page162"/>
    <w:bookmarkEnd w:id="161"/>
    <w:p>
      <w:pPr>
        <w:ind w:right="8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for any period, the aggregate, without duplication, of (a) all expenditures (whether paid in cash or accrued as liabilities) by the U.S. Borrower and the Restricted Subsidiaries during such period that, in conformity with GAAP, are or are required to be included as additions during such period to property, plant or equipment reflected in the consolidated balance sheet of the U.S. Borrower and the Restricted Subsidiaries; (b) the capitalized amount of any Capitalized Lease Obligations incurred by the U.S. Borrower and its Restricted Subsidiaries during such period; and (c) expenditures made for client contract investments and included as additions during the period to other assets reflected in the consolidated balance sheet of the U.S. Borrower and the Restricted Subsidiaries.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or membership interests (whether general or limited) and (d) any other interest or participation that confers on a Person the right to receive a share of the profits and losses of, or distributions of assets of, the issuing Person.</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 Obligation</w:t>
      </w:r>
      <w:r>
        <w:rPr>
          <w:rFonts w:ascii="Times New Roman" w:cs="Times New Roman" w:eastAsia="Times New Roman" w:hAnsi="Times New Roman"/>
          <w:sz w:val="20"/>
          <w:szCs w:val="20"/>
          <w:color w:val="auto"/>
        </w:rPr>
        <w:t>” means, subject to Section 1.08, at the time any determination thereof is to be made, the amount of the liability in respect of a capital lease that would at such time be required to be capitalized and reflected as a liability on a balance sheet (excluding the footnotes thereto) in accordance with GAAP.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w:t>
      </w:r>
    </w:p>
    <w:p>
      <w:pPr>
        <w:spacing w:after="0" w:line="108" w:lineRule="exact"/>
        <w:rPr>
          <w:sz w:val="20"/>
          <w:szCs w:val="20"/>
          <w:color w:val="auto"/>
        </w:rPr>
      </w:pPr>
    </w:p>
    <w:p>
      <w:pPr>
        <w:ind w:left="1720" w:hanging="416"/>
        <w:spacing w:after="0"/>
        <w:tabs>
          <w:tab w:leader="none" w:pos="17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w:t>
      </w:r>
    </w:p>
    <w:p>
      <w:pPr>
        <w:spacing w:after="0" w:line="229" w:lineRule="exact"/>
        <w:rPr>
          <w:rFonts w:ascii="Times New Roman" w:cs="Times New Roman" w:eastAsia="Times New Roman" w:hAnsi="Times New Roman"/>
          <w:sz w:val="20"/>
          <w:szCs w:val="20"/>
          <w:color w:val="auto"/>
        </w:rPr>
      </w:pPr>
    </w:p>
    <w:p>
      <w:pPr>
        <w:ind w:left="660" w:right="280" w:firstLine="644"/>
        <w:spacing w:after="0" w:line="283" w:lineRule="auto"/>
        <w:tabs>
          <w:tab w:leader="none" w:pos="173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Canadian Dollars, Yen, Sterling, Euro or, in the case of any Foreign Subsidiary, such local currencies held by it from time to time in the ordinary course of business;</w:t>
      </w:r>
    </w:p>
    <w:p>
      <w:pPr>
        <w:spacing w:after="0" w:line="146" w:lineRule="exact"/>
        <w:rPr>
          <w:rFonts w:ascii="Times New Roman" w:cs="Times New Roman" w:eastAsia="Times New Roman" w:hAnsi="Times New Roman"/>
          <w:sz w:val="20"/>
          <w:szCs w:val="20"/>
          <w:color w:val="auto"/>
        </w:rPr>
      </w:pPr>
    </w:p>
    <w:p>
      <w:pPr>
        <w:ind w:left="660" w:right="60" w:firstLine="644"/>
        <w:spacing w:after="0" w:line="261" w:lineRule="auto"/>
        <w:tabs>
          <w:tab w:leader="none" w:pos="172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or directly and fully and unconditionally guaranteed or insured by the government of the United States of America or any agency or instrumentality thereof the securities of which are unconditionally guaranteed as a full faith and credit obligation of such government with maturities of 24 months or less from the date of acquisition;</w:t>
      </w:r>
    </w:p>
    <w:p>
      <w:pPr>
        <w:spacing w:after="0" w:line="181" w:lineRule="exact"/>
        <w:rPr>
          <w:rFonts w:ascii="Times New Roman" w:cs="Times New Roman" w:eastAsia="Times New Roman" w:hAnsi="Times New Roman"/>
          <w:sz w:val="20"/>
          <w:szCs w:val="20"/>
          <w:color w:val="auto"/>
        </w:rPr>
      </w:pPr>
    </w:p>
    <w:p>
      <w:pPr>
        <w:ind w:left="660" w:right="300" w:firstLine="644"/>
        <w:spacing w:after="0" w:line="261" w:lineRule="auto"/>
        <w:tabs>
          <w:tab w:leader="none" w:pos="173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in excess of $250.0 million;</w:t>
      </w:r>
    </w:p>
    <w:p>
      <w:pPr>
        <w:spacing w:after="0" w:line="181"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72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obligations for underlying securities of the types described in clauses (c) and (d) above entered into with any financial institution meeting the qualifications specified in clause (d) above;</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7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rated at least “P-1” by Moody’s or at least “A-1” by S&amp;P and in each case maturing within 12 months after the date of issuance thereof;</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funds investing at least 95% of their assets in securities of the types described in clauses (a) through (f)</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w:t>
      </w:r>
    </w:p>
    <w:p>
      <w:pPr>
        <w:spacing w:after="0" w:line="200" w:lineRule="exact"/>
        <w:rPr>
          <w:rFonts w:ascii="Times New Roman" w:cs="Times New Roman" w:eastAsia="Times New Roman" w:hAnsi="Times New Roman"/>
          <w:sz w:val="20"/>
          <w:szCs w:val="20"/>
          <w:color w:val="auto"/>
        </w:rPr>
      </w:pPr>
    </w:p>
    <w:p>
      <w:pPr>
        <w:ind w:left="660" w:right="180" w:firstLine="644"/>
        <w:spacing w:after="0" w:line="261" w:lineRule="auto"/>
        <w:tabs>
          <w:tab w:leader="none" w:pos="173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readily marketable direct obligations issued by any state of the United States of America or any political subdivision thereof having one of the two highest rating categories obtainable from either Moody’s or S&amp;P with maturities of 24 months or less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62" w:name="page163"/>
    <w:bookmarkEnd w:id="162"/>
    <w:p>
      <w:pPr>
        <w:ind w:left="660" w:right="380" w:firstLine="644"/>
        <w:spacing w:after="0" w:line="283" w:lineRule="auto"/>
        <w:tabs>
          <w:tab w:leader="none" w:pos="16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or Preferred Stock issued by Persons with a rating of “A” or higher from S&amp;P or “A2” or higher from Moody’s with maturities of 12 months or less from the date of acquisition; and</w:t>
      </w:r>
    </w:p>
    <w:p>
      <w:pPr>
        <w:spacing w:after="0" w:line="146" w:lineRule="exact"/>
        <w:rPr>
          <w:rFonts w:ascii="Times New Roman" w:cs="Times New Roman" w:eastAsia="Times New Roman" w:hAnsi="Times New Roman"/>
          <w:sz w:val="20"/>
          <w:szCs w:val="20"/>
          <w:color w:val="auto"/>
        </w:rPr>
      </w:pPr>
    </w:p>
    <w:p>
      <w:pPr>
        <w:ind w:left="660" w:firstLine="644"/>
        <w:spacing w:after="0" w:line="261" w:lineRule="auto"/>
        <w:tabs>
          <w:tab w:leader="none" w:pos="16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Foreign Subsidiary, investments of comparable tenure and credit quality to those described in the foregoing clauses (a) through (i) or other high quality short-term investments, in each case, customarily utilized in countries in which such Foreign Subsidiary operates for short-term cash management purposes.</w:t>
      </w:r>
    </w:p>
    <w:p>
      <w:pPr>
        <w:spacing w:after="0" w:line="1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 xml:space="preserve">Notwithstanding the foregoing, Cash Equivalents shall include amounts denominated in currencies other than those set forth in clauses (a) and (b)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amounts are converted into one or more of the currencies set forth in clauses (a) and (b) above as promptly as practicable and in any event within ten (10) Business Days following the receipt of such amounts.</w:t>
      </w:r>
    </w:p>
    <w:p>
      <w:pPr>
        <w:spacing w:after="0" w:line="73"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Management Agreement</w:t>
      </w:r>
      <w:r>
        <w:rPr>
          <w:rFonts w:ascii="Times New Roman" w:cs="Times New Roman" w:eastAsia="Times New Roman" w:hAnsi="Times New Roman"/>
          <w:sz w:val="19"/>
          <w:szCs w:val="19"/>
          <w:color w:val="auto"/>
        </w:rPr>
        <w:t>” means any agreement or arrangement to provide cash management services, including treasury, depository, overdraft, credit or debit card, purchase card, electronic funds transfer, bilateral letters of credit and other cash management arrangements.</w:t>
      </w:r>
    </w:p>
    <w:p>
      <w:pPr>
        <w:spacing w:after="0" w:line="4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Casualty Event</w:t>
      </w:r>
      <w:r>
        <w:rPr>
          <w:rFonts w:ascii="Times New Roman" w:cs="Times New Roman" w:eastAsia="Times New Roman" w:hAnsi="Times New Roman"/>
          <w:sz w:val="20"/>
          <w:szCs w:val="20"/>
          <w:color w:val="auto"/>
        </w:rPr>
        <w:t>” means, with respect to any equipment, fixed assets or real property (including any improvements thereon) of the U.S. Borrower or any Restricted Subsidiary, any loss of or damage to, or any condemnation or other taking by a Governmental Authority of, such property, the date on which the U.S. Borrower or any of the Restricted Subsidiaries receives insurance proceeds, or proceeds of a condemnation award or other compensation to replace or repair such property, in each case, in excess of $10.0 million with respect to any such event.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Foreign Subsidiary that is a “controlled foreign corporation” within the meaning of Section 957 of the Code.</w:t>
      </w:r>
    </w:p>
    <w:p>
      <w:pPr>
        <w:spacing w:after="0" w:line="1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compliance by the Lender (or, for purposes of Section 2.14(c)(ii), by any lending office of the Lender or by the Lender’s holding company, if any) with any request, guideline, requirement or directive (whether or not having the force of law) of any Governmental Authority made or issued after the date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herein to the contrary,</w:t>
      </w:r>
    </w:p>
    <w:p>
      <w:pPr>
        <w:spacing w:after="0" w:line="4" w:lineRule="exact"/>
        <w:rPr>
          <w:sz w:val="20"/>
          <w:szCs w:val="20"/>
          <w:color w:val="auto"/>
        </w:rPr>
      </w:pPr>
    </w:p>
    <w:p>
      <w:pPr>
        <w:ind w:right="80" w:firstLine="8"/>
        <w:spacing w:after="0" w:line="249" w:lineRule="auto"/>
        <w:tabs>
          <w:tab w:leader="none" w:pos="2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 but only to the extent such rules, regulations, or published interpretations or directives are applied to the U.S. Borrower and its Subsidiaries by the Agent or any Lender in substantially the same manner as applied to other similarly situated borrowers under comparable syndicated credit facilities.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the earliest to occur of:</w:t>
      </w:r>
    </w:p>
    <w:p>
      <w:pPr>
        <w:spacing w:after="0" w:line="108" w:lineRule="exact"/>
        <w:rPr>
          <w:sz w:val="20"/>
          <w:szCs w:val="20"/>
          <w:color w:val="auto"/>
        </w:rPr>
      </w:pPr>
    </w:p>
    <w:p>
      <w:pPr>
        <w:ind w:left="660" w:right="40" w:firstLine="644"/>
        <w:spacing w:after="0" w:line="258" w:lineRule="auto"/>
        <w:tabs>
          <w:tab w:leader="none" w:pos="172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sale, lease or transfer, in one or a series of related transactions, of all or substantially all of the assets of the U.S. Borrower and its Subsidiaries, taken as a whole, to any Person other than a Permitted 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sale, lease or transfer of a Designated Business pursuant to Section 6.04(xviii) or Section 6.06(j) will not constitute the sale, lease or transfer, in one or a series of related transactions, of all or substantially all of the assets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163" w:name="page164"/>
    <w:bookmarkEnd w:id="163"/>
    <w:p>
      <w:pPr>
        <w:ind w:left="660" w:right="460"/>
        <w:spacing w:after="0" w:line="261" w:lineRule="auto"/>
        <w:rPr>
          <w:sz w:val="20"/>
          <w:szCs w:val="20"/>
          <w:color w:val="auto"/>
        </w:rPr>
      </w:pPr>
      <w:r>
        <w:rPr>
          <w:rFonts w:ascii="Times New Roman" w:cs="Times New Roman" w:eastAsia="Times New Roman" w:hAnsi="Times New Roman"/>
          <w:sz w:val="20"/>
          <w:szCs w:val="20"/>
          <w:color w:val="auto"/>
        </w:rPr>
        <w:t>U.S. Borrower and its Subsidiaries, taken as a whole, for purposes of this clause (a) so long as the Consolidated Leverage Ratio would be no greater than 6.00 to 1.00 after giving pro forma effect to such sale (including the application of the net proceeds therefrom);</w:t>
      </w:r>
    </w:p>
    <w:p>
      <w:pPr>
        <w:spacing w:after="0" w:line="181" w:lineRule="exact"/>
        <w:rPr>
          <w:sz w:val="20"/>
          <w:szCs w:val="20"/>
          <w:color w:val="auto"/>
        </w:rPr>
      </w:pPr>
    </w:p>
    <w:p>
      <w:pPr>
        <w:jc w:val="both"/>
        <w:ind w:left="660" w:firstLine="644"/>
        <w:spacing w:after="0" w:line="253" w:lineRule="auto"/>
        <w:tabs>
          <w:tab w:leader="none" w:pos="173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by any Person or group, including any group acting for the purpose of acquiring, holding or disposing of securities (within the meaning of Rule 13d-5(b)(1) under the Exchange Act as in effect on the Closing Date), other than the Permitted Holders, in a single transaction or in a series of related transactions, by way of merger, consolidation or other business combination or purchase of beneficial ownership of 40% or more of the total voting power of the Voting Stock of the U.S. Borrower or any of its direct or indirect parent companies;</w:t>
      </w:r>
    </w:p>
    <w:p>
      <w:pPr>
        <w:spacing w:after="0" w:line="19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“Change of Control” (or any comparable term) in any document pertaining to the New Senior</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w:t>
      </w:r>
    </w:p>
    <w:p>
      <w:pPr>
        <w:spacing w:after="0" w:line="20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ceasing to be a direct Wholly-Owned Subsidiary of Holdings; or</w:t>
      </w:r>
    </w:p>
    <w:p>
      <w:pPr>
        <w:spacing w:after="0" w:line="229" w:lineRule="exact"/>
        <w:rPr>
          <w:rFonts w:ascii="Times New Roman" w:cs="Times New Roman" w:eastAsia="Times New Roman" w:hAnsi="Times New Roman"/>
          <w:sz w:val="20"/>
          <w:szCs w:val="20"/>
          <w:color w:val="auto"/>
        </w:rPr>
      </w:pPr>
    </w:p>
    <w:p>
      <w:pPr>
        <w:ind w:left="660" w:right="260" w:firstLine="644"/>
        <w:spacing w:after="0" w:line="253" w:lineRule="auto"/>
        <w:tabs>
          <w:tab w:leader="none" w:pos="172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when any Foreign Obligations (other than contingent obligations for unasserted claims) of a Foreign Borrower remain outstanding, such Foreign Borrower ceasing to be a direct or indirect Restricted Subsidiary of the U.S. Borrower (unless a Borrower or a Subsidiary Guarantor shall expressly have assumed all the Foreign Obligations of such Foreign Borrower under this Agreement and the other Loan Documents to which such Foreign Borrower is a party pursuant to an agreement in form reasonably satisfactory to the Agent and the U.S. Borrower).</w:t>
      </w:r>
    </w:p>
    <w:p>
      <w:pPr>
        <w:spacing w:after="0" w:line="192"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9"/>
          <w:szCs w:val="19"/>
          <w:color w:val="auto"/>
        </w:rPr>
        <w:t>For purposes of this definition, including other defined terms used herein in connection with this definition, (i) “beneficial ownership” shall be as defined in Rules 13(d)-3 and 13(d)-5 under the Exchange Act as in effect on the date hereof and (ii) the phrase Person or group is within the meaning of Section 13(d) or 14(d) of the Exchange Act, but excluding any employee benefit plan of such Person or group or its subsidiaries and any Person acting in its capacity as trustee, agent or other fiduciary or administrator of any such plan.</w:t>
      </w:r>
    </w:p>
    <w:p>
      <w:pPr>
        <w:spacing w:after="0" w:line="17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Notwithstanding anything to the contrary in this definition or any provision of Section 13d-3 of the Exchange Act, a Person or group shall not be deemed to beneficially own Equity Interests to be acquired by such Person or group pursuant to a stock or asset purchase agreement, merger agreement, option agreement, warrant agreement or similar agreement until the consummation of the acquisition of the Equity Interests in connection with the transactions contemplated by such agreement.</w:t>
      </w:r>
    </w:p>
    <w:p>
      <w:pPr>
        <w:spacing w:after="0" w:line="172"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(a) in reference to any Loan or Borrowing, refers to whether such Loan, or the Loans comprising such Borrowing, are 2024 Tranche Revolving Loans, Revolving Loans under any other Revolving Facility, Canadian Term A-4 Loans, Euro Term A-3 Loans, GBP Term A Loans, U.S. Term A Loans, U.S. Term A-1 Loans, U.S. Term B-4 Loans, U.S. Term B-7 Loans, U.S. Term B-8 Loans, New Term Loans of any Series or Extended Term Loans of any Extension Series, (b) in reference to any Commitment refers to whether such Commitment is a 2024 Tranche Revolving Commitment, New Revolving Commitment under any New Revolving Facility, Canadian Term A-4 Commitment, Euro Term A-3 Commitment, GBP Term A Commitment, U.S. Term A Commitment, U.S. Term A-1 Commitment, U.S. Term B-7 Commitment, U.S. Term B-8 Commitment or New Term Commitment (with respect to a Series of New Term Loans) and (c) in reference to any Lender, refers to whether such Lender is a Revolving Lender under a particular Revolving Facility, Canadian Term A-4 Lender,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color w:val="auto"/>
        </w:rPr>
        <w:t>Term A-3 Lender, GBP Term A Lender, U.S. Term A Lender, U.S. Term A-1 Lender, U.S. Term B-4 Lender, U.S. Term B-7 Lender,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B-8 Lender or Lender with a New Term Commitment or holding New Term Loans or Extended Term Loans of any other Class.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March 28, 2017.</w:t>
      </w:r>
    </w:p>
    <w:p>
      <w:pPr>
        <w:spacing w:after="0" w:line="121"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Secured Overnight Financing Rate (SOFR) (or a successor administrator).</w:t>
      </w:r>
    </w:p>
    <w:p>
      <w:pPr>
        <w:spacing w:after="0" w:line="6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Co-Documentation Agents</w:t>
      </w:r>
      <w:r>
        <w:rPr>
          <w:rFonts w:ascii="Times New Roman" w:cs="Times New Roman" w:eastAsia="Times New Roman" w:hAnsi="Times New Roman"/>
          <w:sz w:val="20"/>
          <w:szCs w:val="20"/>
          <w:color w:val="auto"/>
        </w:rPr>
        <w:t>” means U.S. Bank National Association, The Bank of Nova Scotia, Sumitomo Mitsui Banking Corporation, Coöperatieve Rabobank U.A., New York Branch, TD Securities (USA) LLC and Comerica Securities, Inc, the Amendment No. 11 Co-Documentation Agents, the Amendment No. 12 Co-Documentation Agents, the Amendment No. 14 Co-Managers, the Amendment No. 15 Co-Documentation Agents, the Incremental Amendment No. 2 Co-Documentation Agents and the Incremental No. 8 Co-Documentation Agents.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any “Collateral” as defined in the Security Agreement, Mortgaged Property and any and all property owned, leased or operated by a Person from time to time subject to a security interest or Lien in favor of the Agent for the benefit of the Secured Parties under the Collateral Documents.</w:t>
      </w:r>
    </w:p>
    <w:p>
      <w:pPr>
        <w:spacing w:after="0" w:line="60"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the Security Agreement, the Mortgages and any other documents granting a Lien upon the Collateral as security for payment of the Secured Obligations.</w:t>
      </w:r>
    </w:p>
    <w:p>
      <w:pPr>
        <w:spacing w:after="0" w:line="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with respect to any Lender, such Lender’s Revolving Commitments, if any, and such Lender’s Term Commitments, if any.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has the meaning assigned to such term in Section 2.10(a).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means the aggregate Revolving Commitments and Term Commitments of all Lenders.</w:t>
      </w:r>
    </w:p>
    <w:p>
      <w:pPr>
        <w:spacing w:after="0" w:line="121"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Commitments Schedule</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as supplemented by Schedule II to Amendment No. 15 on the Amendment No. 15 Effective Date.</w:t>
      </w:r>
    </w:p>
    <w:p>
      <w:pPr>
        <w:spacing w:after="0" w:line="6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of the U.S. Borrower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 has the meaning set forth in Amendment No. 14.</w:t>
      </w:r>
    </w:p>
    <w:p>
      <w:pPr>
        <w:spacing w:after="0" w:line="10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Depreciation and Amortization Expense</w:t>
      </w:r>
      <w:r>
        <w:rPr>
          <w:rFonts w:ascii="Times New Roman" w:cs="Times New Roman" w:eastAsia="Times New Roman" w:hAnsi="Times New Roman"/>
          <w:sz w:val="20"/>
          <w:szCs w:val="20"/>
          <w:color w:val="auto"/>
        </w:rPr>
        <w:t>” means with respect to any Person for any period, the total amount of depreciation and amortization expense of such Person and its Restricted Subsidiaries for such period on a consolidated basis and otherwise determined in accordance with GAAP.</w:t>
      </w:r>
    </w:p>
    <w:p>
      <w:pPr>
        <w:spacing w:after="0" w:line="5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with respect to any Person for any period, the sum, without duplication, of (a) consolidated interest expense of such Person and its Restricted Subsidiaries for such period, to the extent such expense was deducted in computing Consolidated Net Income (including (i) amortization of original issue discount resulting from the issuance of Indebtedness at less than par, (ii) all commissions, discounts and other fees and charges owed with respect to letters of credit or bankers’ acceptances, (iii) noncash interest payments (but excluding any noncash interest expense attributable to the movement in the mark-to-market valuation of Hedging Obligations or other derivative instruments pursuant to GAAP), (iv) the interest component of Capitalized Lease Obligations, (v) net payments, if any, pursuant to interest rate Hedging Obligations with respect to Indebtedness and (vi) all commissions, discounts, yield and other fees and charges in the nature of interest expense related to any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80"/>
          </w:cols>
          <w:pgMar w:left="320" w:top="1413" w:right="399" w:bottom="1440" w:gutter="0" w:footer="0" w:header="0"/>
        </w:sectPr>
      </w:pPr>
    </w:p>
    <w:bookmarkStart w:id="165" w:name="page166"/>
    <w:bookmarkEnd w:id="165"/>
    <w:p>
      <w:pPr>
        <w:ind w:right="40"/>
        <w:spacing w:after="0" w:line="251" w:lineRule="auto"/>
        <w:rPr>
          <w:sz w:val="20"/>
          <w:szCs w:val="20"/>
          <w:color w:val="auto"/>
        </w:rPr>
      </w:pPr>
      <w:r>
        <w:rPr>
          <w:rFonts w:ascii="Times New Roman" w:cs="Times New Roman" w:eastAsia="Times New Roman" w:hAnsi="Times New Roman"/>
          <w:sz w:val="20"/>
          <w:szCs w:val="20"/>
          <w:color w:val="auto"/>
        </w:rPr>
        <w:t xml:space="preserve">Facility, and excluding (A) amortization of deferred financing fees, debt issuance costs, commissions, fees and expenses, (B) any expensing of bridge, commitment and other financing fees and (C) any redemption premiums paid in connection with the redemption of any Indebtedness,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consolidated capitalized interest of such Person and its Restricted Subsidiaries for such period, whether paid or accrued,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(c) interest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to the extent that EBITDA attributable to AIM that is accounted for by the equity method of accounting is included in EBITDA of the U.S. Borrower by operation of clause (i) of the last paragraph of the definition thereof, a proportionate amount of the consolidated interest expense of such Persons. 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xml:space="preserve">” with respect to any Person as of any date of determination, means the ratio of (a) the excess of Consolidated Total Indebtedness of such Person as of the end of the most recent fiscal quarter for which financial statements have been delivered pursuant to Section 5.01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the amount of cash and Cash Equivalents of the U.S. Borrower and its Restricted Subsidiaries on such date that are free and clear of any Lien (other than non-consensual Permitted Liens and Permitted Liens of the type set forth in clauses (u) through (x) of the definition of “Permitted Liens”) to (b) the aggregate amount of EBITDA of such Person for the period of the most recently ended Test Period, in each case with such pro forma adjustments to Consolidated Total Indebtedness and EBITDA as are appropriate and consistent with the pro forma adjustment provisions set forth in the definition of “Interest Coverage Ratio.”</w:t>
      </w:r>
    </w:p>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with respect to any Person for any period, the aggregate of the Net Income of such Person and its Restricted Subsidiaries for such period, on a consolidated basis, and otherwise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without duplication:</w:t>
      </w:r>
    </w:p>
    <w:p>
      <w:pPr>
        <w:spacing w:after="0" w:line="73" w:lineRule="exact"/>
        <w:rPr>
          <w:sz w:val="20"/>
          <w:szCs w:val="20"/>
          <w:color w:val="auto"/>
        </w:rPr>
      </w:pPr>
    </w:p>
    <w:p>
      <w:pPr>
        <w:ind w:left="660" w:right="160" w:firstLine="644"/>
        <w:spacing w:after="0" w:line="261" w:lineRule="auto"/>
        <w:tabs>
          <w:tab w:leader="none" w:pos="172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after tax extraordinary, non-recurring or unusual gains or losses (less all fees and expenses relating thereto) or expenses (including relating to severance, relocation, unusual contract terminations, one time compensation charges, warrants or options to purchase Capital Stock of a direct or indirect parent of the U.S. Borrower) shall be excluded,</w:t>
      </w:r>
    </w:p>
    <w:p>
      <w:pPr>
        <w:spacing w:after="0" w:line="167" w:lineRule="exact"/>
        <w:rPr>
          <w:rFonts w:ascii="Times New Roman" w:cs="Times New Roman" w:eastAsia="Times New Roman" w:hAnsi="Times New Roman"/>
          <w:sz w:val="20"/>
          <w:szCs w:val="20"/>
          <w:color w:val="auto"/>
        </w:rPr>
      </w:pPr>
    </w:p>
    <w:p>
      <w:pPr>
        <w:ind w:left="660" w:right="40" w:firstLine="644"/>
        <w:spacing w:after="0" w:line="283" w:lineRule="auto"/>
        <w:tabs>
          <w:tab w:leader="none" w:pos="173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Income for such period shall not include the cumulative effect of a change in accounting principles during such period in accordance with GAAP,</w:t>
      </w:r>
    </w:p>
    <w:p>
      <w:pPr>
        <w:spacing w:after="0" w:line="159" w:lineRule="exact"/>
        <w:rPr>
          <w:rFonts w:ascii="Times New Roman" w:cs="Times New Roman" w:eastAsia="Times New Roman" w:hAnsi="Times New Roman"/>
          <w:sz w:val="20"/>
          <w:szCs w:val="20"/>
          <w:color w:val="auto"/>
        </w:rPr>
      </w:pPr>
    </w:p>
    <w:p>
      <w:pPr>
        <w:ind w:left="660" w:right="620" w:firstLine="644"/>
        <w:spacing w:after="0" w:line="269" w:lineRule="auto"/>
        <w:tabs>
          <w:tab w:leader="none" w:pos="172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after-tax income (loss) from disposed or discontinued operations and any net after-tax gains or losses on disposal of disposed or discontinued operations shall be excluded,</w:t>
      </w:r>
    </w:p>
    <w:p>
      <w:pPr>
        <w:spacing w:after="0" w:line="172" w:lineRule="exact"/>
        <w:rPr>
          <w:rFonts w:ascii="Times New Roman" w:cs="Times New Roman" w:eastAsia="Times New Roman" w:hAnsi="Times New Roman"/>
          <w:sz w:val="20"/>
          <w:szCs w:val="20"/>
          <w:color w:val="auto"/>
        </w:rPr>
      </w:pPr>
    </w:p>
    <w:p>
      <w:pPr>
        <w:jc w:val="both"/>
        <w:ind w:left="660" w:right="80" w:firstLine="644"/>
        <w:spacing w:after="0" w:line="261" w:lineRule="auto"/>
        <w:tabs>
          <w:tab w:leader="none" w:pos="173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after-tax gains or losses (less all fees and expenses relating thereto) attributable to asset dispositions or the sale or other disposition of any Capital Stock of any Person other than in the ordinary course of business, as determined in good faith by the U.S. Borrower, shall be excluded,</w:t>
      </w:r>
    </w:p>
    <w:p>
      <w:pPr>
        <w:spacing w:after="0" w:line="181" w:lineRule="exact"/>
        <w:rPr>
          <w:rFonts w:ascii="Times New Roman" w:cs="Times New Roman" w:eastAsia="Times New Roman" w:hAnsi="Times New Roman"/>
          <w:sz w:val="20"/>
          <w:szCs w:val="20"/>
          <w:color w:val="auto"/>
        </w:rPr>
      </w:pPr>
    </w:p>
    <w:p>
      <w:pPr>
        <w:ind w:left="660" w:right="20" w:firstLine="644"/>
        <w:spacing w:after="0" w:line="253" w:lineRule="auto"/>
        <w:tabs>
          <w:tab w:leader="none" w:pos="172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Income for such period of any Person that is not a Restricted Subsidiary, or that is accounted for by the equity method of accounting, shall be excluded;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Net Income of the U.S. Borrower shall be increased by the amount of dividends or distributions or other payments that are actually paid in cash (or to the extent converted into cash) to the U.S. Borrower or a Restricted Subsidiary thereof in respect of such period (subject in the case of dividends, distributions or other payments made to a Restricted Subsidiary to the limitations contained in clause (f) below),</w:t>
      </w:r>
    </w:p>
    <w:p>
      <w:pPr>
        <w:spacing w:after="0" w:line="191" w:lineRule="exact"/>
        <w:rPr>
          <w:rFonts w:ascii="Times New Roman" w:cs="Times New Roman" w:eastAsia="Times New Roman" w:hAnsi="Times New Roman"/>
          <w:sz w:val="20"/>
          <w:szCs w:val="20"/>
          <w:color w:val="auto"/>
        </w:rPr>
      </w:pPr>
    </w:p>
    <w:p>
      <w:pPr>
        <w:ind w:left="660" w:right="60" w:firstLine="644"/>
        <w:spacing w:after="0" w:line="269" w:lineRule="auto"/>
        <w:tabs>
          <w:tab w:leader="none" w:pos="170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for the purpose of determining the Applicable Amount and Excess Cash Flow, the Net Income for such period of any Restricted Subsidiary (other than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166" w:name="page167"/>
    <w:bookmarkEnd w:id="166"/>
    <w:p>
      <w:pPr>
        <w:ind w:left="660"/>
        <w:spacing w:after="0" w:line="251" w:lineRule="auto"/>
        <w:rPr>
          <w:sz w:val="20"/>
          <w:szCs w:val="20"/>
          <w:color w:val="auto"/>
        </w:rPr>
      </w:pPr>
      <w:r>
        <w:rPr>
          <w:rFonts w:ascii="Times New Roman" w:cs="Times New Roman" w:eastAsia="Times New Roman" w:hAnsi="Times New Roman"/>
          <w:sz w:val="20"/>
          <w:szCs w:val="20"/>
          <w:color w:val="auto"/>
        </w:rPr>
        <w:t xml:space="preserve">Guarantor) shall be excluded if the declaration or payment of dividends or similar distributions by that Restricted Subsidiary of its Net Income is not at the date of determination wholly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Net Income of the U.S. Borrower will be increased by the amount of dividends or other distributions or other payments actually paid in cash (or to the extent converted into cash) to the U.S. Borrower or a Restricted Subsidiary thereof in respect of such period, to the extent not already included therein,</w:t>
      </w:r>
    </w:p>
    <w:p>
      <w:pPr>
        <w:spacing w:after="0" w:line="195" w:lineRule="exact"/>
        <w:rPr>
          <w:sz w:val="20"/>
          <w:szCs w:val="20"/>
          <w:color w:val="auto"/>
        </w:rPr>
      </w:pPr>
    </w:p>
    <w:p>
      <w:pPr>
        <w:ind w:left="660" w:right="240" w:firstLine="644"/>
        <w:spacing w:after="0" w:line="261" w:lineRule="auto"/>
        <w:tabs>
          <w:tab w:leader="none" w:pos="173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increase in amortization or depreciation or other noncash charges resulting from the application of purchase accounting in relation to any acquisition (including, for the avoidance of doubt, the acquisition of Aramark Corporation in January 2007) that is consummated before or after the Closing Date, net of taxes, shall be excluded,</w:t>
      </w:r>
    </w:p>
    <w:p>
      <w:pPr>
        <w:spacing w:after="0" w:line="181" w:lineRule="exact"/>
        <w:rPr>
          <w:rFonts w:ascii="Times New Roman" w:cs="Times New Roman" w:eastAsia="Times New Roman" w:hAnsi="Times New Roman"/>
          <w:sz w:val="20"/>
          <w:szCs w:val="20"/>
          <w:color w:val="auto"/>
        </w:rPr>
      </w:pPr>
    </w:p>
    <w:p>
      <w:pPr>
        <w:ind w:left="660" w:right="740" w:firstLine="644"/>
        <w:spacing w:after="0" w:line="269" w:lineRule="auto"/>
        <w:tabs>
          <w:tab w:leader="none" w:pos="173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after-tax income (loss) from the early extinguishment of Indebtedness or Hedging Obligations or other derivative instruments shall be excluded,</w:t>
      </w:r>
    </w:p>
    <w:p>
      <w:pPr>
        <w:spacing w:after="0" w:line="172" w:lineRule="exact"/>
        <w:rPr>
          <w:rFonts w:ascii="Times New Roman" w:cs="Times New Roman" w:eastAsia="Times New Roman" w:hAnsi="Times New Roman"/>
          <w:sz w:val="20"/>
          <w:szCs w:val="20"/>
          <w:color w:val="auto"/>
        </w:rPr>
      </w:pPr>
    </w:p>
    <w:p>
      <w:pPr>
        <w:ind w:left="660" w:right="320" w:firstLine="644"/>
        <w:spacing w:after="0" w:line="269" w:lineRule="auto"/>
        <w:tabs>
          <w:tab w:leader="none" w:pos="169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charge or asset write-off, in each case pursuant to GAAP, and the amortization of intangibles arising pursuant to GAAP shall be excluded, and</w:t>
      </w:r>
    </w:p>
    <w:p>
      <w:pPr>
        <w:spacing w:after="0" w:line="172" w:lineRule="exact"/>
        <w:rPr>
          <w:rFonts w:ascii="Times New Roman" w:cs="Times New Roman" w:eastAsia="Times New Roman" w:hAnsi="Times New Roman"/>
          <w:sz w:val="20"/>
          <w:szCs w:val="20"/>
          <w:color w:val="auto"/>
        </w:rPr>
      </w:pPr>
    </w:p>
    <w:p>
      <w:pPr>
        <w:ind w:left="660" w:right="360" w:firstLine="644"/>
        <w:spacing w:after="0" w:line="258" w:lineRule="auto"/>
        <w:tabs>
          <w:tab w:leader="none" w:pos="169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compensation expense resulting from the application of Accounting Standards Codification 718 or any deferred compensation charges net of any cash payments made under such deferred compensation plans during such period to officers, directors, managers, consultants or employees (or their estates, Controlled Investment Affiliates or Immediate Family Members) shall be excluded.</w:t>
      </w:r>
    </w:p>
    <w:p>
      <w:pPr>
        <w:spacing w:after="0" w:line="17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Secured Debt Ratio</w:t>
      </w:r>
      <w:r>
        <w:rPr>
          <w:rFonts w:ascii="Times New Roman" w:cs="Times New Roman" w:eastAsia="Times New Roman" w:hAnsi="Times New Roman"/>
          <w:sz w:val="20"/>
          <w:szCs w:val="20"/>
          <w:color w:val="auto"/>
        </w:rPr>
        <w:t xml:space="preserve">” as of any date of determination means the ratio of (a) the excess of (i) Consolidated Total Indebtedness that is secured by any Lien as of the end of the most recent fiscal quarter for which financial statements have been delivered pursuant to Section 5.01 (or, for purposes of Section 6.10, as of such date)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(ii) an amount equal to the amount of cash and Cash Equivalents of the U.S. Borrower and its Restricted Subsidiaries on such date that are free and clear of any Lien (other than non-consensual Permitted Liens and Permitted Liens of the type set forth in clauses (u) through (x) of the definition of “Permitted Liens”) to (b) EBITDA of the U.S. Borrower for the period of the most recently ended Test Period, in each case with such pro forma adjustments to Consolidated Total Indebtedness and EBITDA,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xml:space="preserve">, as are set forth in the definition of “Interest Coverage Ratio”;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purposes of testing whether an Event of Default has occurred under Section 6.10 as of any date, no pro forma adjustments shall be made with respect to any event occurring after such date.</w:t>
      </w:r>
    </w:p>
    <w:p>
      <w:pPr>
        <w:spacing w:after="0" w:line="8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means, as at any date of determination, an amount equal to the sum of (a) the aggregate amount of all outstanding Indebtedness of the U.S. Borrower and the Restricted Subsidiaries on a consolidated basis consisting of Indebtedness for borrowed money, obligations in respect of Capitalized Lease Obligations, Attributable Debt in respect of Sale and Lease-Back Transactions and debt obligations evidenced by bonds, notes, debentures or similar instruments or letters of credit or bankers’ acceptances (and excluding any undrawn letters of credit), (b) the aggregate amount of all outstanding Disqualified Stock of the U.S. Borrower and all Disqualified Stock and Preferred Stock of the Restricted Subsidiaries on a consolidated basis, with the amount of such Disqualified Stock and Preferred Stock equal to the greater of their respective voluntary or involuntary liquidation preferences and Maximum Fixed Repurchase Prices and (c) the aggregate outstanding amount of advances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67" w:name="page168"/>
    <w:bookmarkEnd w:id="167"/>
    <w:p>
      <w:pPr>
        <w:ind w:right="20"/>
        <w:spacing w:after="0" w:line="253" w:lineRule="auto"/>
        <w:rPr>
          <w:sz w:val="20"/>
          <w:szCs w:val="20"/>
          <w:color w:val="auto"/>
        </w:rPr>
      </w:pPr>
      <w:r>
        <w:rPr>
          <w:rFonts w:ascii="Times New Roman" w:cs="Times New Roman" w:eastAsia="Times New Roman" w:hAnsi="Times New Roman"/>
          <w:sz w:val="20"/>
          <w:szCs w:val="20"/>
          <w:color w:val="auto"/>
        </w:rPr>
        <w:t>Receivables Facility of the U.S. Borrower or any of its Restricted Subsidiaries, in each case determined on a consolidated basis in accordance with GAAP. For purposes of this definition, the “</w:t>
      </w:r>
      <w:r>
        <w:rPr>
          <w:rFonts w:ascii="Times New Roman" w:cs="Times New Roman" w:eastAsia="Times New Roman" w:hAnsi="Times New Roman"/>
          <w:sz w:val="20"/>
          <w:szCs w:val="20"/>
          <w:u w:val="single" w:color="auto"/>
          <w:color w:val="auto"/>
        </w:rPr>
        <w:t>Maximum Fixed Repurchase Price</w:t>
      </w:r>
      <w:r>
        <w:rPr>
          <w:rFonts w:ascii="Times New Roman" w:cs="Times New Roman" w:eastAsia="Times New Roman" w:hAnsi="Times New Roman"/>
          <w:sz w:val="20"/>
          <w:szCs w:val="20"/>
          <w:color w:val="auto"/>
        </w:rPr>
        <w:t>”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Indebtedness shall be required to be determined pursuant to this Agreement, and if such price is based upon, or measured by, the fair market value of such Disqualified Stock or Preferred Stock, such fair market value shall be determined reasonably and in good faith by the U.S. Borrower.</w:t>
      </w:r>
    </w:p>
    <w:p>
      <w:pPr>
        <w:spacing w:after="0" w:line="8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Working Capital</w:t>
      </w:r>
      <w:r>
        <w:rPr>
          <w:rFonts w:ascii="Times New Roman" w:cs="Times New Roman" w:eastAsia="Times New Roman" w:hAnsi="Times New Roman"/>
          <w:sz w:val="20"/>
          <w:szCs w:val="20"/>
          <w:color w:val="auto"/>
        </w:rPr>
        <w:t xml:space="preserve">” means, at any date, the excess of (a) the sum of all amounts (other than cash and Cash Equivalents) that would, in conformity with GAAP, be set forth opposite the caption “total current assets” (or any like caption) on a consolidated balance sheet of the U.S. Borrower and its Restricted Subsidiaries at such date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(b) the sum of all amounts that would, in conformity with GAAP, be set forth opposite the caption “total current liabilities” (or any like caption) on a consolidated balance sheet of the U.S. Borrower and its Restricted Subsidiaries on such date, including deferred revenue but excluding, without duplication, (i) the current portion of any Funded Debt, (ii) the current portion of accrued interest and (iii) the current portion of current and deferred income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purposes of calculating increases or decreases of Consolidated Working Capital in the definition of Excess Cash Flow, any changes in current assets or current liabilities shall be excluded to the extent arising as a result of (x) the effect of fluctuations in the amount of recognized assets or liabilities under Hedge Agreements, (y) any reclassification of assets or liabilities between current and noncurrent in accordance with GAAP (other than as a result of the passage of time) and (z) the effects of acquisition method accounting.</w:t>
      </w:r>
    </w:p>
    <w:p>
      <w:pPr>
        <w:spacing w:after="0" w:line="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Contingent Obligations</w:t>
      </w:r>
      <w:r>
        <w:rPr>
          <w:rFonts w:ascii="Times New Roman" w:cs="Times New Roman" w:eastAsia="Times New Roman" w:hAnsi="Times New Roman"/>
          <w:sz w:val="19"/>
          <w:szCs w:val="19"/>
          <w:color w:val="auto"/>
        </w:rPr>
        <w:t>” means, with respect to any Person, any obligation of such Person guaranteeing any leases, dividends or other obligations that do not constitute Indebtedness (the “</w:t>
      </w:r>
      <w:r>
        <w:rPr>
          <w:rFonts w:ascii="Times New Roman" w:cs="Times New Roman" w:eastAsia="Times New Roman" w:hAnsi="Times New Roman"/>
          <w:sz w:val="19"/>
          <w:szCs w:val="19"/>
          <w:u w:val="single" w:color="auto"/>
          <w:color w:val="auto"/>
        </w:rPr>
        <w:t>primary obligations</w:t>
      </w:r>
      <w:r>
        <w:rPr>
          <w:rFonts w:ascii="Times New Roman" w:cs="Times New Roman" w:eastAsia="Times New Roman" w:hAnsi="Times New Roman"/>
          <w:sz w:val="19"/>
          <w:szCs w:val="19"/>
          <w:color w:val="auto"/>
        </w:rPr>
        <w:t>”)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or (c) to purchase property, securities or services primarily for the purpose of assuring the owner of any such primary obligation of the ability of the primary obligor to make payment of such primary obligation against loss in respect thereof.</w:t>
      </w:r>
    </w:p>
    <w:p>
      <w:pPr>
        <w:spacing w:after="0" w:line="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Investment Affiliate</w:t>
      </w:r>
      <w:r>
        <w:rPr>
          <w:rFonts w:ascii="Times New Roman" w:cs="Times New Roman" w:eastAsia="Times New Roman" w:hAnsi="Times New Roman"/>
          <w:sz w:val="20"/>
          <w:szCs w:val="20"/>
          <w:color w:val="auto"/>
        </w:rPr>
        <w:t>”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U.S. Borrower and/or other companies.</w:t>
      </w:r>
    </w:p>
    <w:p>
      <w:pPr>
        <w:spacing w:after="0" w:line="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Converted U.S. Term B-7 Loan</w:t>
      </w:r>
      <w:r>
        <w:rPr>
          <w:rFonts w:ascii="Times New Roman" w:cs="Times New Roman" w:eastAsia="Times New Roman" w:hAnsi="Times New Roman"/>
          <w:sz w:val="20"/>
          <w:szCs w:val="20"/>
          <w:color w:val="auto"/>
        </w:rPr>
        <w:t xml:space="preserve">” means each U.S. Term B-5 Loan held by a Converting U.S. Term B-7 Lender on the Amendment No. 14 Effective Date immediately prior to the extension of credit hereunder on the Amendment No. 14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Converting U.S. Term B-7 Lender’s Converted U.S. Term B-7 Loans may be less than the amount of the U.S. Term B-5 Loans held by such Converting U.S. Term B-7 Lender, which lower amount shall be notified to such Converting U.S. B-7 Lender by the Amendment No. 14 Arrangers prior to the Amendment No. 14 Effective Date (with any amounts that are not converted to be repaid).</w:t>
      </w:r>
    </w:p>
    <w:p>
      <w:pPr>
        <w:spacing w:after="0" w:line="65"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Converted U.S. Term B-8 Loan</w:t>
      </w:r>
      <w:r>
        <w:rPr>
          <w:rFonts w:ascii="Times New Roman" w:cs="Times New Roman" w:eastAsia="Times New Roman" w:hAnsi="Times New Roman"/>
          <w:sz w:val="19"/>
          <w:szCs w:val="19"/>
          <w:color w:val="auto"/>
        </w:rPr>
        <w:t xml:space="preserve">” means each U.S. Term B-6 Loan held by a Converting U.S. Term B-8 Lender on the Amendment No. 14 Effective Date immediately prior to the extension of credit hereunder on the Amendment No. 14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of such Converting U.S. Term B-8 Lender’s Converted U.S. Term B-8 Loans may be less than the amount of the U.S. Term B-6 Loans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9"/>
          <w:szCs w:val="19"/>
          <w:color w:val="auto"/>
        </w:rPr>
        <w:t>by such Converting U.S. Term B-8 Lender, which lower amount shall be notified to such Converting U.S. B-8 Lender by the Amendment No.</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 Arrangers prior to the Amendment No. 14 Effective Date.</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Converting U.S. Term B-7 Lenders</w:t>
      </w:r>
      <w:r>
        <w:rPr>
          <w:rFonts w:ascii="Times New Roman" w:cs="Times New Roman" w:eastAsia="Times New Roman" w:hAnsi="Times New Roman"/>
          <w:sz w:val="20"/>
          <w:szCs w:val="20"/>
          <w:color w:val="auto"/>
        </w:rPr>
        <w:t>” means each Lender that has returned an executed Consent to the Agent prior to the Amendment No. 14 Effective Date indicating an election to convert its outstanding U.S. Term B-5 Loans into a like principal amount in Dollars of new U.S. Term B-7 Loans (or such lesser amount as allocated to such Lender by the Amendment No. 14 Arrangers).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Converting U.S. Term B-8 Lenders</w:t>
      </w:r>
      <w:r>
        <w:rPr>
          <w:rFonts w:ascii="Times New Roman" w:cs="Times New Roman" w:eastAsia="Times New Roman" w:hAnsi="Times New Roman"/>
          <w:sz w:val="20"/>
          <w:szCs w:val="20"/>
          <w:color w:val="auto"/>
        </w:rPr>
        <w:t>” means each Lender that has returned an executed Consent to the Agent prior to the Amendment No. 14 Effective Date indicating an election to convert its outstanding U.S. Term B-6 Loans into a like principal amount in Dollars of new U.S. Term B-8 Loans (or such lesser amount as allocated to such Lender by the Amendment No. 14 Arrangers).</w:t>
      </w:r>
    </w:p>
    <w:p>
      <w:pPr>
        <w:spacing w:after="0" w:line="73"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Bank of Canada (or any successor administrator).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Administrator</w:t>
      </w:r>
      <w:r>
        <w:rPr>
          <w:rFonts w:ascii="Times New Roman" w:cs="Times New Roman" w:eastAsia="Times New Roman" w:hAnsi="Times New Roman"/>
          <w:sz w:val="20"/>
          <w:szCs w:val="20"/>
          <w:color w:val="auto"/>
        </w:rPr>
        <w:t>” means the Bank of Canada (or any successor administrator).</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 Benchmark Replacement means a tenor (including overnight) having approximately the same length (disregarding business day adjustment) as the applicable tenor for the applicable Interest Period with respect to the Eurocurrency Rate, Term SOFR Rate or Term CORRA Rate, as applicable.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has the meaning assigned to it in Section 9.18.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Agent, each Issuing Bank and any other Lender.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CTA 2009</w:t>
      </w:r>
      <w:r>
        <w:rPr>
          <w:rFonts w:ascii="Times New Roman" w:cs="Times New Roman" w:eastAsia="Times New Roman" w:hAnsi="Times New Roman"/>
          <w:sz w:val="20"/>
          <w:szCs w:val="20"/>
          <w:color w:val="auto"/>
        </w:rPr>
        <w:t>” means the U.K. Corporation Tax Act 2009.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Cured Default</w:t>
      </w:r>
      <w:r>
        <w:rPr>
          <w:rFonts w:ascii="Times New Roman" w:cs="Times New Roman" w:eastAsia="Times New Roman" w:hAnsi="Times New Roman"/>
          <w:sz w:val="20"/>
          <w:szCs w:val="20"/>
          <w:color w:val="auto"/>
        </w:rPr>
        <w:t>” has the meaning set forth in Section 7.01.</w:t>
      </w:r>
    </w:p>
    <w:p>
      <w:pPr>
        <w:spacing w:after="0" w:line="12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 rate per annum equal to SOFR for the day (such day “</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spacing w:after="0" w:line="8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Incurrence Prepayment Event</w:t>
      </w:r>
      <w:r>
        <w:rPr>
          <w:rFonts w:ascii="Times New Roman" w:cs="Times New Roman" w:eastAsia="Times New Roman" w:hAnsi="Times New Roman"/>
          <w:sz w:val="20"/>
          <w:szCs w:val="20"/>
          <w:color w:val="auto"/>
        </w:rPr>
        <w:t>” means any issuance or incurrence by the U.S. Borrower or any of the Restricted Subsidiaries of (a) any Indebtedness (excluding any Indebtedness permitted to be issued or incurred under Section 6.01 other than pursuant to Section 6.01(b)(iv) or Section 6.01(b)(xxv)(A)) or (b) any Refinancing Term Loans.</w:t>
      </w:r>
    </w:p>
    <w:p>
      <w:pPr>
        <w:spacing w:after="0" w:line="6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arrangement, rearrangement, receivership, insolvency, reorganization, examinership or similar debtor relief laws of the United States or other applicable jurisdictions from time to time in effect and affecting the rights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69" w:name="page170"/>
    <w:bookmarkEnd w:id="169"/>
    <w:p>
      <w:pPr>
        <w:ind w:right="460"/>
        <w:spacing w:after="0" w:line="283" w:lineRule="auto"/>
        <w:rPr>
          <w:sz w:val="20"/>
          <w:szCs w:val="20"/>
          <w:color w:val="auto"/>
        </w:rPr>
      </w:pPr>
      <w:r>
        <w:rPr>
          <w:rFonts w:ascii="Times New Roman" w:cs="Times New Roman" w:eastAsia="Times New Roman" w:hAnsi="Times New Roman"/>
          <w:sz w:val="20"/>
          <w:szCs w:val="20"/>
          <w:color w:val="auto"/>
        </w:rPr>
        <w:t>creditors generally (including, in the case of any U.K. Borrower, administration, administrative receivership, voluntary arrangement and schemes of arrangement and, in the case of the Canadian Borrower, the Canada Business Corporations Act,.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that is, or with the passage of time or the giving of notice or both would be, an Event of Default.</w:t>
      </w:r>
    </w:p>
    <w:p>
      <w:pPr>
        <w:spacing w:after="0" w:line="121"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65"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any Lender that (a) has failed, within two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(whether acting on its own behalf or at the reasonable request of any Borrower (it being understood that the Agent shall comply with any such reasonable request)),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such Credit Party’s receipt of such certification in form and substance satisfactory to it and the Agent, or (d) has become the subject of (A) a Bankruptcy Event or (B) a Bail-In Action.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Deferred Net Cash Proceeds</w:t>
      </w:r>
      <w:r>
        <w:rPr>
          <w:rFonts w:ascii="Times New Roman" w:cs="Times New Roman" w:eastAsia="Times New Roman" w:hAnsi="Times New Roman"/>
          <w:sz w:val="20"/>
          <w:szCs w:val="20"/>
          <w:color w:val="auto"/>
        </w:rPr>
        <w:t>” has the meaning provided such term in the definition of “Net Cash Proceeds.”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Derivative Transaction</w:t>
      </w:r>
      <w:r>
        <w:rPr>
          <w:rFonts w:ascii="Times New Roman" w:cs="Times New Roman" w:eastAsia="Times New Roman" w:hAnsi="Times New Roman"/>
          <w:sz w:val="20"/>
          <w:szCs w:val="20"/>
          <w:color w:val="auto"/>
        </w:rPr>
        <w:t>” means (a) an interest-rate transaction, including an interest-rate swap, basis swap, forward rate agreement, interest rate option (including a cap, collar, and floor), and any other instrument linked to interest rates that gives rise to similar credit risks (including when-issued securities and forward deposits accepted), (b) an exchange-rate transaction, including a cross-currency interest-rate swap, a forward foreign-exchange contract, a currency option, and any other instrument linked to exchange rates that gives rise to similar credit risks and (c) a commodity (including precious metal) derivative transaction, including a commodity-linked swap, a commodity-linked option, a forward commodity-linked contract, and any other instrument linked to commodities that gives rise to similar credit risks.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Business</w:t>
      </w:r>
      <w:r>
        <w:rPr>
          <w:rFonts w:ascii="Times New Roman" w:cs="Times New Roman" w:eastAsia="Times New Roman" w:hAnsi="Times New Roman"/>
          <w:sz w:val="20"/>
          <w:szCs w:val="20"/>
          <w:color w:val="auto"/>
        </w:rPr>
        <w:t xml:space="preserve">” means the operations and/or assets comprising one or more lines of business or similar internal business unit of the U.S. Borrower and/or its Subsidiaries (including but not limited to all assets used in or reasonably related to such business, Equity Interests of any Subsidiary owning or operating any such business and cash and Cash Equivalents that are incidental to such business but excluding any other cash and Cash Equivalents) designated in writing by the U.S. Borrower to the Agent as a “Designated Business” so long as the sum of the Designated Business EBITDA of such Designated Business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Designated Business EBITDA of each other Designated Business previously disposed of pursuant to Section 6.04(xviii) does not account for more than 25%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solely to the extent not included in the EBITDA of the U.S. Borrower and its Restricted Subsidiaries, the Designated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70" w:name="page171"/>
    <w:bookmarkEnd w:id="170"/>
    <w:p>
      <w:pPr>
        <w:ind w:right="200"/>
        <w:spacing w:after="0" w:line="283" w:lineRule="auto"/>
        <w:rPr>
          <w:sz w:val="20"/>
          <w:szCs w:val="20"/>
          <w:color w:val="auto"/>
        </w:rPr>
      </w:pPr>
      <w:r>
        <w:rPr>
          <w:rFonts w:ascii="Times New Roman" w:cs="Times New Roman" w:eastAsia="Times New Roman" w:hAnsi="Times New Roman"/>
          <w:sz w:val="20"/>
          <w:szCs w:val="20"/>
          <w:color w:val="auto"/>
        </w:rPr>
        <w:t>EBITDA of each Designated Business previously disposed of pursuant to Section 6.04(xviii)) after the Closing Date of the EBITDA of the U.S. Borrower and its Restricted Subsidiaries for the most recently ended Test Period.</w:t>
      </w:r>
    </w:p>
    <w:p>
      <w:pPr>
        <w:spacing w:after="0" w:line="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Business EBITDA</w:t>
      </w:r>
      <w:r>
        <w:rPr>
          <w:rFonts w:ascii="Times New Roman" w:cs="Times New Roman" w:eastAsia="Times New Roman" w:hAnsi="Times New Roman"/>
          <w:sz w:val="20"/>
          <w:szCs w:val="20"/>
          <w:color w:val="auto"/>
        </w:rPr>
        <w:t>” means, with respect to any Designated Business disposed of pursuant to Section 6.04(xviii), the amount of EBITDA of the U.S. Borrower and its Restricted Subsidiaries for the most recently ended Test Period prior to the date of such disposition that is derived from or otherwise attributable to such Designated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Equity Amount</w:t>
      </w:r>
      <w:r>
        <w:rPr>
          <w:rFonts w:ascii="Times New Roman" w:cs="Times New Roman" w:eastAsia="Times New Roman" w:hAnsi="Times New Roman"/>
          <w:sz w:val="20"/>
          <w:szCs w:val="20"/>
          <w:color w:val="auto"/>
        </w:rPr>
        <w:t>” has the meaning provided such term in Section 6.01(b)(xx).</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means the fair market value of noncash consideration received by the U.S. Borrower or a Restricted Subsidiary in connection with a Disposition pursuant to Section 6.06(j) that is designated as Designated Noncash Consideration pursuant to a certificate of a Responsible Officer delivered to the Agent, setting forth the basis of such valuation (which amount will be reduced by any cash proceeds subsequently received by the U.S. Borrower or any Restricted Subsidiary (other than from the U.S. Borrower or a Restricted Subsidiary) in connection with any subsequent repayment, redemption or Disposition of such noncash consideration).</w:t>
      </w:r>
    </w:p>
    <w:p>
      <w:pPr>
        <w:spacing w:after="0" w:line="84" w:lineRule="exact"/>
        <w:rPr>
          <w:sz w:val="20"/>
          <w:szCs w:val="20"/>
          <w:color w:val="auto"/>
        </w:rPr>
      </w:pPr>
    </w:p>
    <w:p>
      <w:pPr>
        <w:ind w:right="9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Obligations</w:t>
      </w:r>
      <w:r>
        <w:rPr>
          <w:rFonts w:ascii="Times New Roman" w:cs="Times New Roman" w:eastAsia="Times New Roman" w:hAnsi="Times New Roman"/>
          <w:sz w:val="20"/>
          <w:szCs w:val="20"/>
          <w:color w:val="auto"/>
        </w:rPr>
        <w:t>” means all obligations of the Borrowers with respect to (a) principal of and interest on the Loans, (b) LC Disbursements and interest thereon and (c) accrued and unpaid fees under the Loan Documents.</w:t>
      </w:r>
    </w:p>
    <w:p>
      <w:pPr>
        <w:spacing w:after="0" w:line="65"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Preferred Stock</w:t>
      </w:r>
      <w:r>
        <w:rPr>
          <w:rFonts w:ascii="Times New Roman" w:cs="Times New Roman" w:eastAsia="Times New Roman" w:hAnsi="Times New Roman"/>
          <w:sz w:val="19"/>
          <w:szCs w:val="19"/>
          <w:color w:val="auto"/>
        </w:rPr>
        <w:t>” means Preferred Stock of the U.S. Borrower or any direct or indirect parent company thereof (in each case other than Disqualified Stock) that is issued for cash (other than to a Restricted Subsidiary) and is so designated as Designated Preferred Stock pursuant to an Officers’ Certificate delivered to the Agent that is executed by a Responsible Officer of the U.S. Borrower on the issuance date thereof, the cash proceeds of which are excluded from the calculation set forth in the definition of “Applicable Amount.”</w:t>
      </w:r>
    </w:p>
    <w:p>
      <w:pPr>
        <w:spacing w:after="0" w:line="4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means (a) with respect to any Eurocurrency Rate Loan, or Term CORRA Rate Loan denominated in any currency other than Dollars, each date of determination of the Eurocurrency Rate, Term CORRA Rate or EURIBOR Rate applicable to such Loan (and, if any Eurocurrency Interest Period has a duration of more than three months, on each date during such Interest Period occurring every three months from the first day of such Eurocurrency Interest Period), (b) with respect to any Canadian Base Rate Loan or SONIA Rate Loan, the date such Loan is made and each date on which interest is invoiced on such Loan, and (c) with respect to each Letter of Credit denominated in any currency other than Dollars, the first Business Day of each calendar month.</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Discharge of Obligations</w:t>
      </w:r>
      <w:r>
        <w:rPr>
          <w:rFonts w:ascii="Times New Roman" w:cs="Times New Roman" w:eastAsia="Times New Roman" w:hAnsi="Times New Roman"/>
          <w:sz w:val="20"/>
          <w:szCs w:val="20"/>
          <w:color w:val="auto"/>
        </w:rPr>
        <w:t>” shall be deemed to have occurred on the first date that (a) all Commitments shall have been terminated, (b) all Obligations arising under the Loan Documents (other than contingent obligations for unasserted claims) shall have been repaid in full and (c) no Letters of Credit shall be outstanding (except to the extent consented to by issuer thereof pursuant to arrangements reasonably acceptable to such issuer in its sole discretion).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Disclosed Matters</w:t>
      </w:r>
      <w:r>
        <w:rPr>
          <w:rFonts w:ascii="Times New Roman" w:cs="Times New Roman" w:eastAsia="Times New Roman" w:hAnsi="Times New Roman"/>
          <w:sz w:val="20"/>
          <w:szCs w:val="20"/>
          <w:color w:val="auto"/>
        </w:rPr>
        <w:t xml:space="preserve">” means the actions, suits and proceedings and the environmental matters disclosed in </w:t>
      </w:r>
      <w:r>
        <w:rPr>
          <w:rFonts w:ascii="Times New Roman" w:cs="Times New Roman" w:eastAsia="Times New Roman" w:hAnsi="Times New Roman"/>
          <w:sz w:val="20"/>
          <w:szCs w:val="20"/>
          <w:u w:val="single" w:color="auto"/>
          <w:color w:val="auto"/>
        </w:rPr>
        <w:t>Schedule 3.06</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(including any Sale and Lease-Back Transaction and any issuance or sale of Equity Interests of any Subsidiary) of any property of the U.S. Borrower or any of the Restricted Subsidiaries.</w:t>
      </w:r>
    </w:p>
    <w:p>
      <w:pPr>
        <w:spacing w:after="0" w:line="6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means, with respect to any Person, any Capital Stock of such Person which, by its terms, or by the terms of any security into which it is convertible or for which it is convertible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171" w:name="page172"/>
    <w:bookmarkEnd w:id="171"/>
    <w:p>
      <w:pPr>
        <w:spacing w:after="0" w:line="263" w:lineRule="auto"/>
        <w:rPr>
          <w:sz w:val="20"/>
          <w:szCs w:val="20"/>
          <w:color w:val="auto"/>
        </w:rPr>
      </w:pPr>
      <w:r>
        <w:rPr>
          <w:rFonts w:ascii="Times New Roman" w:cs="Times New Roman" w:eastAsia="Times New Roman" w:hAnsi="Times New Roman"/>
          <w:sz w:val="19"/>
          <w:szCs w:val="19"/>
          <w:color w:val="auto"/>
        </w:rPr>
        <w:t xml:space="preserve">exchangeable, or upon the happening of any event, matures or is mandatorily redeemable (other than solely for Capital Stock that is not Disqualified Stock), other than as a result of a change of control or asset sale, pursuant to a sinking fund obligation or otherwise, or is redeemable at the option of the holder thereof (other than as a result of a change of control or asset sale to the extent the terms of such Capital Stock provide that such Capital Stock shall not be required to be repurchased or redeemed until the Discharge of Obligations has occurred or such repurchase or redemption is otherwise permitted by this Agreement (including as a result of a waiver hereunder)), in whole or in part, in each case prior to the date that is ninety-one (91) days after the earlier of the Latest Maturity Date at the time of issuance thereof and the Discharge of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Capital Stock is issued to any plan for the benefit of employees of the U.S. Borrower or its Subsidiaries or by any such plan to such employees, such Capital Stock shall not constitute Disqualified Stock solely because it may be required to be repurchased by the U.S. Borrower or its Subsidiaries in order to satisfy applicable statutory or regulatory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any Capital Stock held by any future, present or former employee, director, manager or consultant (or their respective estates, Controlled Investment Affiliates or Immediate Family Members), of the U.S. Borrower, any of its Subsidiaries or any of its direct or indirect parent companies’ or any other entity in which the U.S. Borrower or a Restricted Subsidiary has an Investment and is designated in good faith as an “affiliate” by the Board of Directors of the U.S. Borrower (or the Compensation Committee thereof), in each case pursuant to any stockholders’ agreement, management equity plan or stock incentive plan or any other management or employee benefit plan or agreement shall not constitute Disqualified Stock solely because it may be required to be repurchased by the U.S. Borrower or its Subsidiaries following the termination of employment of any such employee, director, manager or consultant with the U.S. Borrower or its Subsidiaries.</w:t>
      </w:r>
    </w:p>
    <w:p>
      <w:pPr>
        <w:spacing w:after="0" w:line="8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of any amount means, at the time of determination thereof, (a) if such amount is expressed in Dollars, such amount, (b) if such amount is expressed in an Alternative Currency, the equivalent of such amount in Dollars determined by using the rate of exchange for the purchase of the Dollars with the Alternative Currency in the London foreign exchange market at or about 11:00 a.m. London time (or New York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the Agent using any method of determination it deems appropriate in its sole discretion) and (c) if such amount is denominated in any other currency, the equivalent of such amount in Dollars as determined by the Agent using any method of determination it deems appropriate in its sole reasonable discretion.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the sign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each mean the lawful money of the United States of America.</w:t>
      </w:r>
    </w:p>
    <w:p>
      <w:pPr>
        <w:spacing w:after="0" w:line="121"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Obligations</w:t>
      </w:r>
      <w:r>
        <w:rPr>
          <w:rFonts w:ascii="Times New Roman" w:cs="Times New Roman" w:eastAsia="Times New Roman" w:hAnsi="Times New Roman"/>
          <w:sz w:val="20"/>
          <w:szCs w:val="20"/>
          <w:color w:val="auto"/>
        </w:rPr>
        <w:t>” means all unpaid principal of and accrued and unpaid interest on the Loans made to the U.S. Borrower or LC Disbursements made pursuant to Letters of Credit issued for the account of the U.S. Borrower, including on behalf of any of its U.S. subsidiaries (not including, for the avoidance of doubt, any Foreign Borrower or its subsidiaries), all accrued and unpaid fees (including pursuant to Section 2.10 of this Agreement) and all expenses, reimbursements, indemnities and other obligations of the Loan Parties to the Lenders or to any Lender, the Agent, any Issuing Bank or any indemnified party arising under the Loan Documents (including interest and fees accruing after commencement of any bankruptcy or insolvency proceeding against any Loan Party, whether or not allowed in such proceeding).</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with respect to any Person, any Restricted Subsidiary of such Person other than a Foreign Subsidiary.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Early Opt-in Election</w:t>
      </w:r>
      <w:r>
        <w:rPr>
          <w:rFonts w:ascii="Times New Roman" w:cs="Times New Roman" w:eastAsia="Times New Roman" w:hAnsi="Times New Roman"/>
          <w:sz w:val="20"/>
          <w:szCs w:val="20"/>
          <w:color w:val="auto"/>
        </w:rPr>
        <w:t>” means the occurrence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72" w:name="page173"/>
    <w:bookmarkEnd w:id="172"/>
    <w:p>
      <w:pPr>
        <w:ind w:left="660" w:firstLine="644"/>
        <w:spacing w:after="0" w:line="253" w:lineRule="auto"/>
        <w:tabs>
          <w:tab w:leader="none" w:pos="19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 determination by the Administrative Agent in consultation with the applicable Borrowers or (ii) a notification by the Required Class Lenders for each Facility providing for Loans in the applicable currency to the Administrative Agent (with a copy to the applicable Borrowers) that the Required Class Lenders for each Facility providing for Loans in the applicable currency have determined that syndicated credit facilities denominated in such applicable currency being executed at such time, or that include language similar to that contained in Section 2.14 are being executed or amended, as applicable, to incorporate or adopt a new benchmark interest rate to replace the Eurocurrency Rate or Term CORRA Rate, as applicable, and</w:t>
      </w:r>
    </w:p>
    <w:p>
      <w:pPr>
        <w:spacing w:after="0" w:line="192" w:lineRule="exact"/>
        <w:rPr>
          <w:rFonts w:ascii="Times New Roman" w:cs="Times New Roman" w:eastAsia="Times New Roman" w:hAnsi="Times New Roman"/>
          <w:sz w:val="20"/>
          <w:szCs w:val="20"/>
          <w:color w:val="auto"/>
        </w:rPr>
      </w:pPr>
    </w:p>
    <w:p>
      <w:pPr>
        <w:jc w:val="both"/>
        <w:ind w:left="660" w:right="20" w:firstLine="644"/>
        <w:spacing w:after="0" w:line="253" w:lineRule="auto"/>
        <w:tabs>
          <w:tab w:leader="none" w:pos="19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election by the Administrative Agent in consultation with the applicable Borrowers or (ii) the election by the Required Class Lenders for each Facility providing for Loans in the applicable currency to declare that an Early Opt-in Election has occurred and the provision, as applicable, by the Administrative Agent of written notice of such election to the applicable Borrowers and the Lenders or by the Required Class Lenders of each Facility providing for Loans in the applicable currency of written notice of such election to the Administrative Agent.</w:t>
      </w:r>
    </w:p>
    <w:p>
      <w:pPr>
        <w:spacing w:after="0" w:line="19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ECF Percentage</w:t>
      </w:r>
      <w:r>
        <w:rPr>
          <w:rFonts w:ascii="Times New Roman" w:cs="Times New Roman" w:eastAsia="Times New Roman" w:hAnsi="Times New Roman"/>
          <w:sz w:val="19"/>
          <w:szCs w:val="19"/>
          <w:color w:val="auto"/>
        </w:rPr>
        <w:t>” means, with respect to the prepayment required by Section 2.09(a) with respect to any fiscal year of the U.S. Borrower, if the Consolidated Secured Debt Ratio (prior to giving effect to the applicable prepayment pursuant to Section 2.09(a), but after giving effect to any voluntary prepayments made pursuant to such Section prior to the date of such prepayment) as of the end of such fiscal year is (a) greater than 3.25 to 1.00, 50% of Excess Cash Flow for such fiscal year, (b) less than or equal to 3.25 to 1.00 but greater than 2.75 to 1.00, 25% of Excess Cash Flow for such fiscal year and (c) equal to or less than 2.75 to 1.00, 0% of Excess Cash Flow for such fiscal year.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EBITDA</w:t>
      </w:r>
      <w:r>
        <w:rPr>
          <w:rFonts w:ascii="Times New Roman" w:cs="Times New Roman" w:eastAsia="Times New Roman" w:hAnsi="Times New Roman"/>
          <w:sz w:val="20"/>
          <w:szCs w:val="20"/>
          <w:color w:val="auto"/>
        </w:rPr>
        <w:t>” means, with respect to any Person for any period, the Consolidated Net Income of such Person for such period,</w:t>
      </w:r>
    </w:p>
    <w:p>
      <w:pPr>
        <w:spacing w:after="0" w:line="108"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increased by (without duplication):</w:t>
      </w:r>
    </w:p>
    <w:p>
      <w:pPr>
        <w:spacing w:after="0" w:line="229" w:lineRule="exact"/>
        <w:rPr>
          <w:sz w:val="20"/>
          <w:szCs w:val="20"/>
          <w:color w:val="auto"/>
        </w:rPr>
      </w:pPr>
    </w:p>
    <w:p>
      <w:pPr>
        <w:ind w:left="660" w:right="400" w:firstLine="644"/>
        <w:spacing w:after="0" w:line="269" w:lineRule="auto"/>
        <w:tabs>
          <w:tab w:leader="none" w:pos="15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provision for taxes based on income or profits,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franchise or similar taxes, for such period deducted in computing Consolidated Net Income for such period, </w:t>
      </w:r>
      <w:r>
        <w:rPr>
          <w:rFonts w:ascii="Times New Roman" w:cs="Times New Roman" w:eastAsia="Times New Roman" w:hAnsi="Times New Roman"/>
          <w:sz w:val="20"/>
          <w:szCs w:val="20"/>
          <w:u w:val="single" w:color="auto"/>
          <w:color w:val="auto"/>
        </w:rPr>
        <w:t>plus</w:t>
      </w:r>
    </w:p>
    <w:p>
      <w:pPr>
        <w:spacing w:after="0" w:line="172" w:lineRule="exact"/>
        <w:rPr>
          <w:rFonts w:ascii="Times New Roman" w:cs="Times New Roman" w:eastAsia="Times New Roman" w:hAnsi="Times New Roman"/>
          <w:sz w:val="20"/>
          <w:szCs w:val="20"/>
          <w:color w:val="auto"/>
        </w:rPr>
      </w:pPr>
    </w:p>
    <w:p>
      <w:pPr>
        <w:ind w:left="660" w:right="600" w:firstLine="644"/>
        <w:spacing w:after="0" w:line="269" w:lineRule="auto"/>
        <w:tabs>
          <w:tab w:leader="none" w:pos="159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Charges for such period to the extent the same was deducted in calculating Consolidated Net Income for such period, </w:t>
      </w:r>
      <w:r>
        <w:rPr>
          <w:rFonts w:ascii="Times New Roman" w:cs="Times New Roman" w:eastAsia="Times New Roman" w:hAnsi="Times New Roman"/>
          <w:sz w:val="20"/>
          <w:szCs w:val="20"/>
          <w:u w:val="single" w:color="auto"/>
          <w:color w:val="auto"/>
        </w:rPr>
        <w:t>plus</w:t>
      </w:r>
    </w:p>
    <w:p>
      <w:pPr>
        <w:spacing w:after="0" w:line="172" w:lineRule="exact"/>
        <w:rPr>
          <w:rFonts w:ascii="Times New Roman" w:cs="Times New Roman" w:eastAsia="Times New Roman" w:hAnsi="Times New Roman"/>
          <w:sz w:val="20"/>
          <w:szCs w:val="20"/>
          <w:color w:val="auto"/>
        </w:rPr>
      </w:pPr>
    </w:p>
    <w:p>
      <w:pPr>
        <w:ind w:left="660" w:right="200" w:firstLine="644"/>
        <w:spacing w:after="0" w:line="283" w:lineRule="auto"/>
        <w:tabs>
          <w:tab w:leader="none" w:pos="165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Depreciation and Amortization Expense for such period to the extent such depreciation and amortization were deducted in computing Consolidated Net Income for such period, </w:t>
      </w:r>
      <w:r>
        <w:rPr>
          <w:rFonts w:ascii="Times New Roman" w:cs="Times New Roman" w:eastAsia="Times New Roman" w:hAnsi="Times New Roman"/>
          <w:sz w:val="20"/>
          <w:szCs w:val="20"/>
          <w:u w:val="single" w:color="auto"/>
          <w:color w:val="auto"/>
        </w:rPr>
        <w:t>plus</w:t>
      </w:r>
    </w:p>
    <w:p>
      <w:pPr>
        <w:spacing w:after="0" w:line="146" w:lineRule="exact"/>
        <w:rPr>
          <w:rFonts w:ascii="Times New Roman" w:cs="Times New Roman" w:eastAsia="Times New Roman" w:hAnsi="Times New Roman"/>
          <w:sz w:val="20"/>
          <w:szCs w:val="20"/>
          <w:color w:val="auto"/>
        </w:rPr>
      </w:pPr>
    </w:p>
    <w:p>
      <w:pPr>
        <w:ind w:left="660" w:right="20" w:firstLine="644"/>
        <w:spacing w:after="0" w:line="257" w:lineRule="auto"/>
        <w:tabs>
          <w:tab w:leader="none" w:pos="164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expenses or charges related to the Refinancing Transactions, any Equity Offering, Permitted Investment, acquisition, disposition, recapitalization or the incurrence of Indebtedness permitted to be incurred hereunder including a refinancing thereof (whether or not successful and including any such transaction prior to the Closing Date) and any amendment or modification to the terms of any such transactions, including all fees, expenses or charges deducted in computing Consolidated Net Income for such period, </w:t>
      </w:r>
      <w:r>
        <w:rPr>
          <w:rFonts w:ascii="Times New Roman" w:cs="Times New Roman" w:eastAsia="Times New Roman" w:hAnsi="Times New Roman"/>
          <w:sz w:val="20"/>
          <w:szCs w:val="20"/>
          <w:u w:val="single" w:color="auto"/>
          <w:color w:val="auto"/>
        </w:rPr>
        <w:t>plus</w:t>
      </w:r>
    </w:p>
    <w:p>
      <w:pPr>
        <w:spacing w:after="0" w:line="172" w:lineRule="exact"/>
        <w:rPr>
          <w:rFonts w:ascii="Times New Roman" w:cs="Times New Roman" w:eastAsia="Times New Roman" w:hAnsi="Times New Roman"/>
          <w:sz w:val="20"/>
          <w:szCs w:val="20"/>
          <w:color w:val="auto"/>
        </w:rPr>
      </w:pPr>
    </w:p>
    <w:p>
      <w:pPr>
        <w:jc w:val="both"/>
        <w:ind w:left="660" w:right="340" w:firstLine="644"/>
        <w:spacing w:after="0" w:line="261" w:lineRule="auto"/>
        <w:tabs>
          <w:tab w:leader="none" w:pos="158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restructuring charge or reserve deducted in such period in computing Consolidated Net Income for such period, including any one-time costs incurred in connection with (A) acquisitions whether consummated before or after the Closing Date or (B) the closing or consolidation of facilities whether before or after the Closing Date,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73" w:name="page174"/>
    <w:bookmarkEnd w:id="173"/>
    <w:p>
      <w:pPr>
        <w:jc w:val="both"/>
        <w:ind w:left="660" w:firstLine="644"/>
        <w:spacing w:after="0" w:line="261" w:lineRule="auto"/>
        <w:tabs>
          <w:tab w:leader="none" w:pos="164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write-offs, write-downs or other noncash charges reducing Consolidated Net Income for such period, in each case, in excess of $2.0 million individually, excluding any such charge that represents an accrual or reserve for a cash expenditure for a future period, </w:t>
      </w:r>
      <w:r>
        <w:rPr>
          <w:rFonts w:ascii="Times New Roman" w:cs="Times New Roman" w:eastAsia="Times New Roman" w:hAnsi="Times New Roman"/>
          <w:sz w:val="20"/>
          <w:szCs w:val="20"/>
          <w:u w:val="single" w:color="auto"/>
          <w:color w:val="auto"/>
        </w:rPr>
        <w:t>plus</w:t>
      </w:r>
    </w:p>
    <w:p>
      <w:pPr>
        <w:spacing w:after="0" w:line="181"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non-controlling interest expense deducted in calculating Consolidated Net Income for such period,</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plus</w:t>
      </w:r>
    </w:p>
    <w:p>
      <w:pPr>
        <w:spacing w:after="0" w:line="207" w:lineRule="exact"/>
        <w:rPr>
          <w:rFonts w:ascii="Times New Roman" w:cs="Times New Roman" w:eastAsia="Times New Roman" w:hAnsi="Times New Roman"/>
          <w:sz w:val="20"/>
          <w:szCs w:val="20"/>
          <w:color w:val="auto"/>
        </w:rPr>
      </w:pPr>
    </w:p>
    <w:p>
      <w:pPr>
        <w:ind w:left="660" w:right="80" w:firstLine="644"/>
        <w:spacing w:after="0" w:line="250" w:lineRule="auto"/>
        <w:tabs>
          <w:tab w:leader="none" w:pos="175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net cost savings projected by the U.S. Borrower in good faith to be realized during such period (calculated on a pro forma basis as though such cost savings had been realized on the first day of such period) as a result of actions taken or to be taken in connection with (x) prior to the 2024 Refinancing Amendments Effective Date, any acquisition or disposition and (y) from and after the 2024 Refinancing Amendments Effective Date, any acquisition, disposition, restructuring or cost-savings initiative, in each case by the U.S. Borrower or any Restricted Subsidiary, net of the amount of actual benefits realized during such period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cost savings are reasonably identifiable and factually supportable, (B) such actions are taken or expected to be taken within (x) prior to the 2024 Refinancing Amendments Effective Date,18 months after the date of such acquisition or disposition and (y) from and after the 2024 Refinancing Amendments Effective Date, 24 months after the date of such acquisition, disposition, restructuring or cost-savings initiative and (C) the aggregate amount of cost savings added pursuant to this clause (viii) shall not exceed (x) prior to the 2024 Refinancing Amendments Effective Date, 20% of EBITDA and (y) from and after the 2024 Refinancing Amendments Effective Date, 25% of EBITDA, in each case of the U.S. Borrower for the most recently ended Test Period prior to the determination date (calculated after giving effect to any adjustments pursuant to this clause (viii)) for any Test Period (which adjustments may be incremental to pro forma adjustments made pursuant to the second paragraph of the definition of “Interest Coverage Ratio”), </w:t>
      </w:r>
      <w:r>
        <w:rPr>
          <w:rFonts w:ascii="Times New Roman" w:cs="Times New Roman" w:eastAsia="Times New Roman" w:hAnsi="Times New Roman"/>
          <w:sz w:val="20"/>
          <w:szCs w:val="20"/>
          <w:u w:val="single" w:color="auto"/>
          <w:color w:val="auto"/>
        </w:rPr>
        <w:t>plus</w:t>
      </w:r>
    </w:p>
    <w:p>
      <w:pPr>
        <w:spacing w:after="0" w:line="183" w:lineRule="exact"/>
        <w:rPr>
          <w:rFonts w:ascii="Times New Roman" w:cs="Times New Roman" w:eastAsia="Times New Roman" w:hAnsi="Times New Roman"/>
          <w:sz w:val="20"/>
          <w:szCs w:val="20"/>
          <w:color w:val="auto"/>
        </w:rPr>
      </w:pPr>
    </w:p>
    <w:p>
      <w:pPr>
        <w:ind w:left="660" w:right="60" w:firstLine="644"/>
        <w:spacing w:after="0" w:line="257" w:lineRule="auto"/>
        <w:tabs>
          <w:tab w:leader="none" w:pos="164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costs or expenses incurred by the U.S. Borrower or a Restricted Subsidiary pursuant to any management equity plan or stock option plan or any other management or employee benefit plan or agreement or any stock subscription or stockholders agreement, to the extent that such costs or expenses are funded with cash proceeds contributed to the capital of the U.S. Borrower or net cash proceeds of issuance of Equity Interests of the U.S. Borrower (other than Disqualified Stock) in each case, solely to the extent that such cash proceeds are excluded from the calculation of the Applicable Amount, </w:t>
      </w:r>
      <w:r>
        <w:rPr>
          <w:rFonts w:ascii="Times New Roman" w:cs="Times New Roman" w:eastAsia="Times New Roman" w:hAnsi="Times New Roman"/>
          <w:sz w:val="20"/>
          <w:szCs w:val="20"/>
          <w:u w:val="single" w:color="auto"/>
          <w:color w:val="auto"/>
        </w:rPr>
        <w:t>plus</w:t>
      </w:r>
    </w:p>
    <w:p>
      <w:pPr>
        <w:spacing w:after="0" w:line="172" w:lineRule="exact"/>
        <w:rPr>
          <w:rFonts w:ascii="Times New Roman" w:cs="Times New Roman" w:eastAsia="Times New Roman" w:hAnsi="Times New Roman"/>
          <w:sz w:val="20"/>
          <w:szCs w:val="20"/>
          <w:color w:val="auto"/>
        </w:rPr>
      </w:pPr>
    </w:p>
    <w:p>
      <w:pPr>
        <w:ind w:left="660" w:right="300" w:firstLine="644"/>
        <w:spacing w:after="0" w:line="261" w:lineRule="auto"/>
        <w:tabs>
          <w:tab w:leader="none" w:pos="158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after-tax non-recurring or unusual gains or losses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all fees and expenses relating thereto) or expenses (including relating to severance, relocation, unusual contract terminations, one-time compensation charges, warrants or options to purchase Capital Stock of Holdings or any direct or indirect parent thereof), </w:t>
      </w:r>
      <w:r>
        <w:rPr>
          <w:rFonts w:ascii="Times New Roman" w:cs="Times New Roman" w:eastAsia="Times New Roman" w:hAnsi="Times New Roman"/>
          <w:sz w:val="20"/>
          <w:szCs w:val="20"/>
          <w:u w:val="single" w:color="auto"/>
          <w:color w:val="auto"/>
        </w:rPr>
        <w:t>plus</w:t>
      </w:r>
    </w:p>
    <w:p>
      <w:pPr>
        <w:spacing w:after="0" w:line="181" w:lineRule="exact"/>
        <w:rPr>
          <w:rFonts w:ascii="Times New Roman" w:cs="Times New Roman" w:eastAsia="Times New Roman" w:hAnsi="Times New Roman"/>
          <w:sz w:val="20"/>
          <w:szCs w:val="20"/>
          <w:color w:val="auto"/>
        </w:rPr>
      </w:pPr>
    </w:p>
    <w:p>
      <w:pPr>
        <w:ind w:left="660" w:right="140" w:firstLine="644"/>
        <w:spacing w:after="0" w:line="253" w:lineRule="auto"/>
        <w:tabs>
          <w:tab w:leader="none" w:pos="164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covered by insurance and actually reimbursed, or, so long as the U.S.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such 365 days), expenses with respect to liability or casualty events or business interruption,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74" w:name="page175"/>
    <w:bookmarkEnd w:id="174"/>
    <w:p>
      <w:pPr>
        <w:ind w:left="660" w:right="100" w:firstLine="644"/>
        <w:spacing w:after="0" w:line="258" w:lineRule="auto"/>
        <w:tabs>
          <w:tab w:leader="none" w:pos="169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2024 Refinancing Amendments Effective Date, any addbacks or adjustments (i) identified or contained in any quality of earnings report made available to the Administrative Agent in connection with a permitted acquisition or similar Permitted Investment, conducted by nationally recognized financial advisors or (ii) consistent with Regulation S-X promulgated under the Securities Act;</w:t>
      </w:r>
    </w:p>
    <w:p>
      <w:pPr>
        <w:spacing w:after="0" w:line="172" w:lineRule="exact"/>
        <w:rPr>
          <w:sz w:val="20"/>
          <w:szCs w:val="20"/>
          <w:color w:val="auto"/>
        </w:rPr>
      </w:pPr>
    </w:p>
    <w:p>
      <w:pPr>
        <w:ind w:left="660" w:right="60" w:firstLine="644"/>
        <w:spacing w:after="0" w:line="258" w:lineRule="auto"/>
        <w:tabs>
          <w:tab w:leader="none" w:pos="173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by (without duplication) noncash gains included in Consolidated Net Income of such Person for such period, in excess of $2.0 million individually, excluding any noncash gains that represent the reversal of any accrual of, or cash reserve for, anticipated cash charges in any prior period (other than such cash charges that have been added back to Consolidated Net Income in calculating EBITDA in accordance with this definition); and</w:t>
      </w:r>
    </w:p>
    <w:p>
      <w:pPr>
        <w:spacing w:after="0" w:line="185" w:lineRule="exact"/>
        <w:rPr>
          <w:rFonts w:ascii="Times New Roman" w:cs="Times New Roman" w:eastAsia="Times New Roman" w:hAnsi="Times New Roman"/>
          <w:sz w:val="20"/>
          <w:szCs w:val="20"/>
          <w:color w:val="auto"/>
        </w:rPr>
      </w:pPr>
    </w:p>
    <w:p>
      <w:pPr>
        <w:ind w:left="660" w:right="280" w:firstLine="644"/>
        <w:spacing w:after="0" w:line="258" w:lineRule="auto"/>
        <w:tabs>
          <w:tab w:leader="none" w:pos="172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(by losses) or decreased (by gains), as applicable, by (without duplication) (i) any net noncash gain or loss resulting in such period from Hedging Obligations and the application of Financial Accounting Codification 815 and (ii) any net noncash gain or loss resulting in such period from currency translation gains or losses related to currency remeasurements of Indebtedness and (iii) revaluations of intercompany balances.</w:t>
      </w:r>
    </w:p>
    <w:p>
      <w:pPr>
        <w:spacing w:after="0" w:line="172"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20"/>
          <w:szCs w:val="20"/>
          <w:color w:val="auto"/>
        </w:rPr>
        <w:t>Notwithstanding the foregoing with respect to the U.S. Borrower’s investment in AIM which are accounted for by the equity method of accounting, EBITDA will include, without duplication, the U.S. Borrower’s proportionate share of EBITDA of AIM (as calculated in accordance with the foregoing definition without reference to this sentence).</w:t>
      </w:r>
    </w:p>
    <w:p>
      <w:pPr>
        <w:spacing w:after="0" w:line="7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(i) prior to the 2024 Refinancing Amendments Effective Date (a) any credit institution or investment firm established in any EEA Member Country which is subject to the supervision of an EEA Resolution Authority, (b) any entity established in an EEA Member Country which is a parent of an institution described in clause (a)(i) of this definition, or (c) any financial institution established in an EEA Member Country which is a subsidiary of an institution described in clauses (a) or (b) of this definition and is subject to consolidated supervision with its parent, and (ii) from and after the 2024 Refinancing Amendments Effective Date (a) any credit institution or investment firm established in any EEA Member Country or the United Kingdom which is subject to the supervision of an EEA Resolution Authority, (b) any entity established in an EEA Member Country or the United Kingdom which is a parent of an institution described in clause (a)(ii) of this definition, or (c) any financial institution established in an EEA Member Country or the United Kingdom which is a subsidiary of an institution described in clauses (a) or (b) of this definition and is subject to consolidated supervision with its parent.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 prior to the 2024 Refinancing Amendments Effective Date, any public administrative authority or any Person entrusted with public administrative authority of any EEA Member Country (including any delegee) having responsibility for the resolution of any EEA Financial Institution, and (b) from and after the 2024 Refinancing Amendments Effective Date any public administrative authority or any Person entrusted with public administrative authority of any EEA Member Country (including any delegee) having responsibility for the resolution of any EEA Financial Institution and any body which has authority to exercise any Write-down and Conversion Powers.</w:t>
      </w:r>
    </w:p>
    <w:p>
      <w:pPr>
        <w:spacing w:after="0" w:line="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Yield</w:t>
      </w:r>
      <w:r>
        <w:rPr>
          <w:rFonts w:ascii="Times New Roman" w:cs="Times New Roman" w:eastAsia="Times New Roman" w:hAnsi="Times New Roman"/>
          <w:sz w:val="20"/>
          <w:szCs w:val="20"/>
          <w:color w:val="auto"/>
        </w:rPr>
        <w:t>” for any Indebtedness on any date of determination will be determined by the Agent in consultation with the U.S. Borrower and consistent with generally accepted financial practices utilizing (a) if applicable, any “Eurocurrency Rate floor”, “Term CORRA Rate floor”, “SONIA Rate floor”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75" w:name="page176"/>
    <w:bookmarkEnd w:id="175"/>
    <w:p>
      <w:pPr>
        <w:ind w:right="20"/>
        <w:spacing w:after="0" w:line="251" w:lineRule="auto"/>
        <w:rPr>
          <w:sz w:val="20"/>
          <w:szCs w:val="20"/>
          <w:color w:val="auto"/>
        </w:rPr>
      </w:pPr>
      <w:r>
        <w:rPr>
          <w:rFonts w:ascii="Times New Roman" w:cs="Times New Roman" w:eastAsia="Times New Roman" w:hAnsi="Times New Roman"/>
          <w:sz w:val="20"/>
          <w:szCs w:val="20"/>
          <w:color w:val="auto"/>
        </w:rPr>
        <w:t xml:space="preserve">“Adjusted Term SOFR Rate floor” applicable to such Indebtedness on such date, (b) the interest margin and any credit spread adjustment for such Indebtedness on such date and (c) the issue price of such Indebtedness (after giving effect to any original issue discount (with original issue discount being equated to interest based on an assumed four-year average life to maturity on a straight-line basis)) or upfront fees (which shall be deemed to constitute like amounts of original issue discount), in each case, incurred or payable to the lenders of such Indebtedness but excluding arrangement, underwriting, commitment, structuring, ticking, unused line, amendment fees and other similar fees not paid generally to all lenders in the primary syndication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Indebtedness that includes a “Eurocurrency floor”, “Term CORRA Rate floor”, “SONIA Rate floor” or “Adjusted Term SOFR Rate floor” (i) to the extent that the Eurocurrency Rate, Term CORRA Rate, SONIA Rate or Adjusted Term SOFR Rate (without giving effect to any floors in such definitions), as applicable, on the date that the Effective Yield is being calculated is less than such floor, the amount of such difference shall be deemed added to the interest rate margin for such Indebtedness and (ii) to the extent that the Eurocurrency Rate, Term CORRA Rate, SONIA Rate or Adjusted Term SOFR Rate (without giving effect to any floors in such definitions), as applicable, on such date is greater than such floor, then the floor shall be disregarded.</w:t>
      </w:r>
    </w:p>
    <w:p>
      <w:pPr>
        <w:spacing w:after="0" w:line="70"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3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System</w:t>
      </w:r>
      <w:r>
        <w:rPr>
          <w:rFonts w:ascii="Times New Roman" w:cs="Times New Roman" w:eastAsia="Times New Roman" w:hAnsi="Times New Roman"/>
          <w:sz w:val="20"/>
          <w:szCs w:val="20"/>
          <w:color w:val="auto"/>
        </w:rPr>
        <w:t>” means any electronic system, including e-mail, e-fax, Intralinks®, ClearPar®, Debt Domain, Syndtrak and any other Internet or extranet-based site, whether such electronic system is owned, operated or hosted by the Agent and or any Issuing Bank and any of its respective Related Parties or any other Person, providing for access to data protected by passcodes or other security system.</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EMU</w:t>
      </w:r>
      <w:r>
        <w:rPr>
          <w:rFonts w:ascii="Times New Roman" w:cs="Times New Roman" w:eastAsia="Times New Roman" w:hAnsi="Times New Roman"/>
          <w:sz w:val="20"/>
          <w:szCs w:val="20"/>
          <w:color w:val="auto"/>
        </w:rPr>
        <w:t>” means the economic and monetary union contemplated by the Treaty of the European Union.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or legally binding agreements issued, promulgated or entered into by any Governmental Authority, relating in any way to the protection of the environment, preservation or reclamation of natural resources, the management, release or threatened release of, or exposure to, any Hazardous Material or, to the extent relating to human exposure to Hazardous Materials, health and safety matters.</w:t>
      </w:r>
    </w:p>
    <w:p>
      <w:pPr>
        <w:spacing w:after="0" w:line="7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without limitation, any liability for damages, costs of environmental investigation, remediation, restoration or monitoring, fines, penalties or indemnities), of the U.S. Borrower or any Restricted Subsidiary directly or indirectly resulting from or based upon (a) violation of or liability under any Environmental Law, (b) the generation, use, handling, transportation, storage, treatment or disposal of any Hazardous Materials, (c) human or animal exposure to any Hazardous Materials, (d) the release or threatened release of any Hazardous Materials into the environment or (e) any contract, agreement or other legally binding consensual arrangement pursuant to which liability is assumed or imposed with respect to any of the foregoing.</w:t>
      </w:r>
    </w:p>
    <w:p>
      <w:pPr>
        <w:spacing w:after="0" w:line="8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Capital Stock and all warrants, options or other rights to acquire Capital Stock, but excluding any debt security that is convertible into, or exchangeable for, Capital Stock.</w:t>
      </w:r>
    </w:p>
    <w:p>
      <w:pPr>
        <w:spacing w:after="0" w:line="6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Offering</w:t>
      </w:r>
      <w:r>
        <w:rPr>
          <w:rFonts w:ascii="Times New Roman" w:cs="Times New Roman" w:eastAsia="Times New Roman" w:hAnsi="Times New Roman"/>
          <w:sz w:val="20"/>
          <w:szCs w:val="20"/>
          <w:color w:val="auto"/>
        </w:rPr>
        <w:t>” means any public or private sale of common stock or Preferred Stock of the U.S. Borrower or any of its direct or indirect parent companies (excluding Disqualified Stock), other than (a) public offerings with respect to the U.S. Borrower’s or any direct or indirect parent company’s common stock registered on Form S-4 or Form S-8, (b) any such public or private sale that constitutes an Excluded Contribution and (c) an issuance to any direct or indirect parent company of the U.S. Borrower, the U.S. Borrower or any Subsidiary of the U.S.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U.S. Borrower, is treated as a single employer under Section 414(b) or (c) of the Code or, solely for purposes of Section 302 of ERISA and Section 412 of the Code, is treated as a single employer under Section 414 of the Code.</w:t>
      </w:r>
    </w:p>
    <w:p>
      <w:pPr>
        <w:spacing w:after="0" w:line="6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U.S. Borrower or any of its ERISA Affiliates of any liability under Title IV of ERISA with respect to the termination of any Plan; (e) the receipt by the U.S. Borrower or any ERISA Affiliate from the PBGC or a plan administrator of any notice of an intent to terminate any Plan or Plans or to appoint a trustee to administer any Plan; (f) the incurrence by the U.S. Borrower or any of its ERISA Affiliates of any liability with respect to the withdrawal or partial withdrawal from any Plan or Multiemployer Plan; or (g) the receipt by the U.S. Borrower or any ERISA Affiliate of any notice, or the receipt by any Multiemployer Plan from the U.S. Borrower or any ERISA Affiliate of any notice, concerning the imposition of Withdrawal Liability or a determination that a Multiemployer Plan is insolvent, within the meaning of Title IV of ERISA.</w:t>
      </w:r>
    </w:p>
    <w:p>
      <w:pPr>
        <w:spacing w:after="0" w:line="92"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 the sign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each mean the single currency of participating member states of the EMU.</w:t>
      </w:r>
    </w:p>
    <w:p>
      <w:pPr>
        <w:spacing w:after="0" w:line="12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Term A-3 Commitment</w:t>
      </w:r>
      <w:r>
        <w:rPr>
          <w:rFonts w:ascii="Times New Roman" w:cs="Times New Roman" w:eastAsia="Times New Roman" w:hAnsi="Times New Roman"/>
          <w:sz w:val="20"/>
          <w:szCs w:val="20"/>
          <w:color w:val="auto"/>
        </w:rPr>
        <w:t>” means, with respect to each Euro Term A-3 Lender, the commitment of such Lender to make Euro Term A-3 Loans to the Existing U.K. Borrower on the Amendment No. 15 Effective Date in the aggregate principal amount forth opposite such Lender’s name on the Commitments Schedule (for the avoidance of doubt, as supplemented pursuant to Amendment No. 15 on the Amendment No. 15 Effective Date) under the heading “Euro Term A-3 Commitment,” as adjusted to reflect each Assignment and Assumption executed by such Lender and as such amount may be increased or reduced pursuant to this Agreement, and “Euro Term A-3 Commitments” shall mean the aggregate Euro Term A-3 Commitments of all Euro Term A-3 Lenders, which amount, initially as of the Amendment No. 15 Effective Date, shall be € 94,055,554.21.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Term A-3 Lender</w:t>
      </w:r>
      <w:r>
        <w:rPr>
          <w:rFonts w:ascii="Times New Roman" w:cs="Times New Roman" w:eastAsia="Times New Roman" w:hAnsi="Times New Roman"/>
          <w:sz w:val="20"/>
          <w:szCs w:val="20"/>
          <w:color w:val="auto"/>
        </w:rPr>
        <w:t>” means each Lender that has a Euro Term A-3 Loan or a Euro Term A-3 Commitment.</w:t>
      </w:r>
    </w:p>
    <w:p>
      <w:pPr>
        <w:spacing w:after="0" w:line="10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Term A-3 Loan</w:t>
      </w:r>
      <w:r>
        <w:rPr>
          <w:rFonts w:ascii="Times New Roman" w:cs="Times New Roman" w:eastAsia="Times New Roman" w:hAnsi="Times New Roman"/>
          <w:sz w:val="20"/>
          <w:szCs w:val="20"/>
          <w:color w:val="auto"/>
        </w:rPr>
        <w:t>” has the meaning assigned to such term in Section 2.01(b)(ii) and shall include all Euro Term A-3 Loans funded on the Amendment No. 15 Effective Date pursuant to the Euro Term A-3 Commitments.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Term A-3 Loan Facility</w:t>
      </w:r>
      <w:r>
        <w:rPr>
          <w:rFonts w:ascii="Times New Roman" w:cs="Times New Roman" w:eastAsia="Times New Roman" w:hAnsi="Times New Roman"/>
          <w:sz w:val="20"/>
          <w:szCs w:val="20"/>
          <w:color w:val="auto"/>
        </w:rPr>
        <w:t>” means the provisions herein related to the Euro Term A-3 Commitments and the Euro Term A-3 Loans.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Term A-3 Loan Maturity Date</w:t>
      </w:r>
      <w:r>
        <w:rPr>
          <w:rFonts w:ascii="Times New Roman" w:cs="Times New Roman" w:eastAsia="Times New Roman" w:hAnsi="Times New Roman"/>
          <w:sz w:val="20"/>
          <w:szCs w:val="20"/>
          <w:color w:val="auto"/>
        </w:rPr>
        <w:t xml:space="preserve">” means the Euro Term A-3 Loan Scheduled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aggregate amount of Indebtedness outstanding under the U.S. Term B-7 Loans and the 2028 Senior Notes, and any Indebtedness constituting Refinancing Indebtedness or Permitted Refinancing Notes in respect thereof exceeds $500,000,000.00 on the Springing Maturity Date, the Euro Term A-3 Loans will mature on the Springing Maturity Date (if earlier than the Euro Term A-3 Loan Scheduled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77" w:name="page178"/>
    <w:bookmarkEnd w:id="177"/>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Term A-3 Loan Scheduled Maturity Date</w:t>
      </w:r>
      <w:r>
        <w:rPr>
          <w:rFonts w:ascii="Times New Roman" w:cs="Times New Roman" w:eastAsia="Times New Roman" w:hAnsi="Times New Roman"/>
          <w:sz w:val="20"/>
          <w:szCs w:val="20"/>
          <w:color w:val="auto"/>
        </w:rPr>
        <w:t>” means August 2, 2029.</w:t>
      </w:r>
    </w:p>
    <w:p>
      <w:pPr>
        <w:spacing w:after="0" w:line="12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EURIBOR Interpolated Rate</w:t>
      </w:r>
      <w:r>
        <w:rPr>
          <w:rFonts w:ascii="Times New Roman" w:cs="Times New Roman" w:eastAsia="Times New Roman" w:hAnsi="Times New Roman"/>
          <w:sz w:val="19"/>
          <w:szCs w:val="19"/>
          <w:color w:val="auto"/>
        </w:rPr>
        <w:t>” means, at any time, with respect to any Eurocurrency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w:t>
      </w:r>
    </w:p>
    <w:p>
      <w:pPr>
        <w:spacing w:after="0" w:line="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Rate</w:t>
      </w:r>
      <w:r>
        <w:rPr>
          <w:rFonts w:ascii="Times New Roman" w:cs="Times New Roman" w:eastAsia="Times New Roman" w:hAnsi="Times New Roman"/>
          <w:sz w:val="20"/>
          <w:szCs w:val="20"/>
          <w:color w:val="auto"/>
        </w:rPr>
        <w:t xml:space="preserve">” means, with respect to any Eurocurrency Borrowing denominated in Euros and for any applicable Interest Period, the EURIBOR Screen Rate as of the Applicable Time and on the Quotation Day for Euros and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EURIBOR Screen Rate shall not be available at such time for such Interest Period (an “</w:t>
      </w:r>
      <w:r>
        <w:rPr>
          <w:rFonts w:ascii="Times New Roman" w:cs="Times New Roman" w:eastAsia="Times New Roman" w:hAnsi="Times New Roman"/>
          <w:sz w:val="20"/>
          <w:szCs w:val="20"/>
          <w:u w:val="single" w:color="auto"/>
          <w:color w:val="auto"/>
        </w:rPr>
        <w:t>Impacted EURIBOR Rate Interest Period</w:t>
      </w:r>
      <w:r>
        <w:rPr>
          <w:rFonts w:ascii="Times New Roman" w:cs="Times New Roman" w:eastAsia="Times New Roman" w:hAnsi="Times New Roman"/>
          <w:sz w:val="20"/>
          <w:szCs w:val="20"/>
          <w:color w:val="auto"/>
        </w:rPr>
        <w:t>”) then the EURIBOR Rate for such Interest Period shall be the EURIBOR Interpolated Rate.</w:t>
      </w:r>
    </w:p>
    <w:p>
      <w:pPr>
        <w:spacing w:after="0" w:line="7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Screen Rate</w:t>
      </w:r>
      <w:r>
        <w:rPr>
          <w:rFonts w:ascii="Times New Roman" w:cs="Times New Roman" w:eastAsia="Times New Roman" w:hAnsi="Times New Roman"/>
          <w:sz w:val="20"/>
          <w:szCs w:val="20"/>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U.S. Borrower.</w:t>
      </w:r>
    </w:p>
    <w:p>
      <w:pPr>
        <w:spacing w:after="0" w:line="8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Interest Period</w:t>
      </w:r>
      <w:r>
        <w:rPr>
          <w:rFonts w:ascii="Times New Roman" w:cs="Times New Roman" w:eastAsia="Times New Roman" w:hAnsi="Times New Roman"/>
          <w:sz w:val="20"/>
          <w:szCs w:val="20"/>
          <w:color w:val="auto"/>
        </w:rPr>
        <w:t xml:space="preserve">” means with respect to any Eurocurrency Rate Borrowing, the period commencing on the date of such Borrowing and ending on the numerically corresponding day in the calendar month that is one, two, three or six months (or, to the extent agreed to by the Agent and each Lender making such Eurocurrency Rate Borrowing, twelve months or any shorter period) thereafter, as a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any Eurocurrency Interest Period would end on a day other than a Business Day, such Eurocurrency Interest Period shall be extended to the next succeeding Business Day unless such next succeeding Business Day would fall in the next calendar month, in which case such Eurocurrency Interest Period shall end on the next preceding Business Day, (b) any Eurocurrency Interest Period that commences on the last Business Day of a calendar month (or on a day for which there is no numerically corresponding day in the last calendar month of such Eurocurrency Interest Period) shall end on the last Business Day of the last calendar month of such Eurocurrency Interest Period and (c) no Eurocurrency Interest Period for any (i) Eurocurrency Rate Revolving Loan shall end after the latest Scheduled Termination Date for the applicable Revolving Commitments under the applicable Revolving Facility or (ii) Eurocurrency Rate Term Loans shall end after the stated maturity date of such Term Loans.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Liabilities</w:t>
      </w:r>
      <w:r>
        <w:rPr>
          <w:rFonts w:ascii="Times New Roman" w:cs="Times New Roman" w:eastAsia="Times New Roman" w:hAnsi="Times New Roman"/>
          <w:sz w:val="20"/>
          <w:szCs w:val="20"/>
          <w:color w:val="auto"/>
        </w:rPr>
        <w:t>” has the meaning assigned to such term in Regulation D of the Federal Reserve Board.</w:t>
      </w:r>
    </w:p>
    <w:p>
      <w:pPr>
        <w:spacing w:after="0" w:line="121"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Rate</w:t>
      </w:r>
      <w:r>
        <w:rPr>
          <w:rFonts w:ascii="Times New Roman" w:cs="Times New Roman" w:eastAsia="Times New Roman" w:hAnsi="Times New Roman"/>
          <w:sz w:val="20"/>
          <w:szCs w:val="20"/>
          <w:color w:val="auto"/>
        </w:rPr>
        <w:t xml:space="preserve">” means, in relation to any Loan denominated in Euros, the Adjusted EURIBOR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Eurocurrency Rate in respect of any Loan shall not be less than 0.00%.</w:t>
      </w:r>
    </w:p>
    <w:p>
      <w:pPr>
        <w:spacing w:after="0" w:line="6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European Borrowers</w:t>
      </w:r>
      <w:r>
        <w:rPr>
          <w:rFonts w:ascii="Times New Roman" w:cs="Times New Roman" w:eastAsia="Times New Roman" w:hAnsi="Times New Roman"/>
          <w:sz w:val="20"/>
          <w:szCs w:val="20"/>
          <w:color w:val="auto"/>
        </w:rPr>
        <w:t>” means, collectively, the German Borrower, the Irish Borrowers, the Lux Borrower, the Additional U.K. Borrower and the Existing U.K. Borrower.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assigned to such term in Section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w:t>
      </w:r>
      <w:r>
        <w:rPr>
          <w:rFonts w:ascii="Times New Roman" w:cs="Times New Roman" w:eastAsia="Times New Roman" w:hAnsi="Times New Roman"/>
          <w:sz w:val="20"/>
          <w:szCs w:val="20"/>
          <w:color w:val="auto"/>
        </w:rPr>
        <w:t>” means, for any Excess Cash Flow Period, an amount equal to the excess of:</w:t>
      </w:r>
    </w:p>
    <w:p>
      <w:pPr>
        <w:spacing w:after="0" w:line="121" w:lineRule="exact"/>
        <w:rPr>
          <w:sz w:val="20"/>
          <w:szCs w:val="20"/>
          <w:color w:val="auto"/>
        </w:rPr>
      </w:pPr>
    </w:p>
    <w:p>
      <w:pPr>
        <w:ind w:left="1720" w:hanging="416"/>
        <w:spacing w:after="0"/>
        <w:tabs>
          <w:tab w:leader="none" w:pos="17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215" w:lineRule="exact"/>
        <w:rPr>
          <w:rFonts w:ascii="Times New Roman" w:cs="Times New Roman" w:eastAsia="Times New Roman" w:hAnsi="Times New Roman"/>
          <w:sz w:val="20"/>
          <w:szCs w:val="20"/>
          <w:color w:val="auto"/>
        </w:rPr>
      </w:pPr>
    </w:p>
    <w:p>
      <w:pPr>
        <w:ind w:left="1880" w:hanging="378"/>
        <w:spacing w:after="0"/>
        <w:tabs>
          <w:tab w:leader="none" w:pos="188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Net Income of the U.S. Borrower for such period,</w:t>
      </w:r>
    </w:p>
    <w:p>
      <w:pPr>
        <w:spacing w:after="0" w:line="229" w:lineRule="exact"/>
        <w:rPr>
          <w:rFonts w:ascii="Times New Roman" w:cs="Times New Roman" w:eastAsia="Times New Roman" w:hAnsi="Times New Roman"/>
          <w:sz w:val="20"/>
          <w:szCs w:val="20"/>
          <w:color w:val="auto"/>
        </w:rPr>
      </w:pPr>
    </w:p>
    <w:p>
      <w:pPr>
        <w:ind w:left="1300" w:right="280" w:firstLine="202"/>
        <w:spacing w:after="0" w:line="269" w:lineRule="auto"/>
        <w:tabs>
          <w:tab w:leader="none" w:pos="1937"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amount of all noncash charges to the extent deducted in arriving at such Consolidated Net Income,</w:t>
      </w:r>
    </w:p>
    <w:p>
      <w:pPr>
        <w:spacing w:after="0" w:line="172" w:lineRule="exact"/>
        <w:rPr>
          <w:rFonts w:ascii="Times New Roman" w:cs="Times New Roman" w:eastAsia="Times New Roman" w:hAnsi="Times New Roman"/>
          <w:sz w:val="20"/>
          <w:szCs w:val="20"/>
          <w:color w:val="auto"/>
        </w:rPr>
      </w:pPr>
    </w:p>
    <w:p>
      <w:pPr>
        <w:jc w:val="both"/>
        <w:ind w:left="1300" w:right="60" w:firstLine="202"/>
        <w:spacing w:after="0" w:line="310" w:lineRule="auto"/>
        <w:tabs>
          <w:tab w:leader="none" w:pos="1992"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decreases in Consolidated Working Capital and long-term account receivables for such period (other than any such decreases arising from acquisitions by the U.S. Borrower and its Restricted Subsidiaries completed during such period), and</w:t>
      </w:r>
    </w:p>
    <w:p>
      <w:pPr>
        <w:spacing w:after="0" w:line="124" w:lineRule="exact"/>
        <w:rPr>
          <w:rFonts w:ascii="Times New Roman" w:cs="Times New Roman" w:eastAsia="Times New Roman" w:hAnsi="Times New Roman"/>
          <w:sz w:val="19"/>
          <w:szCs w:val="19"/>
          <w:color w:val="auto"/>
        </w:rPr>
      </w:pPr>
    </w:p>
    <w:p>
      <w:pPr>
        <w:ind w:left="1300" w:right="120" w:firstLine="202"/>
        <w:spacing w:after="0" w:line="261" w:lineRule="auto"/>
        <w:tabs>
          <w:tab w:leader="none" w:pos="1981"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aggregate net noncash loss on the sale, lease, transfer or other disposition of assets by the U.S. Borrower and its Restricted Subsidiaries during such period (other than sales in the ordinary course of business) to the extent deducted in arriving at such Consolidated Net Income; </w:t>
      </w:r>
      <w:r>
        <w:rPr>
          <w:rFonts w:ascii="Times New Roman" w:cs="Times New Roman" w:eastAsia="Times New Roman" w:hAnsi="Times New Roman"/>
          <w:sz w:val="20"/>
          <w:szCs w:val="20"/>
          <w:u w:val="single" w:color="auto"/>
          <w:color w:val="auto"/>
        </w:rPr>
        <w:t>over</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229" w:lineRule="exact"/>
        <w:rPr>
          <w:rFonts w:ascii="Times New Roman" w:cs="Times New Roman" w:eastAsia="Times New Roman" w:hAnsi="Times New Roman"/>
          <w:sz w:val="20"/>
          <w:szCs w:val="20"/>
          <w:color w:val="auto"/>
        </w:rPr>
      </w:pPr>
    </w:p>
    <w:p>
      <w:pPr>
        <w:jc w:val="both"/>
        <w:ind w:left="1300" w:right="100" w:firstLine="202"/>
        <w:spacing w:after="0" w:line="261" w:lineRule="auto"/>
        <w:tabs>
          <w:tab w:leader="none" w:pos="188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amount of all noncash credits included in arriving at such Consolidated Net Income and cash charges described in clauses (a) through (j) of the definition of “Consolidated Net Income” and included in arriving at such Consolidated Net Income,</w:t>
      </w:r>
    </w:p>
    <w:p>
      <w:pPr>
        <w:spacing w:after="0" w:line="167" w:lineRule="exact"/>
        <w:rPr>
          <w:rFonts w:ascii="Times New Roman" w:cs="Times New Roman" w:eastAsia="Times New Roman" w:hAnsi="Times New Roman"/>
          <w:sz w:val="20"/>
          <w:szCs w:val="20"/>
          <w:color w:val="auto"/>
        </w:rPr>
      </w:pPr>
    </w:p>
    <w:p>
      <w:pPr>
        <w:ind w:left="1300" w:right="200" w:firstLine="202"/>
        <w:spacing w:after="0" w:line="268" w:lineRule="auto"/>
        <w:tabs>
          <w:tab w:leader="none" w:pos="1937"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amounts deducted in arriving at such Consolidated Net Income or pursuant to clause (xi) below in prior periods, the amount of Capital Expenditures made in cash during such period, except to the extent that such Capital Expenditures were not financed with Internally Generated Funds,</w:t>
      </w:r>
    </w:p>
    <w:p>
      <w:pPr>
        <w:spacing w:after="0" w:line="161" w:lineRule="exact"/>
        <w:rPr>
          <w:rFonts w:ascii="Times New Roman" w:cs="Times New Roman" w:eastAsia="Times New Roman" w:hAnsi="Times New Roman"/>
          <w:sz w:val="20"/>
          <w:szCs w:val="20"/>
          <w:color w:val="auto"/>
        </w:rPr>
      </w:pPr>
    </w:p>
    <w:p>
      <w:pPr>
        <w:ind w:left="1300" w:firstLine="202"/>
        <w:spacing w:after="0" w:line="269" w:lineRule="auto"/>
        <w:tabs>
          <w:tab w:leader="none" w:pos="1992"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of all principal payments of Indebtedness of the U.S. Borrower and its Restricted Subsidiaries (including (x) the principal component of payments in respect of Capitalized Lease Obligations and (y) the amount of any prepayment of Loans pursuant to Section 2.06 or, to the extent made with the proceeds of a Disposition that resulted in an increase to Consolidated Net Income and not in excess of the amount of such increase, Section 2.09(b) but excluding all other prepayments of the Loans) made during such period (other than in respect of any revolving credit facility to the extent there is not an equivalent permanent reduction in commitments thereunder), except to the extent financed with the proceeds of other Indebtedness of the U.S. Borrower or its Restricted Subsidiaries (other than under any revolving credit facility),</w:t>
      </w:r>
    </w:p>
    <w:p>
      <w:pPr>
        <w:spacing w:after="0" w:line="162" w:lineRule="exact"/>
        <w:rPr>
          <w:rFonts w:ascii="Times New Roman" w:cs="Times New Roman" w:eastAsia="Times New Roman" w:hAnsi="Times New Roman"/>
          <w:sz w:val="19"/>
          <w:szCs w:val="19"/>
          <w:color w:val="auto"/>
        </w:rPr>
      </w:pPr>
    </w:p>
    <w:p>
      <w:pPr>
        <w:ind w:left="1300" w:right="120" w:firstLine="202"/>
        <w:spacing w:after="0" w:line="261" w:lineRule="auto"/>
        <w:tabs>
          <w:tab w:leader="none" w:pos="1981"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aggregate net noncash gain on the sale, lease, transfer or other disposition of assets by the U.S. Borrower and its Restricted Subsidiaries during such period (other than sales in the ordinary course of business) to the extent included in arriving at such Consolidated Net Income,</w:t>
      </w:r>
    </w:p>
    <w:p>
      <w:pPr>
        <w:spacing w:after="0" w:line="181" w:lineRule="exact"/>
        <w:rPr>
          <w:rFonts w:ascii="Times New Roman" w:cs="Times New Roman" w:eastAsia="Times New Roman" w:hAnsi="Times New Roman"/>
          <w:sz w:val="20"/>
          <w:szCs w:val="20"/>
          <w:color w:val="auto"/>
        </w:rPr>
      </w:pPr>
    </w:p>
    <w:p>
      <w:pPr>
        <w:jc w:val="both"/>
        <w:ind w:left="1300" w:right="140" w:firstLine="202"/>
        <w:spacing w:after="0" w:line="261" w:lineRule="auto"/>
        <w:tabs>
          <w:tab w:leader="none" w:pos="192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Consolidated Working Capital and long-term account receivables for such period (other than any such increases arising from acquisitions of a Person or business unit by the U.S. Borrower and its Restricted Subsidiaries during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80"/>
          </w:cols>
          <w:pgMar w:left="320" w:top="1413" w:right="399" w:bottom="1440" w:gutter="0" w:footer="0" w:header="0"/>
        </w:sectPr>
      </w:pPr>
    </w:p>
    <w:bookmarkStart w:id="179" w:name="page180"/>
    <w:bookmarkEnd w:id="179"/>
    <w:p>
      <w:pPr>
        <w:ind w:left="1300" w:right="520" w:firstLine="202"/>
        <w:spacing w:after="0" w:line="283" w:lineRule="auto"/>
        <w:tabs>
          <w:tab w:leader="none" w:pos="198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by the U.S. Borrower and its Restricted Subsidiaries during such period in respect of long-term liabilities of the U.S. Borrower and its Restricted Subsidiaries other than Indebtedness,</w:t>
      </w:r>
    </w:p>
    <w:p>
      <w:pPr>
        <w:spacing w:after="0" w:line="146" w:lineRule="exact"/>
        <w:rPr>
          <w:rFonts w:ascii="Times New Roman" w:cs="Times New Roman" w:eastAsia="Times New Roman" w:hAnsi="Times New Roman"/>
          <w:sz w:val="20"/>
          <w:szCs w:val="20"/>
          <w:color w:val="auto"/>
        </w:rPr>
      </w:pPr>
    </w:p>
    <w:p>
      <w:pPr>
        <w:ind w:left="1300" w:right="140" w:firstLine="202"/>
        <w:spacing w:after="0" w:line="258" w:lineRule="auto"/>
        <w:tabs>
          <w:tab w:leader="none" w:pos="203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amounts deducted pursuant to clause (xi) below in prior periods, the amount of Investments and acquisitions made during such period to the extent permitted under Section 6.07 (excluding Investments in (x) Cash Equivalents, (y) Investment Grade Securities and (z) the U.S. Borrower or any of its Restricted Subsidiaries), to the extent that such Investments and acquisitions were financed with Internally Generated Funds,</w:t>
      </w:r>
    </w:p>
    <w:p>
      <w:pPr>
        <w:spacing w:after="0" w:line="185" w:lineRule="exact"/>
        <w:rPr>
          <w:rFonts w:ascii="Times New Roman" w:cs="Times New Roman" w:eastAsia="Times New Roman" w:hAnsi="Times New Roman"/>
          <w:sz w:val="20"/>
          <w:szCs w:val="20"/>
          <w:color w:val="auto"/>
        </w:rPr>
      </w:pPr>
    </w:p>
    <w:p>
      <w:pPr>
        <w:ind w:left="1300" w:right="120" w:firstLine="202"/>
        <w:spacing w:after="0" w:line="261" w:lineRule="auto"/>
        <w:tabs>
          <w:tab w:leader="none" w:pos="209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Restricted Payments made in cash during such period to the extent permitted under clauses (i), (iii), (v), (vii), (ix), (xi), (xii), (xiv), (xv), (xvi) and (xvii) of Section 6.04, to the extent that such Restricted Payments were financed with Internally Generated Funds,</w:t>
      </w:r>
    </w:p>
    <w:p>
      <w:pPr>
        <w:spacing w:after="0" w:line="167" w:lineRule="exact"/>
        <w:rPr>
          <w:rFonts w:ascii="Times New Roman" w:cs="Times New Roman" w:eastAsia="Times New Roman" w:hAnsi="Times New Roman"/>
          <w:sz w:val="20"/>
          <w:szCs w:val="20"/>
          <w:color w:val="auto"/>
        </w:rPr>
      </w:pPr>
    </w:p>
    <w:p>
      <w:pPr>
        <w:jc w:val="both"/>
        <w:ind w:left="1300" w:right="280" w:firstLine="202"/>
        <w:spacing w:after="0" w:line="268" w:lineRule="auto"/>
        <w:tabs>
          <w:tab w:leader="none" w:pos="198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expenditures actually made by the U.S. Borrower and the Restricted Subsidiaries in cash during such period (including expenditures for the payment of financing fees) to the extent that such expenditures are not expensed during such period,</w:t>
      </w:r>
    </w:p>
    <w:p>
      <w:pPr>
        <w:spacing w:after="0" w:line="161" w:lineRule="exact"/>
        <w:rPr>
          <w:rFonts w:ascii="Times New Roman" w:cs="Times New Roman" w:eastAsia="Times New Roman" w:hAnsi="Times New Roman"/>
          <w:sz w:val="20"/>
          <w:szCs w:val="20"/>
          <w:color w:val="auto"/>
        </w:rPr>
      </w:pPr>
    </w:p>
    <w:p>
      <w:pPr>
        <w:ind w:left="1300" w:right="140" w:firstLine="202"/>
        <w:spacing w:after="0" w:line="261" w:lineRule="auto"/>
        <w:tabs>
          <w:tab w:leader="none" w:pos="192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any premium, make-whole or penalty payments actually paid in cash by the U.S. Borrower and the Restricted Subsidiaries during such period that are required to be made in connection with any prepayment of Indebtedness,</w:t>
      </w:r>
    </w:p>
    <w:p>
      <w:pPr>
        <w:spacing w:after="0" w:line="181" w:lineRule="exact"/>
        <w:rPr>
          <w:rFonts w:ascii="Times New Roman" w:cs="Times New Roman" w:eastAsia="Times New Roman" w:hAnsi="Times New Roman"/>
          <w:sz w:val="20"/>
          <w:szCs w:val="20"/>
          <w:color w:val="auto"/>
        </w:rPr>
      </w:pPr>
    </w:p>
    <w:p>
      <w:pPr>
        <w:ind w:left="1300" w:firstLine="202"/>
        <w:spacing w:after="0" w:line="249" w:lineRule="auto"/>
        <w:tabs>
          <w:tab w:leader="none" w:pos="198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amounts deducted in arriving at such Consolidated Net Income or deducted from Excess Cash Flow in prior periods, (A) the aggregate consideration required to be paid in cash by the U.S. Borrower or any of its Restricted Subsidiaries pursuant to binding contracts, letters of intent or purchase orders (the “</w:t>
      </w:r>
      <w:r>
        <w:rPr>
          <w:rFonts w:ascii="Times New Roman" w:cs="Times New Roman" w:eastAsia="Times New Roman" w:hAnsi="Times New Roman"/>
          <w:sz w:val="20"/>
          <w:szCs w:val="20"/>
          <w:u w:val="single" w:color="auto"/>
          <w:color w:val="auto"/>
        </w:rPr>
        <w:t>Contract Consideration</w:t>
      </w:r>
      <w:r>
        <w:rPr>
          <w:rFonts w:ascii="Times New Roman" w:cs="Times New Roman" w:eastAsia="Times New Roman" w:hAnsi="Times New Roman"/>
          <w:sz w:val="20"/>
          <w:szCs w:val="20"/>
          <w:color w:val="auto"/>
        </w:rPr>
        <w:t>”) entered into prior to or during such period relating to acquisitions or Capital Expenditures and (B) to the extent set forth in a certificate of a Financial Officer delivered to the Agent prior to the relevant Excess Cash Flow Application Date, the aggregate amount of cash that is reasonably expected to be paid in respect of planned cash Capital Expenditures by the U.S. Borrower or any of its Restricted Subsidiaries (“</w:t>
      </w:r>
      <w:r>
        <w:rPr>
          <w:rFonts w:ascii="Times New Roman" w:cs="Times New Roman" w:eastAsia="Times New Roman" w:hAnsi="Times New Roman"/>
          <w:sz w:val="20"/>
          <w:szCs w:val="20"/>
          <w:u w:val="single" w:color="auto"/>
          <w:color w:val="auto"/>
        </w:rPr>
        <w:t>Planned Capital Expenditures</w:t>
      </w:r>
      <w:r>
        <w:rPr>
          <w:rFonts w:ascii="Times New Roman" w:cs="Times New Roman" w:eastAsia="Times New Roman" w:hAnsi="Times New Roman"/>
          <w:sz w:val="20"/>
          <w:szCs w:val="20"/>
          <w:color w:val="auto"/>
        </w:rPr>
        <w:t xml:space="preserve">”), in each case to be consummated or made during the period of four consecutive fiscal quarters of the U.S. Borrower following the end of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aggregate amount of Internally Generated Funds actually utilized to finance such acquisitions, Capital Expenditures or Planned Capital Expenditures during such period of four consecutive fiscal quarters is less than the Contract Consideration or Planned Capital Expenditures, the amount of such shortfall shall be added to the calculation of Excess Cash Flow at the end of such period of four consecutive fiscal quarters,</w:t>
      </w:r>
    </w:p>
    <w:p>
      <w:pPr>
        <w:spacing w:after="0" w:line="201" w:lineRule="exact"/>
        <w:rPr>
          <w:rFonts w:ascii="Times New Roman" w:cs="Times New Roman" w:eastAsia="Times New Roman" w:hAnsi="Times New Roman"/>
          <w:sz w:val="20"/>
          <w:szCs w:val="20"/>
          <w:color w:val="auto"/>
        </w:rPr>
      </w:pPr>
    </w:p>
    <w:p>
      <w:pPr>
        <w:ind w:left="1300" w:right="580" w:firstLine="202"/>
        <w:spacing w:after="0" w:line="283" w:lineRule="auto"/>
        <w:tabs>
          <w:tab w:leader="none" w:pos="203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cash taxes paid in such period to the extent they exceed the amount of tax expense deducted in determining Consolidated Net Income for such period, and</w:t>
      </w:r>
    </w:p>
    <w:p>
      <w:pPr>
        <w:spacing w:after="0" w:line="146" w:lineRule="exact"/>
        <w:rPr>
          <w:rFonts w:ascii="Times New Roman" w:cs="Times New Roman" w:eastAsia="Times New Roman" w:hAnsi="Times New Roman"/>
          <w:sz w:val="20"/>
          <w:szCs w:val="20"/>
          <w:color w:val="auto"/>
        </w:rPr>
      </w:pPr>
    </w:p>
    <w:p>
      <w:pPr>
        <w:ind w:left="1300" w:right="360" w:firstLine="202"/>
        <w:spacing w:after="0" w:line="283" w:lineRule="auto"/>
        <w:tabs>
          <w:tab w:leader="none" w:pos="209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aggregate net cash losses on the sale, lease, transfer or other disposition of assets by the U.S. Borrower and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80" w:name="page181"/>
    <w:bookmarkEnd w:id="180"/>
    <w:p>
      <w:pPr>
        <w:ind w:left="1300" w:right="240"/>
        <w:spacing w:after="0" w:line="283" w:lineRule="auto"/>
        <w:rPr>
          <w:sz w:val="20"/>
          <w:szCs w:val="20"/>
          <w:color w:val="auto"/>
        </w:rPr>
      </w:pPr>
      <w:r>
        <w:rPr>
          <w:rFonts w:ascii="Times New Roman" w:cs="Times New Roman" w:eastAsia="Times New Roman" w:hAnsi="Times New Roman"/>
          <w:sz w:val="20"/>
          <w:szCs w:val="20"/>
          <w:color w:val="auto"/>
        </w:rPr>
        <w:t>during such period (other than sales in the ordinary course of business) to the extent deducted in determining Consolidated Net Income.</w:t>
      </w:r>
    </w:p>
    <w:p>
      <w:pPr>
        <w:spacing w:after="0" w:line="146"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 Period</w:t>
      </w:r>
      <w:r>
        <w:rPr>
          <w:rFonts w:ascii="Times New Roman" w:cs="Times New Roman" w:eastAsia="Times New Roman" w:hAnsi="Times New Roman"/>
          <w:sz w:val="20"/>
          <w:szCs w:val="20"/>
          <w:color w:val="auto"/>
        </w:rPr>
        <w:t>” means (a) the period from and including April 1, 2017 through and including September 30, 2017 and (b) each fiscal year of the U.S. Borrower, commencing with the fiscal year ending September 30, 2018.</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the rules and regulations of the SEC promulgated thereunder.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w:t>
      </w:r>
      <w:r>
        <w:rPr>
          <w:rFonts w:ascii="Times New Roman" w:cs="Times New Roman" w:eastAsia="Times New Roman" w:hAnsi="Times New Roman"/>
          <w:sz w:val="20"/>
          <w:szCs w:val="20"/>
          <w:color w:val="auto"/>
        </w:rPr>
        <w:t>” has the meaning assigned to such term in the Security Agreement.</w:t>
      </w:r>
    </w:p>
    <w:p>
      <w:pPr>
        <w:spacing w:after="0" w:line="12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Contribution</w:t>
      </w:r>
      <w:r>
        <w:rPr>
          <w:rFonts w:ascii="Times New Roman" w:cs="Times New Roman" w:eastAsia="Times New Roman" w:hAnsi="Times New Roman"/>
          <w:sz w:val="20"/>
          <w:szCs w:val="20"/>
          <w:color w:val="auto"/>
        </w:rPr>
        <w:t>” means net cash proceeds, marketable securities or Qualified Proceeds received by the U.S. Borrower from (a) contributions to its common equity capital (other than from the proceeds of Designated Preferred Stock) and (b) the sale (other than to a Subsidiary of the U.S. Borrower or to any management equity plan or stock option plan or any other management or employee benefit plan or agreement of the U.S. Borrower) of Capital Stock (other than Disqualified Stock or Designated Preferred Stock) of the U.S. Borrower, in each case designated as Excluded Contributions pursuant to an Officers’ Certificate executed by an executive vice president and the principal financial officer of the U.S. Borrower on the date such capital contributions are made or the date such Equity Interests are sold, as the case may be, which are excluded from the calculation of the Applicable Amount.</w:t>
      </w:r>
    </w:p>
    <w:p>
      <w:pPr>
        <w:spacing w:after="0" w:line="8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any Domestic Subsidiary that is (a) not a Wholly-Owned Subsidiary, (b) an Unrestricted Subsidiary, (c) a FSHCO, (d) a Subsidiary of a Foreign Subsidiary that is a CFC, (e) a Receivables Subsidiary, (f) an Immaterial Subsidiary, (g) regulated as an insurance company, (h) organized as a not-for-profit organization or (i) prohibited by any agreement binding on such Subsidiary at the time such Domestic Subsidiary became a Subsidiary and not created in contemplation thereof from becoming a Subsidiary Guarantor (for so long as such prohibition remains in effect).</w:t>
      </w:r>
    </w:p>
    <w:p>
      <w:pPr>
        <w:spacing w:after="0" w:line="8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at the time the guarantee of such Loan Party becomes effective with respect to such related Swap Obligation.</w:t>
      </w:r>
    </w:p>
    <w:p>
      <w:pPr>
        <w:spacing w:after="0" w:line="7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with respect to any Agent, Issuing Bank, Lender or any other recipient of any payment to be made by or on account of any obligation of any Borrower or any other Loan Party hereunder, (a) income or franchise Taxes (or Canadian capital Taxes) imposed on (or measured by) its net income (however denominated) (or capital, in the case of Canadian capital Taxes) by a jurisdiction as a result of the recipient being organized or having its principal office or, in the case of any Lender, having its Applicable Lending Office, in such jurisdiction, (b) any branch profits Taxes under Section 884 of the Code, or any similar Tax, imposed by a jurisdiction described in clause (a), (c) in the case of a Lender (other than an assignee pursuant to a request by a Borrower under Section 2.17(b) or a Lender purchasing a participation pursuant to Section 2.16(b) with respect to that participation), (i) with respect to any payment made on account of any obligation in respect of any Loan made to the U.S. Borrower (or any portion allocable to any such Loan, in the case of any obligation that relates to the Agreement or the Loans as a whole, including any Commitment Fee) or any Letter of Credit issued for the account of the U.S. Borrower, any U.S. federal withholding Tax that is imposed on amounts payable to such Lender pursuant to a law in effect on the date such Lender becomes a party to this Agreement (or designates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81" w:name="page182"/>
    <w:bookmarkEnd w:id="181"/>
    <w:p>
      <w:pPr>
        <w:spacing w:after="0" w:line="248" w:lineRule="auto"/>
        <w:rPr>
          <w:sz w:val="20"/>
          <w:szCs w:val="20"/>
          <w:color w:val="auto"/>
        </w:rPr>
      </w:pPr>
      <w:r>
        <w:rPr>
          <w:rFonts w:ascii="Times New Roman" w:cs="Times New Roman" w:eastAsia="Times New Roman" w:hAnsi="Times New Roman"/>
          <w:sz w:val="20"/>
          <w:szCs w:val="20"/>
          <w:color w:val="auto"/>
        </w:rPr>
        <w:t xml:space="preserve">new lending office), except to the extent such Lender (or its assignor, if any) was entitled, at the time of designation of a new lending office (or assignment), to receive additional amounts from the U.S. Borrower or any other Loan Party with respect to such withholding Tax pursuant to Section 2.15(a) or (e) and (ii) with respect to any payment made by or on account of any Loan made to the Canadian Borrower or a Letter of Credit issued for the Canadian Borrower, any Canadian federal withholding Tax (A) that is imposed on amounts payable to such Lender or the applicable Issuing Bank, as the case may be, at the time such Lender or Issuing Bank becomes a party to this Agreement (or designates a new lending office), except to the extent such Lender or Issuing Bank (or its assignor, if any) was entitled, at the time of designation of a new lending office (or assignment), to receive additional amounts from the Canadian Borrower or any other Loan Party with respect to such withholding Tax pursuant to Section 2.15(a) or (e) or (B)(I) prior to the 2024 Refinancing Amendments Effective Date, resulting from (x) such Lender or Issuing Bank not dealing at arm’s length with the Canadian Borrower for purposes the </w:t>
      </w:r>
      <w:r>
        <w:rPr>
          <w:rFonts w:ascii="Times New Roman" w:cs="Times New Roman" w:eastAsia="Times New Roman" w:hAnsi="Times New Roman"/>
          <w:sz w:val="20"/>
          <w:szCs w:val="20"/>
          <w:i w:val="1"/>
          <w:iCs w:val="1"/>
          <w:color w:val="auto"/>
        </w:rPr>
        <w:t>Income Tax Act</w:t>
      </w:r>
      <w:r>
        <w:rPr>
          <w:rFonts w:ascii="Times New Roman" w:cs="Times New Roman" w:eastAsia="Times New Roman" w:hAnsi="Times New Roman"/>
          <w:sz w:val="20"/>
          <w:szCs w:val="20"/>
          <w:color w:val="auto"/>
        </w:rPr>
        <w:t xml:space="preserve"> (Canada) or (y) such Lender or Issuing Bank being, or not dealing at arm’s length with, a “specified shareholder” of the Canadian Borrower for purposes of subsection 18(5) of the </w:t>
      </w:r>
      <w:r>
        <w:rPr>
          <w:rFonts w:ascii="Times New Roman" w:cs="Times New Roman" w:eastAsia="Times New Roman" w:hAnsi="Times New Roman"/>
          <w:sz w:val="20"/>
          <w:szCs w:val="20"/>
          <w:i w:val="1"/>
          <w:iCs w:val="1"/>
          <w:color w:val="auto"/>
        </w:rPr>
        <w:t>Income Tax Act</w:t>
      </w:r>
      <w:r>
        <w:rPr>
          <w:rFonts w:ascii="Times New Roman" w:cs="Times New Roman" w:eastAsia="Times New Roman" w:hAnsi="Times New Roman"/>
          <w:sz w:val="20"/>
          <w:szCs w:val="20"/>
          <w:color w:val="auto"/>
        </w:rPr>
        <w:t xml:space="preserve"> (Canada) (other than where the non-arm’s length relationship arises, or where the Lender is a “specified shareholder”, or does not deal at arm’s length with a “specified shareholder”, as a result of the Lender having become a party to, received or perfected a security interest under or received or enforced any rights under, a Loan Document) and (II) from and after the 2024 Refinancing Amendments Effective Date, resulting from (x) such Lender or Issuing Bank not dealing at arm’s length with the Canadian Borrower for purposes the Income Tax Act (Canada), (y) such Lender or Issuing Bank being, or not dealing at arm’s length with, a “specified shareholder” of the Canadian Borrower for purposes of subsection 18(5) of the Income Tax Act (Canada) or (z) the Canadian Borrower being a "specified entity" (as defined in subsection 18.4(1) of the Income Tax Act (Canada)) in respect of such Lender or Issuing Bank (other than in the case of (x) through (z), where the non-arm’s length relationship arises, where the Lender or Issuing Bank is a “specified shareholder”, or does not deal at arm’s length with a “specified shareholder”, or the Canadian Borrower being a "specified entity" in respect of such Lender or Issuing Bank, as applicable, as a result of the Lender having become a party to, received or perfected a security interest under or received or enforced any rights under, a Loan Document), (d) any Taxes imposed under FATCA, and (e) any withholding Tax that is attributable to a Lender’s failure to comply with Section 2.15(g).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Class</w:t>
      </w:r>
      <w:r>
        <w:rPr>
          <w:rFonts w:ascii="Times New Roman" w:cs="Times New Roman" w:eastAsia="Times New Roman" w:hAnsi="Times New Roman"/>
          <w:sz w:val="20"/>
          <w:szCs w:val="20"/>
          <w:color w:val="auto"/>
        </w:rPr>
        <w:t>” has the meaning assigned to such term in Section 2.19(e).</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means that certain amended and restated credit agreement, originally dated as of January 26, 2007 and last amended and restated on February 24, 2014 by and among certain of the Loan Parties, JPMorgan Chase Bank, N.A., as administrative agent and collateral agent, the lenders party thereto and the other parties thereto (as further amended or supplemented prior to the Closing Date).</w:t>
      </w:r>
    </w:p>
    <w:p>
      <w:pPr>
        <w:spacing w:after="0" w:line="4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means all “Letters of Credit” (as defined in the Existing Credit Agreement) outstanding under the Existing Credit Agreement for the U.S. Borrower on the Closing Date.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has the meaning assigned to such term in Section 2.19(e).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has the meaning assigned to such term in Section 2.19(e).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Election</w:t>
      </w:r>
      <w:r>
        <w:rPr>
          <w:rFonts w:ascii="Times New Roman" w:cs="Times New Roman" w:eastAsia="Times New Roman" w:hAnsi="Times New Roman"/>
          <w:sz w:val="20"/>
          <w:szCs w:val="20"/>
          <w:color w:val="auto"/>
        </w:rPr>
        <w:t>” has the meaning assigned to such term in Section 2.19(e).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Request</w:t>
      </w:r>
      <w:r>
        <w:rPr>
          <w:rFonts w:ascii="Times New Roman" w:cs="Times New Roman" w:eastAsia="Times New Roman" w:hAnsi="Times New Roman"/>
          <w:sz w:val="20"/>
          <w:szCs w:val="20"/>
          <w:color w:val="auto"/>
        </w:rPr>
        <w:t>” has the meaning assigned to such term in Section 2.19(e).</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Series</w:t>
      </w:r>
      <w:r>
        <w:rPr>
          <w:rFonts w:ascii="Times New Roman" w:cs="Times New Roman" w:eastAsia="Times New Roman" w:hAnsi="Times New Roman"/>
          <w:sz w:val="20"/>
          <w:szCs w:val="20"/>
          <w:color w:val="auto"/>
        </w:rPr>
        <w:t>” means all Extended Term Loans that are established pursuant to the same supplement pursuant to Section 2.19 (except to the extent such supplement expressly provides that the Extended Term Loans provided for therein are intended to be a part of any previously established Class of Term Loans) and that provide for the same interest margins, extension fees and amortization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means a Revolving Facility or a Term Loan Facility, as applicable.</w:t>
      </w:r>
    </w:p>
    <w:p>
      <w:pPr>
        <w:spacing w:after="0" w:line="121"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as of the date of this Agreement (or any amended or successor version described above), and any intergovernmental agreements (together with any related laws, rules, practices, legislation or official administrative guidance) implementing the foregoing.</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shall be less than 0.00%, such rate shall be deemed 0.00% for the purposes of this Agreement.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Bank of New York’s Website</w:t>
      </w:r>
      <w:r>
        <w:rPr>
          <w:rFonts w:ascii="Times New Roman" w:cs="Times New Roman" w:eastAsia="Times New Roman" w:hAnsi="Times New Roman"/>
          <w:sz w:val="20"/>
          <w:szCs w:val="20"/>
          <w:color w:val="auto"/>
        </w:rPr>
        <w:t>” means the website of the NYFRB at http://www.newyorkfed.org, or any successor source.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means all amounts payable pursuant to or referred to in Section 2.10.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treasurer or controller of the U.S. Borrower.</w:t>
      </w:r>
    </w:p>
    <w:p>
      <w:pPr>
        <w:spacing w:after="0" w:line="121"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First Lien Intercreditor Agreement</w:t>
      </w:r>
      <w:r>
        <w:rPr>
          <w:rFonts w:ascii="Times New Roman" w:cs="Times New Roman" w:eastAsia="Times New Roman" w:hAnsi="Times New Roman"/>
          <w:sz w:val="19"/>
          <w:szCs w:val="19"/>
          <w:color w:val="auto"/>
        </w:rPr>
        <w:t xml:space="preserve">” means an agreement in substantially the form of </w:t>
      </w:r>
      <w:r>
        <w:rPr>
          <w:rFonts w:ascii="Times New Roman" w:cs="Times New Roman" w:eastAsia="Times New Roman" w:hAnsi="Times New Roman"/>
          <w:sz w:val="19"/>
          <w:szCs w:val="19"/>
          <w:u w:val="single" w:color="auto"/>
          <w:color w:val="auto"/>
        </w:rPr>
        <w:t>Exhibit H</w:t>
      </w:r>
      <w:r>
        <w:rPr>
          <w:rFonts w:ascii="Times New Roman" w:cs="Times New Roman" w:eastAsia="Times New Roman" w:hAnsi="Times New Roman"/>
          <w:sz w:val="19"/>
          <w:szCs w:val="19"/>
          <w:color w:val="auto"/>
        </w:rPr>
        <w:t xml:space="preserve">, with such changes thereto as are reasonably acceptable to the Agent and the U.S.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changes shall not be materially adverse to the interests of the Lenders.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Fitch</w:t>
      </w:r>
      <w:r>
        <w:rPr>
          <w:rFonts w:ascii="Times New Roman" w:cs="Times New Roman" w:eastAsia="Times New Roman" w:hAnsi="Times New Roman"/>
          <w:sz w:val="20"/>
          <w:szCs w:val="20"/>
          <w:color w:val="auto"/>
        </w:rPr>
        <w:t>” means Fitch Ratings, Inc. and its subsidiaries, or any successor to the rating agency business thereof.</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Insurance Laws</w:t>
      </w:r>
      <w:r>
        <w:rPr>
          <w:rFonts w:ascii="Times New Roman" w:cs="Times New Roman" w:eastAsia="Times New Roman" w:hAnsi="Times New Roman"/>
          <w:sz w:val="20"/>
          <w:szCs w:val="20"/>
          <w:color w:val="auto"/>
        </w:rPr>
        <w:t>” 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Borrower</w:t>
      </w:r>
      <w:r>
        <w:rPr>
          <w:rFonts w:ascii="Times New Roman" w:cs="Times New Roman" w:eastAsia="Times New Roman" w:hAnsi="Times New Roman"/>
          <w:sz w:val="20"/>
          <w:szCs w:val="20"/>
          <w:color w:val="auto"/>
        </w:rPr>
        <w:t>” means any Borrower other than the U.S. Borrower.</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Obligations</w:t>
      </w:r>
      <w:r>
        <w:rPr>
          <w:rFonts w:ascii="Times New Roman" w:cs="Times New Roman" w:eastAsia="Times New Roman" w:hAnsi="Times New Roman"/>
          <w:sz w:val="20"/>
          <w:szCs w:val="20"/>
          <w:color w:val="auto"/>
        </w:rPr>
        <w:t>” means all unpaid principal of and accrued and unpaid interest on the Loans made to Foreign Borrowers or LC Disbursements made pursuant to Letters of Credit issued for the account of any Foreign Borrower or on behalf of any of its Subsidiaries, all accrued and unpaid fees (including pursuant to Section 2.10(b) of this Agreement) and all expenses, reimbursements, indemnities and other obligations of the Foreign Borrowers to the Lenders or to any Lender, the Agent, any Issuing Bank or any indemnified party arising under the Loan Documents to which such Foreign Borrower is a party (including interest and fees accruing after commencement of any bankruptcy or insolvency proceeding against any Loan Party, whether or not allowed in such proceeding).</w:t>
      </w:r>
    </w:p>
    <w:p>
      <w:pPr>
        <w:spacing w:after="0" w:line="84"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with respect to any Person, any Restricted Subsidiary of such Person that is not organized under the laws of the United States of America, any state thereof or the District of Columbia.</w:t>
      </w:r>
    </w:p>
    <w:p>
      <w:pPr>
        <w:spacing w:after="0" w:line="38"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 Total Assets</w:t>
      </w:r>
      <w:r>
        <w:rPr>
          <w:rFonts w:ascii="Times New Roman" w:cs="Times New Roman" w:eastAsia="Times New Roman" w:hAnsi="Times New Roman"/>
          <w:sz w:val="20"/>
          <w:szCs w:val="20"/>
          <w:color w:val="auto"/>
        </w:rPr>
        <w:t>” means the total amount of all assets of Foreign Subsidiaries of the U.S. Borrower, determined on a consolidated basis in accordance with GAAP.</w:t>
      </w:r>
    </w:p>
    <w:p>
      <w:pPr>
        <w:spacing w:after="0" w:line="38"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means any Domestic Subsidiary that, directly or indirectly, has no material assets other than Capital Stock (or Capital Stock and Indebtedness) of one or more Foreign Subsidiaries that are CFCs.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83" w:name="page184"/>
    <w:bookmarkEnd w:id="183"/>
    <w:p>
      <w:pPr>
        <w:ind w:right="6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Funded Debt</w:t>
      </w:r>
      <w:r>
        <w:rPr>
          <w:rFonts w:ascii="Times New Roman" w:cs="Times New Roman" w:eastAsia="Times New Roman" w:hAnsi="Times New Roman"/>
          <w:sz w:val="20"/>
          <w:szCs w:val="20"/>
          <w:color w:val="auto"/>
        </w:rPr>
        <w:t>” means all Indebtedness of the U.S.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64"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 as in effect, subject to Section 1.08, from time to time.</w:t>
      </w:r>
    </w:p>
    <w:p>
      <w:pPr>
        <w:spacing w:after="0" w:line="5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GBP Term A Commitment</w:t>
      </w:r>
      <w:r>
        <w:rPr>
          <w:rFonts w:ascii="Times New Roman" w:cs="Times New Roman" w:eastAsia="Times New Roman" w:hAnsi="Times New Roman"/>
          <w:sz w:val="20"/>
          <w:szCs w:val="20"/>
          <w:color w:val="auto"/>
        </w:rPr>
        <w:t>” means, with respect to each GBP Term A Lender, the commitment of such Lender to make GBP Term A Loans to the Additional U.K. Borrower on the Amendment No. 15 Effective Date in the aggregate principal amount forth opposite such Lender’s name on the Commitments Schedule (for the avoidance of doubt, as supplemented pursuant to Amendment No. 15 on the Amendment No. 15 Effective Date) under the heading “GBP Term A Commitment,” as adjusted to reflect each Assignment and Assumption executed by such Lender and as such amount may be increased or reduced pursuant to this Agreement, and “GBP Term A Commitments” shall mean the aggregate GBP Term A Commitments of all GBP Term A Lenders, which amount, initially as of the Amendment No. 15 Effective Date, shall be £62,000,000.00.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GBP Term A Lender</w:t>
      </w:r>
      <w:r>
        <w:rPr>
          <w:rFonts w:ascii="Times New Roman" w:cs="Times New Roman" w:eastAsia="Times New Roman" w:hAnsi="Times New Roman"/>
          <w:sz w:val="20"/>
          <w:szCs w:val="20"/>
          <w:color w:val="auto"/>
        </w:rPr>
        <w:t>” means each Lender that has a GBP Term A Loan or a GBP Term A Commitment.</w:t>
      </w:r>
    </w:p>
    <w:p>
      <w:pPr>
        <w:spacing w:after="0" w:line="108"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GBP Term A Loan</w:t>
      </w:r>
      <w:r>
        <w:rPr>
          <w:rFonts w:ascii="Times New Roman" w:cs="Times New Roman" w:eastAsia="Times New Roman" w:hAnsi="Times New Roman"/>
          <w:sz w:val="20"/>
          <w:szCs w:val="20"/>
          <w:color w:val="auto"/>
        </w:rPr>
        <w:t>” means has the meaning assigned to such term in Section 2.01(b)(iii) and shall include all GBP Term A Loans funded on the Amendment No. 15 Effective Date pursuant to the GBP Term A Commitments.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GBP Term A Loan Facility</w:t>
      </w:r>
      <w:r>
        <w:rPr>
          <w:rFonts w:ascii="Times New Roman" w:cs="Times New Roman" w:eastAsia="Times New Roman" w:hAnsi="Times New Roman"/>
          <w:sz w:val="20"/>
          <w:szCs w:val="20"/>
          <w:color w:val="auto"/>
        </w:rPr>
        <w:t>” means the provisions herein related to the GBP Term A Commitments and the GBP Term A Loans.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GBP Term A Loan Maturity Date</w:t>
      </w:r>
      <w:r>
        <w:rPr>
          <w:rFonts w:ascii="Times New Roman" w:cs="Times New Roman" w:eastAsia="Times New Roman" w:hAnsi="Times New Roman"/>
          <w:sz w:val="20"/>
          <w:szCs w:val="20"/>
          <w:color w:val="auto"/>
        </w:rPr>
        <w:t xml:space="preserve">” means the GBP Term A Loan Scheduled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aggregate amount of Indebtedness outstanding under the U.S. Term B-7 Loans and the 2028 Senior Notes, and any Indebtedness constituting Refinancing Indebtedness or Permitted Refinancing Notes in respect thereof exceeds $500,000,000.00 on the Springing Maturity Date, the GBP Term A Loans will mature on the Springing Maturity Date (if earlier than the GBP Term A Loan Scheduled Maturity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GBP Term A Loan Scheduled Maturity Date</w:t>
      </w:r>
      <w:r>
        <w:rPr>
          <w:rFonts w:ascii="Times New Roman" w:cs="Times New Roman" w:eastAsia="Times New Roman" w:hAnsi="Times New Roman"/>
          <w:sz w:val="20"/>
          <w:szCs w:val="20"/>
          <w:color w:val="auto"/>
        </w:rPr>
        <w:t>” means August 2, 2029.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Borrower</w:t>
      </w:r>
      <w:r>
        <w:rPr>
          <w:rFonts w:ascii="Times New Roman" w:cs="Times New Roman" w:eastAsia="Times New Roman" w:hAnsi="Times New Roman"/>
          <w:sz w:val="20"/>
          <w:szCs w:val="20"/>
          <w:color w:val="auto"/>
        </w:rPr>
        <w:t>” has the meaning assigned to such term in the preamble to this Agreement.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Lending Office</w:t>
      </w:r>
      <w:r>
        <w:rPr>
          <w:rFonts w:ascii="Times New Roman" w:cs="Times New Roman" w:eastAsia="Times New Roman" w:hAnsi="Times New Roman"/>
          <w:sz w:val="20"/>
          <w:szCs w:val="20"/>
          <w:color w:val="auto"/>
        </w:rPr>
        <w:t>” means, with respect to any Lender, the office of such Lender specified as its “German Lending Office” in its Administrative Questionnaire or such other office of such Lender as such Lender may from time to time specify to the U.S. Borrower and the Agent.</w:t>
      </w:r>
    </w:p>
    <w:p>
      <w:pPr>
        <w:spacing w:after="0" w:line="6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Relevant Person</w:t>
      </w:r>
      <w:r>
        <w:rPr>
          <w:rFonts w:ascii="Times New Roman" w:cs="Times New Roman" w:eastAsia="Times New Roman" w:hAnsi="Times New Roman"/>
          <w:sz w:val="20"/>
          <w:szCs w:val="20"/>
          <w:color w:val="auto"/>
        </w:rPr>
        <w:t>” means any member of the Group (together with any director, officer, employee or agent thereof) incorporated, established or resident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xml:space="preserve"> within the meaning of section 2 paragraph 15 of the German Foreign Trade Law (</w:t>
      </w:r>
      <w:r>
        <w:rPr>
          <w:rFonts w:ascii="Times New Roman" w:cs="Times New Roman" w:eastAsia="Times New Roman" w:hAnsi="Times New Roman"/>
          <w:sz w:val="20"/>
          <w:szCs w:val="20"/>
          <w:i w:val="1"/>
          <w:iCs w:val="1"/>
          <w:color w:val="auto"/>
        </w:rPr>
        <w:t>Außenwirtschaftsgesetz, AWG</w:t>
      </w:r>
      <w:r>
        <w:rPr>
          <w:rFonts w:ascii="Times New Roman" w:cs="Times New Roman" w:eastAsia="Times New Roman" w:hAnsi="Times New Roman"/>
          <w:sz w:val="20"/>
          <w:szCs w:val="20"/>
          <w:color w:val="auto"/>
        </w:rPr>
        <w:t>). For purposes of this definition, “Group” means Holdings and each of its Subsidiaries.</w:t>
      </w:r>
    </w:p>
    <w:p>
      <w:pPr>
        <w:spacing w:after="0" w:line="5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sovereign or government, any state, province or territory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84" w:name="page185"/>
    <w:bookmarkEnd w:id="184"/>
    <w:p>
      <w:pPr>
        <w:jc w:val="both"/>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 and, when used as a verb, shall have a corresponding meaning.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has the meaning assigned to such term in Section 10.01(a).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 Percentage</w:t>
      </w:r>
      <w:r>
        <w:rPr>
          <w:rFonts w:ascii="Times New Roman" w:cs="Times New Roman" w:eastAsia="Times New Roman" w:hAnsi="Times New Roman"/>
          <w:sz w:val="20"/>
          <w:szCs w:val="20"/>
          <w:color w:val="auto"/>
        </w:rPr>
        <w:t>” has the meaning assigned to such term in Section 10.10.</w:t>
      </w:r>
    </w:p>
    <w:p>
      <w:pPr>
        <w:spacing w:after="0" w:line="121"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as hazardous or deleterious pursuant to any Environmental Law.</w:t>
      </w:r>
    </w:p>
    <w:p>
      <w:pPr>
        <w:spacing w:after="0" w:line="64" w:lineRule="exact"/>
        <w:rPr>
          <w:sz w:val="20"/>
          <w:szCs w:val="20"/>
          <w:color w:val="auto"/>
        </w:rPr>
      </w:pPr>
    </w:p>
    <w:p>
      <w:pPr>
        <w:ind w:right="80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w:t>
      </w:r>
      <w:r>
        <w:rPr>
          <w:rFonts w:ascii="Times New Roman" w:cs="Times New Roman" w:eastAsia="Times New Roman" w:hAnsi="Times New Roman"/>
          <w:sz w:val="20"/>
          <w:szCs w:val="20"/>
          <w:color w:val="auto"/>
        </w:rPr>
        <w:t>” means any agreement with respect to any Derivative Transaction between the U.S. Borrower or any Restricted Subsidiary and any other Person.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means, with respect to any Person, the obligations of such Person under any Hedge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HMRC</w:t>
      </w:r>
      <w:r>
        <w:rPr>
          <w:rFonts w:ascii="Times New Roman" w:cs="Times New Roman" w:eastAsia="Times New Roman" w:hAnsi="Times New Roman"/>
          <w:sz w:val="20"/>
          <w:szCs w:val="20"/>
          <w:color w:val="auto"/>
        </w:rPr>
        <w:t>” means His Majesty’s Revenue and Customs.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has the meaning assigned to such term in the preamble to this Agreement.</w:t>
      </w:r>
    </w:p>
    <w:p>
      <w:pPr>
        <w:spacing w:after="0" w:line="108"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Immaterial Subsidiary</w:t>
      </w:r>
      <w:r>
        <w:rPr>
          <w:rFonts w:ascii="Times New Roman" w:cs="Times New Roman" w:eastAsia="Times New Roman" w:hAnsi="Times New Roman"/>
          <w:sz w:val="19"/>
          <w:szCs w:val="19"/>
          <w:color w:val="auto"/>
        </w:rPr>
        <w:t xml:space="preserve">” means, at any date of determination, any Restricted Subsidiary designated as such in writing by the U.S. Borrower that (a) contributed 2.5% or less of EBITDA of the U.S. Borrower for the most recently ended Test Period and (b) had consolidated assets representing 2.5% or less of Total Assets on the last day of the most recent fiscal quarter for which financial statements have been delivered pursuant to Section 5.01. The Immaterial Subsidiaries as of the Closing Date are listed on </w:t>
      </w:r>
      <w:r>
        <w:rPr>
          <w:rFonts w:ascii="Times New Roman" w:cs="Times New Roman" w:eastAsia="Times New Roman" w:hAnsi="Times New Roman"/>
          <w:sz w:val="19"/>
          <w:szCs w:val="19"/>
          <w:u w:val="single" w:color="auto"/>
          <w:color w:val="auto"/>
        </w:rPr>
        <w:t>Schedule 1.01(a)</w:t>
      </w:r>
      <w:r>
        <w:rPr>
          <w:rFonts w:ascii="Times New Roman" w:cs="Times New Roman" w:eastAsia="Times New Roman" w:hAnsi="Times New Roman"/>
          <w:sz w:val="19"/>
          <w:szCs w:val="19"/>
          <w:color w:val="auto"/>
        </w:rPr>
        <w:t>.</w:t>
      </w:r>
    </w:p>
    <w:p>
      <w:pPr>
        <w:spacing w:after="0" w:line="6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Immediate Family Members</w:t>
      </w:r>
      <w:r>
        <w:rPr>
          <w:rFonts w:ascii="Times New Roman" w:cs="Times New Roman" w:eastAsia="Times New Roman" w:hAnsi="Times New Roman"/>
          <w:sz w:val="20"/>
          <w:szCs w:val="20"/>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84" w:lineRule="exact"/>
        <w:rPr>
          <w:sz w:val="20"/>
          <w:szCs w:val="20"/>
          <w:color w:val="auto"/>
        </w:rPr>
      </w:pPr>
    </w:p>
    <w:p>
      <w:pPr>
        <w:ind w:right="2260"/>
        <w:spacing w:after="0" w:line="3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Impacted EURIBOR Rate Interest Period</w:t>
      </w:r>
      <w:r>
        <w:rPr>
          <w:rFonts w:ascii="Times New Roman" w:cs="Times New Roman" w:eastAsia="Times New Roman" w:hAnsi="Times New Roman"/>
          <w:sz w:val="20"/>
          <w:szCs w:val="20"/>
          <w:color w:val="auto"/>
        </w:rPr>
        <w:t>” has the meaning assigned to it in the definition of “EURIBOR Rate.” “</w:t>
      </w:r>
      <w:r>
        <w:rPr>
          <w:rFonts w:ascii="Times New Roman" w:cs="Times New Roman" w:eastAsia="Times New Roman" w:hAnsi="Times New Roman"/>
          <w:sz w:val="20"/>
          <w:szCs w:val="20"/>
          <w:u w:val="single" w:color="auto"/>
          <w:color w:val="auto"/>
        </w:rPr>
        <w:t>Increased Amount Date</w:t>
      </w:r>
      <w:r>
        <w:rPr>
          <w:rFonts w:ascii="Times New Roman" w:cs="Times New Roman" w:eastAsia="Times New Roman" w:hAnsi="Times New Roman"/>
          <w:sz w:val="20"/>
          <w:szCs w:val="20"/>
          <w:color w:val="auto"/>
        </w:rPr>
        <w:t>” has the meaning assigned to such term in Section 2.19(a).</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incur</w:t>
      </w:r>
      <w:r>
        <w:rPr>
          <w:rFonts w:ascii="Times New Roman" w:cs="Times New Roman" w:eastAsia="Times New Roman" w:hAnsi="Times New Roman"/>
          <w:sz w:val="20"/>
          <w:szCs w:val="20"/>
          <w:color w:val="auto"/>
        </w:rPr>
        <w:t>” has the meaning set forth in Section 6.01(a).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incurrence</w:t>
      </w:r>
      <w:r>
        <w:rPr>
          <w:rFonts w:ascii="Times New Roman" w:cs="Times New Roman" w:eastAsia="Times New Roman" w:hAnsi="Times New Roman"/>
          <w:sz w:val="20"/>
          <w:szCs w:val="20"/>
          <w:color w:val="auto"/>
        </w:rPr>
        <w:t>” has the meaning set forth in Section 6.01(a).</w:t>
      </w:r>
    </w:p>
    <w:p>
      <w:pPr>
        <w:spacing w:after="0" w:line="121"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1</w:t>
      </w:r>
      <w:r>
        <w:rPr>
          <w:rFonts w:ascii="Times New Roman" w:cs="Times New Roman" w:eastAsia="Times New Roman" w:hAnsi="Times New Roman"/>
          <w:sz w:val="20"/>
          <w:szCs w:val="20"/>
          <w:color w:val="auto"/>
        </w:rPr>
        <w:t>” means Incremental Amendment No. 1, dated as of September 20, 2017 by and among the Loan Parties, the Administrative Agent and the Lenders party thereto.</w:t>
      </w:r>
    </w:p>
    <w:p>
      <w:pPr>
        <w:spacing w:after="0" w:line="38"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2</w:t>
      </w:r>
      <w:r>
        <w:rPr>
          <w:rFonts w:ascii="Times New Roman" w:cs="Times New Roman" w:eastAsia="Times New Roman" w:hAnsi="Times New Roman"/>
          <w:sz w:val="20"/>
          <w:szCs w:val="20"/>
          <w:color w:val="auto"/>
        </w:rPr>
        <w:t>” means Incremental Amendment No. 2, dated as of December 11, 2017 by and among the Loan Parties, the Administrative Agent and the Lenders party thereto.</w:t>
      </w:r>
    </w:p>
    <w:p>
      <w:pPr>
        <w:spacing w:after="0" w:line="38" w:lineRule="exact"/>
        <w:rPr>
          <w:sz w:val="20"/>
          <w:szCs w:val="20"/>
          <w:color w:val="auto"/>
        </w:rPr>
      </w:pPr>
    </w:p>
    <w:p>
      <w:pPr>
        <w:ind w:right="840"/>
        <w:spacing w:after="0" w:line="3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Amendment No. 2 Co-Documentation Agents</w:t>
      </w:r>
      <w:r>
        <w:rPr>
          <w:rFonts w:ascii="Times New Roman" w:cs="Times New Roman" w:eastAsia="Times New Roman" w:hAnsi="Times New Roman"/>
          <w:sz w:val="19"/>
          <w:szCs w:val="19"/>
          <w:color w:val="auto"/>
        </w:rPr>
        <w:t>” means TD Securities (USA) LLC, Capital One, National Association, Co</w:t>
      </w:r>
      <w:r>
        <w:rPr>
          <w:rFonts w:ascii="Arial" w:cs="Arial" w:eastAsia="Arial" w:hAnsi="Arial"/>
          <w:sz w:val="19"/>
          <w:szCs w:val="19"/>
          <w:color w:val="auto"/>
        </w:rPr>
        <w:t>ӧ</w:t>
      </w:r>
      <w:r>
        <w:rPr>
          <w:rFonts w:ascii="Times New Roman" w:cs="Times New Roman" w:eastAsia="Times New Roman" w:hAnsi="Times New Roman"/>
          <w:sz w:val="19"/>
          <w:szCs w:val="19"/>
          <w:color w:val="auto"/>
        </w:rPr>
        <w:t>peratieve Rabobank U.A., New York Branch, U.S. Bank National Association, Commerzbank AG and SunTrust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85" w:name="page186"/>
    <w:bookmarkEnd w:id="185"/>
    <w:p>
      <w:pPr>
        <w:ind w:right="60"/>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Amendment No. 2 Joint Lead Arrangers</w:t>
      </w:r>
      <w:r>
        <w:rPr>
          <w:rFonts w:ascii="Times New Roman" w:cs="Times New Roman" w:eastAsia="Times New Roman" w:hAnsi="Times New Roman"/>
          <w:sz w:val="19"/>
          <w:szCs w:val="19"/>
          <w:color w:val="auto"/>
        </w:rPr>
        <w:t>” means JPMorgan Chase Bank, N.A., Goldman Sachs Lending Partners LLC, Morgan Stanley Senior Funding, Inc.,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Barclays Bank PLC, Wells Fargo Securities, LLC, PNC Capital Markets LLC, Sumitomo Mitsui Banking Corporation and The Bank of Nova Scotia</w:t>
      </w:r>
    </w:p>
    <w:p>
      <w:pPr>
        <w:spacing w:after="0" w:line="67"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3</w:t>
      </w:r>
      <w:r>
        <w:rPr>
          <w:rFonts w:ascii="Times New Roman" w:cs="Times New Roman" w:eastAsia="Times New Roman" w:hAnsi="Times New Roman"/>
          <w:sz w:val="20"/>
          <w:szCs w:val="20"/>
          <w:color w:val="auto"/>
        </w:rPr>
        <w:t>” means Incremental Amendment No. 3, dated as of February 28, 2018 by and among the Loan Parties, the Administrative Agent and the Lenders party thereto.</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3 Arranger</w:t>
      </w:r>
      <w:r>
        <w:rPr>
          <w:rFonts w:ascii="Times New Roman" w:cs="Times New Roman" w:eastAsia="Times New Roman" w:hAnsi="Times New Roman"/>
          <w:sz w:val="20"/>
          <w:szCs w:val="20"/>
          <w:color w:val="auto"/>
        </w:rPr>
        <w:t>” means JPMorgan Chase Bank, N.A.</w:t>
      </w:r>
    </w:p>
    <w:p>
      <w:pPr>
        <w:spacing w:after="0" w:line="121" w:lineRule="exact"/>
        <w:rPr>
          <w:sz w:val="20"/>
          <w:szCs w:val="20"/>
          <w:color w:val="auto"/>
        </w:rPr>
      </w:pPr>
    </w:p>
    <w:p>
      <w:pPr>
        <w:ind w:right="3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8</w:t>
      </w:r>
      <w:r>
        <w:rPr>
          <w:rFonts w:ascii="Times New Roman" w:cs="Times New Roman" w:eastAsia="Times New Roman" w:hAnsi="Times New Roman"/>
          <w:sz w:val="20"/>
          <w:szCs w:val="20"/>
          <w:color w:val="auto"/>
        </w:rPr>
        <w:t>” means Incremental Amendment No. 8, dated as of January 15, 2020 by and among the Loan Parties, the Administrative Agent and the Lenders party thereto.</w:t>
      </w:r>
    </w:p>
    <w:p>
      <w:pPr>
        <w:spacing w:after="0" w:line="173"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8 Co-Documentation Agents</w:t>
      </w:r>
      <w:r>
        <w:rPr>
          <w:rFonts w:ascii="Times New Roman" w:cs="Times New Roman" w:eastAsia="Times New Roman" w:hAnsi="Times New Roman"/>
          <w:sz w:val="20"/>
          <w:szCs w:val="20"/>
          <w:color w:val="auto"/>
        </w:rPr>
        <w:t>” means Capital One, National Association, Citigroup Global Markets Inc., Co</w:t>
      </w:r>
      <w:r>
        <w:rPr>
          <w:rFonts w:ascii="Arial" w:cs="Arial" w:eastAsia="Arial" w:hAnsi="Arial"/>
          <w:sz w:val="20"/>
          <w:szCs w:val="20"/>
          <w:color w:val="auto"/>
        </w:rPr>
        <w:t>ӧ</w:t>
      </w:r>
      <w:r>
        <w:rPr>
          <w:rFonts w:ascii="Times New Roman" w:cs="Times New Roman" w:eastAsia="Times New Roman" w:hAnsi="Times New Roman"/>
          <w:sz w:val="20"/>
          <w:szCs w:val="20"/>
          <w:color w:val="auto"/>
        </w:rPr>
        <w:t>peratieve Rabobank U.A., New York Branch, Morgan Stanley Senior Funding, Inc., PNC Capital Markets LLC, Sumitomo Mitsui Banking Corporation, TD Securities (USA) LLC, The Bank of Nova Scotia and U.S. Bank National Association.</w:t>
      </w:r>
    </w:p>
    <w:p>
      <w:pPr>
        <w:spacing w:after="0" w:line="183" w:lineRule="exact"/>
        <w:rPr>
          <w:sz w:val="20"/>
          <w:szCs w:val="20"/>
          <w:color w:val="auto"/>
        </w:rPr>
      </w:pPr>
    </w:p>
    <w:p>
      <w:pPr>
        <w:ind w:right="1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8 Arrangers</w:t>
      </w:r>
      <w:r>
        <w:rPr>
          <w:rFonts w:ascii="Times New Roman" w:cs="Times New Roman" w:eastAsia="Times New Roman" w:hAnsi="Times New Roman"/>
          <w:sz w:val="20"/>
          <w:szCs w:val="20"/>
          <w:color w:val="auto"/>
        </w:rPr>
        <w:t>” means Credit Suisse Loan Funding LLC, Barclays Bank PLC, BofA Securities, Inc., Goldman Sachs Lending Partners LLC, JPMorgan Chase Bank, N.A. and Wells Fargo Securities, LLC.</w:t>
      </w:r>
    </w:p>
    <w:p>
      <w:pPr>
        <w:spacing w:after="0" w:line="1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means, with respect to any Person, (a) any indebtedness (including principal and premium) of such Person, whether or not contingent (i) in respect of borrowed money, (ii) evidenced by bonds, notes, debentures or similar instruments or letters of credit or bankers’ acceptances (or, without duplication, reimbursement agreements in respect thereof), (iii) representing the balance deferred and unpaid of the purchase price of any property (including Capitalized Lease Obligations), except any such balance that constitutes a trade payable or similar obligation to a trade creditor, in each case accrued in the ordinary course of business, (iv) advances under, or in respect of Receivables Facilities or (v) representing any Hedging Obligations, if and to the extent that any of the foregoing Indebtedness (other than letters of credit and Hedging Obligations) would appear as a liability upon a balance sheet (excluding the footnotes thereto) of such Person prepared in accordance with GAAP; (b) to the extent not otherwise included, any obligation by such Person to be liable for, or to pay, as obligor, guarantor or otherwise, on the obligations of the type referred to in clause (a) of another Person (whether or not such items would appear upon the balance sheet of such obligor or guarantor), other than by endorsement of negotiable instruments for collection in the ordinary course of business; (c) to the extent not otherwise included, the obligations of the type referred to in clause (a) of another Person secured by a Lien on any asset owned by such Person, whether or not such obligations are assumed by such Person and whether or not such obligations would appear upon the balance sheet of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Indebtedness will be the lesser of the fair market value of such asset at the date of determination and the amount of Indebtedness so secured; and (d) Attributable Debt in respect of Sale and Lease-Back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notwithstanding the foregoing, Indebtedness will be deemed not to include Contingent Obligations incurred in the ordinary course of business with respect to obligations not constituting Indebtedness of a type described in any of clauses (a) through (d) above.</w:t>
      </w:r>
    </w:p>
    <w:p>
      <w:pPr>
        <w:spacing w:after="0" w:line="8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86" w:name="page187"/>
    <w:bookmarkEnd w:id="186"/>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Financial Advisor</w:t>
      </w:r>
      <w:r>
        <w:rPr>
          <w:rFonts w:ascii="Times New Roman" w:cs="Times New Roman" w:eastAsia="Times New Roman" w:hAnsi="Times New Roman"/>
          <w:sz w:val="20"/>
          <w:szCs w:val="20"/>
          <w:color w:val="auto"/>
        </w:rPr>
        <w:t>” means an accounting, appraisal, investment banking firm or consultant of nationally recognized standing that is, in the good faith judgment of the U.S. Borrower, qualified to perform the task for which it has been engaged and that is independent of the U.S. Borrower and its Affiliates.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has the meaning assigned to it in Section 9.04(b).</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has the meaning set forth in Section 3.13(a).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Memorandum</w:t>
      </w:r>
      <w:r>
        <w:rPr>
          <w:rFonts w:ascii="Times New Roman" w:cs="Times New Roman" w:eastAsia="Times New Roman" w:hAnsi="Times New Roman"/>
          <w:sz w:val="20"/>
          <w:szCs w:val="20"/>
          <w:color w:val="auto"/>
        </w:rPr>
        <w:t>” means the Confidential Information Memorandum dated March 2017, relating to this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Default</w:t>
      </w:r>
      <w:r>
        <w:rPr>
          <w:rFonts w:ascii="Times New Roman" w:cs="Times New Roman" w:eastAsia="Times New Roman" w:hAnsi="Times New Roman"/>
          <w:sz w:val="20"/>
          <w:szCs w:val="20"/>
          <w:color w:val="auto"/>
        </w:rPr>
        <w:t>” has the meaning set forth in Section 7.01.</w:t>
      </w:r>
    </w:p>
    <w:p>
      <w:pPr>
        <w:spacing w:after="0" w:line="10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Interbank Rate</w:t>
      </w:r>
      <w:r>
        <w:rPr>
          <w:rFonts w:ascii="Times New Roman" w:cs="Times New Roman" w:eastAsia="Times New Roman" w:hAnsi="Times New Roman"/>
          <w:sz w:val="20"/>
          <w:szCs w:val="20"/>
          <w:color w:val="auto"/>
        </w:rPr>
        <w:t>” means, for any period, (a) in respect of Loans denominated in Dollars, the Federal Funds Effective Rate and (b) in respect of Loans denominated in any other currency, the Agent’s cost of funds for such currency (as reasonably determined by the Agent) for such period.</w:t>
      </w:r>
    </w:p>
    <w:p>
      <w:pPr>
        <w:spacing w:after="0" w:line="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Charges</w:t>
      </w:r>
      <w:r>
        <w:rPr>
          <w:rFonts w:ascii="Times New Roman" w:cs="Times New Roman" w:eastAsia="Times New Roman" w:hAnsi="Times New Roman"/>
          <w:sz w:val="20"/>
          <w:szCs w:val="20"/>
          <w:color w:val="auto"/>
        </w:rPr>
        <w:t>” means, with respect to any Person for any period, the sum of (a) Consolidated Interest Expense of such Person for such period, (b) the consolidated amount of all cash dividend payments (excluding items eliminated in consolidation) on any series of Preferred Stock (including any dividends paid to any direct or indirect parent company of the U.S. Borrower in order to permit the payment of dividends by such parent company on its Designated Preferred Stock) paid by such Person and its Restricted Subsidiaries during such period and (c) the consolidated amount of all cash dividend payments (excluding items eliminated in consolidation) by such Person and its Restricted Subsidiaries on any series of Disqualified Stock made during such period.</w:t>
      </w:r>
    </w:p>
    <w:p>
      <w:pPr>
        <w:spacing w:after="0" w:line="8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with respect to any Person for any period, the ratio of EBITDA of such Person for such period to the Interest Charges of such Person for such period. In the event that the U.S. Borrower or any Restricted Subsidiary incurs, assumes, guarantees, redeems, retires or extinguishes any Indebtedness (other than Indebtedness incurred under any revolving credit facility unless such revolving credit facility has been permanently repaid and has not been replaced) or issues or redeems Disqualified Stock or Preferred Stock subsequent to the commencement of the period for which the Interest Coverage Ratio is being calculated but prior to or simultaneously with the event for which the calculation of the Interest Coverage Ratio is made (the “</w:t>
      </w:r>
      <w:r>
        <w:rPr>
          <w:rFonts w:ascii="Times New Roman" w:cs="Times New Roman" w:eastAsia="Times New Roman" w:hAnsi="Times New Roman"/>
          <w:sz w:val="20"/>
          <w:szCs w:val="20"/>
          <w:u w:val="single" w:color="auto"/>
          <w:color w:val="auto"/>
        </w:rPr>
        <w:t>Calculation Date</w:t>
      </w:r>
      <w:r>
        <w:rPr>
          <w:rFonts w:ascii="Times New Roman" w:cs="Times New Roman" w:eastAsia="Times New Roman" w:hAnsi="Times New Roman"/>
          <w:sz w:val="20"/>
          <w:szCs w:val="20"/>
          <w:color w:val="auto"/>
        </w:rPr>
        <w:t>”), then the Interest Coverage Ratio shall be calculated giving pro forma effect to such incurrence, assumption, guarantee, redemption, retirement or extinguishing of Indebtedness, or such issuance or redemption of Disqualified Stock or Preferred Stock, as if the same had occurred at the beginning of the applicable four-quarter period (the “</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w:t>
      </w:r>
    </w:p>
    <w:p>
      <w:pPr>
        <w:spacing w:after="0" w:line="8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 xml:space="preserve">For purposes of making the computation referred to above, Investments, acquisitions, Dispositions, mergers, consolidations and disposed operations (as determined in accordance with GAAP) that have been made by the U.S. Borrower or any Restricted Subsidiary during the four-quarter reference period or subsequent to such reference period and on or prior to or simultaneously with the Calculation Date shall be calculated on a pro forma basis assuming that all such Investments, acquisitions, Dispositions, mergers, consolidations and disposed operations (and the change in any associated Interest Charges and the change in EBITDA resulting therefrom) had occurred on the first day of the reference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option of the U.S. Borrower, no such pro forma adjustment to EBITDA shall be made in respect of any such transaction to the extent the aggregate consideration with respect to any such transaction was less than $25.0 million for the reference period. If since the beginning of such period any Person (that subsequently became a Restricted Subsidiary or was merged with or into the U.S. Borrower or any Restricted Subsidiary since the beginning of such period) shall have made any Investment, acquisition, Disposition, merger, consolidation or disposed operation that would have required adjustment pursuant to this definition, then the Interest Coverage Ratio shall be calculated giving pro forma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87" w:name="page188"/>
    <w:bookmarkEnd w:id="187"/>
    <w:p>
      <w:pPr>
        <w:ind w:right="600"/>
        <w:spacing w:after="0" w:line="283" w:lineRule="auto"/>
        <w:rPr>
          <w:sz w:val="20"/>
          <w:szCs w:val="20"/>
          <w:color w:val="auto"/>
        </w:rPr>
      </w:pPr>
      <w:r>
        <w:rPr>
          <w:rFonts w:ascii="Times New Roman" w:cs="Times New Roman" w:eastAsia="Times New Roman" w:hAnsi="Times New Roman"/>
          <w:sz w:val="20"/>
          <w:szCs w:val="20"/>
          <w:color w:val="auto"/>
        </w:rPr>
        <w:t>thereto for such period as if such Investment, acquisition, Disposition, merger, consolidation or disposed operation had occurred at the beginning of the reference period (subject to the threshold specified in the previous sentence).</w:t>
      </w:r>
    </w:p>
    <w:p>
      <w:pPr>
        <w:spacing w:after="0" w:line="3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For purposes of this definition, whenever pro forma effect is to be given to a transaction, the pro forma calculations shall be made in good faith by a responsible financial or accounting officer of the U.S. Borrower. If any Indebtedness bears a floating rate of interest and is being given pro forma effect, the interest on such Indebtedness shall be calculated as if the rate in effect on the Calculation Date had been the applicable rate for the entire period (taking into account any Hedging Obligations applicable to such Indebtedness). Interest on a Capitalized Lease Obligation shall be deemed to accrue at an interest rate reasonably determined by a Financial Officer of the U.S. Borrower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U.S. Borrower may designate.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means a request by a Borrower to convert or continue a Borrowing in accordance with Section 2.12.</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means (a) in the case of any Eurocurrency Rate Loan, the applicable Eurocurrency Interest Period, (b) in the case of any Term CORRA Rate Loan, the applicable Term CORRA Interest Period (c) in the case of any SONIA Rate Loan, the applicable SONIA Interest Period and (d) in the case of any Term Benchmark Loan, the applicable Term Benchmark Interest Period.</w:t>
      </w:r>
    </w:p>
    <w:p>
      <w:pPr>
        <w:spacing w:after="0" w:line="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Internally Generated Funds</w:t>
      </w:r>
      <w:r>
        <w:rPr>
          <w:rFonts w:ascii="Times New Roman" w:cs="Times New Roman" w:eastAsia="Times New Roman" w:hAnsi="Times New Roman"/>
          <w:sz w:val="20"/>
          <w:szCs w:val="20"/>
          <w:color w:val="auto"/>
        </w:rPr>
        <w:t>” means any amount expended by the U.S. Borrower and its Restricted Subsidiaries and not representing (a) a reinvestment by the U.S. Borrower or any Restricted Subsidiaries of the Net Cash Proceeds of any Disposition outside the ordinary course of business or Casualty Event, (b) the proceeds of any issuance of Indebtedness of the U.S. Borrower or any Restricted Subsidiary (other than Indebtedness under any revolving credit facility) or (c) any credit received by the U.S. Borrower or any Restricted Subsidiary with respect to any trade in of property for substantially similar property or any “like kind exchange” of assets.</w:t>
      </w:r>
    </w:p>
    <w:p>
      <w:pPr>
        <w:spacing w:after="0" w:line="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Securities</w:t>
      </w:r>
      <w:r>
        <w:rPr>
          <w:rFonts w:ascii="Times New Roman" w:cs="Times New Roman" w:eastAsia="Times New Roman" w:hAnsi="Times New Roman"/>
          <w:sz w:val="20"/>
          <w:szCs w:val="20"/>
          <w:color w:val="auto"/>
        </w:rPr>
        <w:t>” means (a) securities issued or directly and fully guaranteed or insured by the government of the United States of America or any agency or instrumentality thereof (other than Cash Equivalents), (b) debt securities or debt instruments with a rating of BBB- or higher by S&amp;P or Baa3 or higher by Moody’s or the equivalent of such rating by such rating organization, or, if no rating of S&amp;P or Moody’s then exists, the equivalent of such rating by any other nationally recognized securities rating agency, but excluding any debt securities or instruments constituting loans or advances among the U.S. Borrower and its subsidiaries, (c) investments in any fund that invests exclusively in investments of the type described in clauses (a) and (b), which fund may also hold immaterial amounts of cash pending investment or distribution and (d) corresponding instruments in countries other than the United States of America customarily utilized for high quality investments, in each case, consistent with the U.S. Borrower’s cash management and investment practices.</w:t>
      </w:r>
    </w:p>
    <w:p>
      <w:pPr>
        <w:spacing w:after="0" w:line="7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means, with respect to any Person, all investments by such Person in other Persons (including Affiliates) in the form of guarantees, loans or advances of money or capital contributions to such Person (but excluding any such loan, advance or capital contribution arising in the ordinary course of business and having a term not exceeding 364 days and furthermore excluding, for the avoidance of doubt, any extensions of trade credit in the ordinary course of business) or purchases or other acquisitions of stocks, bonds, debentures, notes or similar securities issued by such Person. For purposes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88" w:name="page189"/>
    <w:bookmarkEnd w:id="188"/>
    <w:p>
      <w:pPr>
        <w:spacing w:after="0" w:line="250" w:lineRule="auto"/>
        <w:rPr>
          <w:sz w:val="20"/>
          <w:szCs w:val="20"/>
          <w:color w:val="auto"/>
        </w:rPr>
      </w:pPr>
      <w:r>
        <w:rPr>
          <w:rFonts w:ascii="Times New Roman" w:cs="Times New Roman" w:eastAsia="Times New Roman" w:hAnsi="Times New Roman"/>
          <w:sz w:val="20"/>
          <w:szCs w:val="20"/>
          <w:color w:val="auto"/>
        </w:rPr>
        <w:t xml:space="preserve">definition of “Unrestricted Subsidiary” and Section 6.07, (a) “Investments” shall include the portion (proportionate to the U.S. Borrower’s equity interest in such Subsidiary) of the fair market value of the net assets of a Subsidiary of the U.S. Borrower at the time that such Subsidiary is designated an 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a redesignation of such Unrestricted Subsidiary as a Restricted Subsidiary, the U.S. Borrower shall be deemed to continue to have a permanent “Investment” in an Unrestricted Subsidiary in an amount (if positive) equal to (i) the U.S. Borrower’s “Investment” in such Subsidiary at the time of such redesignation,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(ii) the portion (proportionate to the U.S. Borrower’s equity interest in such Subsidiary) of the fair market value of the net assets of such Subsidiary at the time of such redesignation, and (b) any property transferred to or from an Unrestricted Subsidiary shall be valued at its fair market value at the time of such transfer, in each case as determined in good faith by the U.S. Borrower. For the avoidance of doubt, a guarantee by a specified Person of the obligations of another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shall be deemed to be an Investment by such specified Person in the primary obligor to the extent of such guarantee except that any guarantee by any Loan Party of the obligations of a primary obligor in favor of a Loan Party shall be deemed to be an Investment by a Loan Party in another Loan Party.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Irish Borrowers</w:t>
      </w:r>
      <w:r>
        <w:rPr>
          <w:rFonts w:ascii="Times New Roman" w:cs="Times New Roman" w:eastAsia="Times New Roman" w:hAnsi="Times New Roman"/>
          <w:sz w:val="20"/>
          <w:szCs w:val="20"/>
          <w:color w:val="auto"/>
        </w:rPr>
        <w:t>” has the meaning assigned to such term in the preamble to this Agreement.</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Irish Lending Office</w:t>
      </w:r>
      <w:r>
        <w:rPr>
          <w:rFonts w:ascii="Times New Roman" w:cs="Times New Roman" w:eastAsia="Times New Roman" w:hAnsi="Times New Roman"/>
          <w:sz w:val="20"/>
          <w:szCs w:val="20"/>
          <w:color w:val="auto"/>
        </w:rPr>
        <w:t>” means, with respect to any Lender, the office of such Lender specified as its “Irish Lending Office” in its Administrative Questionnaire or such other office of such Lender as such Lender may from time to time specify to the U.S. Borrower and the Agent.</w:t>
      </w:r>
    </w:p>
    <w:p>
      <w:pPr>
        <w:spacing w:after="0" w:line="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Irish Qualifying Jurisdiction</w:t>
      </w:r>
      <w:r>
        <w:rPr>
          <w:rFonts w:ascii="Times New Roman" w:cs="Times New Roman" w:eastAsia="Times New Roman" w:hAnsi="Times New Roman"/>
          <w:sz w:val="20"/>
          <w:szCs w:val="20"/>
          <w:color w:val="auto"/>
        </w:rPr>
        <w:t>” means (a) a member state of the European Union other than Ireland; (b) a jurisdiction with which Ireland has entered into a Treaty that has the force of law; or (c) a jurisdiction with which Ireland has entered into a Treaty where that treaty will (on completion of necessary procedures) have the force of law.</w:t>
      </w:r>
    </w:p>
    <w:p>
      <w:pPr>
        <w:spacing w:after="0" w:line="73" w:lineRule="exact"/>
        <w:rPr>
          <w:sz w:val="20"/>
          <w:szCs w:val="20"/>
          <w:color w:val="auto"/>
        </w:rPr>
      </w:pPr>
    </w:p>
    <w:p>
      <w:pPr>
        <w:ind w:right="3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Irish Qualifying Lender</w:t>
      </w:r>
      <w:r>
        <w:rPr>
          <w:rFonts w:ascii="Times New Roman" w:cs="Times New Roman" w:eastAsia="Times New Roman" w:hAnsi="Times New Roman"/>
          <w:sz w:val="20"/>
          <w:szCs w:val="20"/>
          <w:color w:val="auto"/>
        </w:rPr>
        <w:t>” means a Lender which is beneficially entitled to interest payable to that Lender in respect of an advance under this Agreement and is:</w:t>
      </w:r>
    </w:p>
    <w:p>
      <w:pPr>
        <w:spacing w:after="0" w:line="173" w:lineRule="exact"/>
        <w:rPr>
          <w:sz w:val="20"/>
          <w:szCs w:val="20"/>
          <w:color w:val="auto"/>
        </w:rPr>
      </w:pPr>
    </w:p>
    <w:p>
      <w:pPr>
        <w:ind w:left="660" w:right="80" w:firstLine="644"/>
        <w:spacing w:after="0" w:line="269" w:lineRule="auto"/>
        <w:tabs>
          <w:tab w:leader="none" w:pos="172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bank whose Applicable Lending Office is located in Ireland and which is carrying on a bona fide banking business in Ireland for the purposes of Section 246(3) of TCA; or</w:t>
      </w:r>
    </w:p>
    <w:p>
      <w:pPr>
        <w:spacing w:after="0" w:line="172" w:lineRule="exact"/>
        <w:rPr>
          <w:rFonts w:ascii="Times New Roman" w:cs="Times New Roman" w:eastAsia="Times New Roman" w:hAnsi="Times New Roman"/>
          <w:sz w:val="20"/>
          <w:szCs w:val="20"/>
          <w:color w:val="auto"/>
        </w:rPr>
      </w:pPr>
    </w:p>
    <w:p>
      <w:pPr>
        <w:ind w:left="660" w:right="60" w:firstLine="644"/>
        <w:spacing w:after="0" w:line="283" w:lineRule="auto"/>
        <w:tabs>
          <w:tab w:leader="none" w:pos="173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building society within the meaning of Section 256(1) of TCA whose Applicable Lending Office is located in Ireland and which is carrying on a bona fide banking business in Ireland for the purposes of Section 246(3) of TCA; or</w:t>
      </w:r>
    </w:p>
    <w:p>
      <w:pPr>
        <w:spacing w:after="0" w:line="146" w:lineRule="exact"/>
        <w:rPr>
          <w:rFonts w:ascii="Times New Roman" w:cs="Times New Roman" w:eastAsia="Times New Roman" w:hAnsi="Times New Roman"/>
          <w:sz w:val="20"/>
          <w:szCs w:val="20"/>
          <w:color w:val="auto"/>
        </w:rPr>
      </w:pPr>
    </w:p>
    <w:p>
      <w:pPr>
        <w:ind w:left="660" w:right="40" w:firstLine="644"/>
        <w:spacing w:after="0" w:line="253" w:lineRule="auto"/>
        <w:tabs>
          <w:tab w:leader="none" w:pos="172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body corporate (i) which, by virtue of the law of an Irish Qualifying Jurisdiction, is resident in the Irish Qualifying Jurisdiction for the purposes of tax and that jurisdiction imposes a tax that generally applies to interest receivable in that jurisdiction by companies from sources outside that jurisdiction; or (ii) where the interest (1) is exempted from the charge to Irish income tax under a Treaty in force on the date the interest is paid, or (2) would be exempted from the charge to Irish income tax if a Treaty which has been signed but is not yet in force had the force of law on the date the interest is paid; except where, in respect of each of clauses (i) and (ii), interest payable to that body corporate in respect of an advance under this Agreement is paid in connection with a trade or business which is carried on in Ireland by that body corporate through a branch or agency; or</w:t>
      </w:r>
    </w:p>
    <w:p>
      <w:pPr>
        <w:spacing w:after="0" w:line="179" w:lineRule="exact"/>
        <w:rPr>
          <w:rFonts w:ascii="Times New Roman" w:cs="Times New Roman" w:eastAsia="Times New Roman" w:hAnsi="Times New Roman"/>
          <w:sz w:val="20"/>
          <w:szCs w:val="20"/>
          <w:color w:val="auto"/>
        </w:rPr>
      </w:pPr>
    </w:p>
    <w:p>
      <w:pPr>
        <w:ind w:left="660" w:right="340" w:firstLine="644"/>
        <w:spacing w:after="0" w:line="283" w:lineRule="auto"/>
        <w:tabs>
          <w:tab w:leader="none" w:pos="173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body corporate which advances money in the ordinary course of a trade which includes the lending of money, and whose Applicable Lending Office is located in Ireland,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89" w:name="page190"/>
    <w:bookmarkEnd w:id="189"/>
    <w:p>
      <w:pPr>
        <w:ind w:left="660" w:right="640"/>
        <w:spacing w:after="0" w:line="283" w:lineRule="auto"/>
        <w:rPr>
          <w:sz w:val="20"/>
          <w:szCs w:val="20"/>
          <w:color w:val="auto"/>
        </w:rPr>
      </w:pPr>
      <w:r>
        <w:rPr>
          <w:rFonts w:ascii="Times New Roman" w:cs="Times New Roman" w:eastAsia="Times New Roman" w:hAnsi="Times New Roman"/>
          <w:sz w:val="20"/>
          <w:szCs w:val="20"/>
          <w:color w:val="auto"/>
        </w:rPr>
        <w:t>interest is taken into account in computing the trading income of such a person; and which has complied with the notification requirements under Section 246(5) of TCA; or</w:t>
      </w:r>
    </w:p>
    <w:p>
      <w:pPr>
        <w:spacing w:after="0" w:line="146" w:lineRule="exact"/>
        <w:rPr>
          <w:sz w:val="20"/>
          <w:szCs w:val="20"/>
          <w:color w:val="auto"/>
        </w:rPr>
      </w:pPr>
    </w:p>
    <w:p>
      <w:pPr>
        <w:ind w:left="660" w:firstLine="644"/>
        <w:spacing w:after="0" w:line="257" w:lineRule="auto"/>
        <w:tabs>
          <w:tab w:leader="none" w:pos="172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in respect of which an authorization granted and not revoked by the Revenue Commissioners of Ireland is subsisting on each interest payment date entitling any Borrower to pay such person interest without deduction of income tax, by virtue of an applicable Treaty between Ireland and the country in which such person is resident for the purposes of such treaty, where such double taxation treaty specifies that no withholding tax is to be made on interest provided such person does not provide its commitment through a branch or agency in Ireland; or</w:t>
      </w:r>
    </w:p>
    <w:p>
      <w:pPr>
        <w:spacing w:after="0" w:line="172"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qualifying company within the meaning of Section 110 of TCA; or</w:t>
      </w:r>
    </w:p>
    <w:p>
      <w:pPr>
        <w:spacing w:after="0" w:line="229" w:lineRule="exact"/>
        <w:rPr>
          <w:rFonts w:ascii="Times New Roman" w:cs="Times New Roman" w:eastAsia="Times New Roman" w:hAnsi="Times New Roman"/>
          <w:sz w:val="20"/>
          <w:szCs w:val="20"/>
          <w:color w:val="auto"/>
        </w:rPr>
      </w:pPr>
    </w:p>
    <w:p>
      <w:pPr>
        <w:ind w:left="660" w:right="60" w:firstLine="644"/>
        <w:spacing w:after="0" w:line="261" w:lineRule="auto"/>
        <w:tabs>
          <w:tab w:leader="none" w:pos="173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that is incorporated in the United States and subject to tax in the United States of America on its worldwide income except where interest is paid under this Agreement to the United States of America company in connection with a trade or business which is carried on in Ireland by it through a branch or agency; or</w:t>
      </w:r>
    </w:p>
    <w:p>
      <w:pPr>
        <w:spacing w:after="0" w:line="181" w:lineRule="exact"/>
        <w:rPr>
          <w:rFonts w:ascii="Times New Roman" w:cs="Times New Roman" w:eastAsia="Times New Roman" w:hAnsi="Times New Roman"/>
          <w:sz w:val="20"/>
          <w:szCs w:val="20"/>
          <w:color w:val="auto"/>
        </w:rPr>
      </w:pPr>
    </w:p>
    <w:p>
      <w:pPr>
        <w:ind w:left="660" w:right="100" w:firstLine="644"/>
        <w:spacing w:after="0" w:line="253" w:lineRule="auto"/>
        <w:tabs>
          <w:tab w:leader="none" w:pos="173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limited liability company (“</w:t>
      </w:r>
      <w:r>
        <w:rPr>
          <w:rFonts w:ascii="Times New Roman" w:cs="Times New Roman" w:eastAsia="Times New Roman" w:hAnsi="Times New Roman"/>
          <w:sz w:val="20"/>
          <w:szCs w:val="20"/>
          <w:u w:val="single" w:color="auto"/>
          <w:color w:val="auto"/>
        </w:rPr>
        <w:t>LLC</w:t>
      </w:r>
      <w:r>
        <w:rPr>
          <w:rFonts w:ascii="Times New Roman" w:cs="Times New Roman" w:eastAsia="Times New Roman" w:hAnsi="Times New Roman"/>
          <w:sz w:val="20"/>
          <w:szCs w:val="20"/>
          <w:color w:val="auto"/>
        </w:rPr>
        <w:t>”) organized under the laws of the United States of America, any state thereof or the District of Columbia, where the ultimate recipients of the interest payable under this Agreement are Irish Qualifying Lenders within sub-paragraphs (c) or (g) of this definition and the business conducted through the LLC is so structured for market reasons and not for tax avoidance purposes except where interest is paid under this Agreement to the LLC in connection with a trade or business which is carried on in Ireland by it through a branch or agency; or</w:t>
      </w:r>
    </w:p>
    <w:p>
      <w:pPr>
        <w:spacing w:after="0" w:line="19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exempt approved scheme within the meaning of section 774 TCA; or</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investment undertaking within the meaning of section 739B TCA.</w:t>
      </w:r>
    </w:p>
    <w:p>
      <w:pPr>
        <w:spacing w:after="0" w:line="229"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Irish Tax Confirmation</w:t>
      </w:r>
      <w:r>
        <w:rPr>
          <w:rFonts w:ascii="Times New Roman" w:cs="Times New Roman" w:eastAsia="Times New Roman" w:hAnsi="Times New Roman"/>
          <w:sz w:val="20"/>
          <w:szCs w:val="20"/>
          <w:color w:val="auto"/>
        </w:rPr>
        <w:t>” means a confirmation by a Lender that the person beneficially entitled to interest payable to that Lender in respect of an advance under this Agreement is an Irish Qualifying Lender.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U.S. Internal Revenue Service.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ISDA CDS Definitions</w:t>
      </w:r>
      <w:r>
        <w:rPr>
          <w:rFonts w:ascii="Times New Roman" w:cs="Times New Roman" w:eastAsia="Times New Roman" w:hAnsi="Times New Roman"/>
          <w:sz w:val="20"/>
          <w:szCs w:val="20"/>
          <w:color w:val="auto"/>
        </w:rPr>
        <w:t>” has the meaning provided in Section 9.02(g).</w:t>
      </w:r>
    </w:p>
    <w:p>
      <w:pPr>
        <w:spacing w:after="0" w:line="121"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means (a) each Person listed on the Commitments Schedule under the heading “Letter of Credit Commitments” and (b) any other Revolving Lender approved by the Agent and the U.S. Borrower (such approvals not to be unreasonably withheld) which has agreed to act as an Issuing Bank hereunder. Each Issuing Bank may, in its discretion, arrange for one or more Letters of Credit to be issued by Affiliates of such Issuing Bank, in which case the term “Issuing Bank” shall include any such Affiliate with respect to Letters of Credit issued by such Affiliate and, except as otherwise agreed to by such Issuing Bank, all payments required to be made to such Issuing Bank hereunder with respect to Letters of Credit issued by such Issuing Bank shall instead be made to the Affiliate that issued such Letter of Credit. Notwithstanding the foregoing, no Issuing Bank under a Revolving Facility shall be required to serve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190" w:name="page191"/>
    <w:bookmarkEnd w:id="190"/>
    <w:p>
      <w:pPr>
        <w:ind w:right="820"/>
        <w:spacing w:after="0" w:line="283" w:lineRule="auto"/>
        <w:rPr>
          <w:sz w:val="20"/>
          <w:szCs w:val="20"/>
          <w:color w:val="auto"/>
        </w:rPr>
      </w:pPr>
      <w:r>
        <w:rPr>
          <w:rFonts w:ascii="Times New Roman" w:cs="Times New Roman" w:eastAsia="Times New Roman" w:hAnsi="Times New Roman"/>
          <w:sz w:val="20"/>
          <w:szCs w:val="20"/>
          <w:color w:val="auto"/>
        </w:rPr>
        <w:t>an Issuing Bank under any New Revolving Facility unless it affirmatively consents in writing to do so at or after the time such New Revolving Facility is established.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ITA 2007</w:t>
      </w:r>
      <w:r>
        <w:rPr>
          <w:rFonts w:ascii="Times New Roman" w:cs="Times New Roman" w:eastAsia="Times New Roman" w:hAnsi="Times New Roman"/>
          <w:sz w:val="20"/>
          <w:szCs w:val="20"/>
          <w:color w:val="auto"/>
        </w:rPr>
        <w:t>” means the U.K. Income Tax Act 2007.</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has the meaning assigned to such term in Section 5.11.</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Lead Arrangers</w:t>
      </w:r>
      <w:r>
        <w:rPr>
          <w:rFonts w:ascii="Times New Roman" w:cs="Times New Roman" w:eastAsia="Times New Roman" w:hAnsi="Times New Roman"/>
          <w:sz w:val="20"/>
          <w:szCs w:val="20"/>
          <w:color w:val="auto"/>
        </w:rPr>
        <w:t>” means JPMorgan Chase Bank, N.A, Goldman Sachs Lending Partners LLC, Credit Suisse Securities (USA) LLC,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Wells Fargo Securities, LLC, Barclays Bank PLC, PNC Capital Markets LLC and Morgan Stanley MUFG Loan Partners, LLC acting through Morgan Stanley Senior Funding, Inc. and The Bank of Tokyo-Mitsubishi UFJ, Ltd., the Amendment No. 5 Arrangers, the Amendment No. 6 Arrangers, the Amendment No. 7 Arrangers, the Amendment No. 11 Arrangers, the Amendment No. 12 Arrangers, the Amendment No. 14 Arrangers, the Amendment No. 15 Arrangers, the Incremental Amendment No. 2 Arrangers, the Incremental Amendment No. 3 Arranger and the Incremental No. 8 Arranger.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has the meaning assigned to such term in Section 9.09(f).</w:t>
      </w:r>
    </w:p>
    <w:p>
      <w:pPr>
        <w:spacing w:after="0" w:line="121"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Junior Lien Intercreditor Agreement</w:t>
      </w:r>
      <w:r>
        <w:rPr>
          <w:rFonts w:ascii="Times New Roman" w:cs="Times New Roman" w:eastAsia="Times New Roman" w:hAnsi="Times New Roman"/>
          <w:sz w:val="19"/>
          <w:szCs w:val="19"/>
          <w:color w:val="auto"/>
        </w:rPr>
        <w:t xml:space="preserve">” means an agreement in substantially the form of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with such changes thereto as are reasonably acceptable to the Agent and the U.S.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changes shall not be materially adverse to the interests of the Lenders.</w:t>
      </w:r>
    </w:p>
    <w:p>
      <w:pPr>
        <w:spacing w:after="0" w:line="43" w:lineRule="exact"/>
        <w:rPr>
          <w:sz w:val="20"/>
          <w:szCs w:val="20"/>
          <w:color w:val="auto"/>
        </w:rPr>
      </w:pPr>
    </w:p>
    <w:p>
      <w:pPr>
        <w:ind w:right="78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at any time, the latest final maturity date then in effect for any Class of Commitments or Term Loans outstanding under this Agreement.</w:t>
      </w:r>
    </w:p>
    <w:p>
      <w:pPr>
        <w:spacing w:after="0" w:line="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made by an Issuing Bank pursuant to a Letter of Credit. All LC Disbursements with respect to each Letter of Credit shall (following the funding thereof by the applicable Issuing Bank in the currency in which the applicable Letter of Credit is denominated) be denominated in Dollars based on the Dollar Equivalent amount of the applicable drawing.</w:t>
      </w:r>
    </w:p>
    <w:p>
      <w:pPr>
        <w:spacing w:after="0" w:line="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xml:space="preserve">” means, at any time, with respect to any Revolving Facility, the Dollar Equivalent of the sum of (a) the aggregate undrawn amount of all outstanding Letters of Credit under such Revolving Facility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aggregate amount of all LC Disbursements in respect of Letters of Credit outstanding under such Revolving Facility that have not yet been reimbursed by or on behalf of the Borrowers at such time. The LC Exposure of any Revolving Lender under any Revolving Facility at any time shall be its Ratable Portion of the total LC Exposure under such Revolving Facility at such time.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Fees</w:t>
      </w:r>
      <w:r>
        <w:rPr>
          <w:rFonts w:ascii="Times New Roman" w:cs="Times New Roman" w:eastAsia="Times New Roman" w:hAnsi="Times New Roman"/>
          <w:sz w:val="20"/>
          <w:szCs w:val="20"/>
          <w:color w:val="auto"/>
        </w:rPr>
        <w:t>” has the meaning assigned to such term in Section 2.10(b)(ii).</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has the meaning provided in Section 1.10.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has the meaning provided in Section 1.10.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Parent</w:t>
      </w:r>
      <w:r>
        <w:rPr>
          <w:rFonts w:ascii="Times New Roman" w:cs="Times New Roman" w:eastAsia="Times New Roman" w:hAnsi="Times New Roman"/>
          <w:sz w:val="20"/>
          <w:szCs w:val="20"/>
          <w:color w:val="auto"/>
        </w:rPr>
        <w:t>” means, with respect to any Lender, any Person as to which such Lender is, directly or indirectly, a subsidiary.</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means the lenders having Commitments or Loans from time to time or at any time and, as the context requires, includes the Issuing Banks and their respective successors and assigns as permitted hereunder and any other Person that shall have become a party hereto pursuant to Section 2.19 or an Assignment and Assumption, other than any such Person that ceases to be a party hereto pursuant to an Assignment and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91" w:name="page192"/>
    <w:bookmarkEnd w:id="191"/>
    <w:p>
      <w:pPr>
        <w:ind w:right="10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 letter of credit issued pursuant to Section 2.04(a). A Letter of Credit may only be issued as a standby letter of credit. Letters of Credit shall not be issued in a form that would permit the face amount to be reinstated upon the occurrence of a draw under such letter of credit.</w:t>
      </w:r>
    </w:p>
    <w:p>
      <w:pPr>
        <w:spacing w:after="0" w:line="7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means, with respect to each Issuing Bank, the commitment of such Issuing Bank to issue Letters of Credit hereunder. The initial amount of each Issuing Bank’s Letter of Credit Commitment is set forth on the Commitments Schedule under the heading “Letter of Credit Commitments,” or if an Issuing Bank has entered into an Assignment and Assumption, the amount set forth for such Issuing Bank as its Letter of Credit Commitment in the Register maintained by the Agent.</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UCC (or equivalent statutes) of any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 operating lease or license be deemed to constitute a Lien.</w:t>
      </w:r>
    </w:p>
    <w:p>
      <w:pPr>
        <w:spacing w:after="0" w:line="65"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means any acquisition of an Acquired Entity or Business by the Borrower or any Restricted Subsidiary the consummation of which is not conditioned on the availability of financing.</w:t>
      </w:r>
    </w:p>
    <w:p>
      <w:pPr>
        <w:spacing w:after="0" w:line="3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any promissory notes issued pursuant to this Agreement and the Collateral Documents. Any reference in this Agreement or any other Loan Document to a Loan Document shall include all appendices, exhibits or schedules thereto, and all amendments, restatements, supplements or other modifications thereto.</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Guarantor</w:t>
      </w:r>
      <w:r>
        <w:rPr>
          <w:rFonts w:ascii="Times New Roman" w:cs="Times New Roman" w:eastAsia="Times New Roman" w:hAnsi="Times New Roman"/>
          <w:sz w:val="20"/>
          <w:szCs w:val="20"/>
          <w:color w:val="auto"/>
        </w:rPr>
        <w:t>” means each Loan Party (other than the Borrowers).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Guaranty</w:t>
      </w:r>
      <w:r>
        <w:rPr>
          <w:rFonts w:ascii="Times New Roman" w:cs="Times New Roman" w:eastAsia="Times New Roman" w:hAnsi="Times New Roman"/>
          <w:sz w:val="20"/>
          <w:szCs w:val="20"/>
          <w:color w:val="auto"/>
        </w:rPr>
        <w:t>” means Article X of this Agreement.</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Holdings, each Borrower, each of the Domestic Subsidiaries of the U.S. Borrower that is a party to this Agreement as a Loan Guarantor on the Closing Date or that becomes a party to this Agreement as a Loan Guarantor pursuant to a Joinder Agreement, and their respective successors and assigns except for any such Domestic Subsidiary that has been released as a Loan Guarantor in accordance herewith.</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collectively, the Revolving Loans and Term Loans.</w:t>
      </w:r>
    </w:p>
    <w:p>
      <w:pPr>
        <w:spacing w:after="0" w:line="10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Loss Sharing Agreement</w:t>
      </w:r>
      <w:r>
        <w:rPr>
          <w:rFonts w:ascii="Times New Roman" w:cs="Times New Roman" w:eastAsia="Times New Roman" w:hAnsi="Times New Roman"/>
          <w:sz w:val="20"/>
          <w:szCs w:val="20"/>
          <w:color w:val="auto"/>
        </w:rPr>
        <w:t>” means the Loss Sharing Agreement, dated as of the Closing Date among the Lenders (it being understood that no Loan Party and no Borrower is a party to such agreement), as the same may be amended or supplemented from time to time.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 Borrower</w:t>
      </w:r>
      <w:r>
        <w:rPr>
          <w:rFonts w:ascii="Times New Roman" w:cs="Times New Roman" w:eastAsia="Times New Roman" w:hAnsi="Times New Roman"/>
          <w:sz w:val="20"/>
          <w:szCs w:val="20"/>
          <w:color w:val="auto"/>
        </w:rPr>
        <w:t>” has the meaning assigned to such term in the preamble to this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Lending Office</w:t>
      </w:r>
      <w:r>
        <w:rPr>
          <w:rFonts w:ascii="Times New Roman" w:cs="Times New Roman" w:eastAsia="Times New Roman" w:hAnsi="Times New Roman"/>
          <w:sz w:val="20"/>
          <w:szCs w:val="20"/>
          <w:color w:val="auto"/>
        </w:rPr>
        <w:t>” means, with respect to any Lender, the office of such Lender specified as its “Luxembourg Lending Office” in its Administrative Questionnaire or such other office of such Lender as such Lender may from time to time specify to the U.S. Borrower and the Agent.</w:t>
      </w:r>
    </w:p>
    <w:p>
      <w:pPr>
        <w:spacing w:after="0" w:line="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Management Stockholders</w:t>
      </w:r>
      <w:r>
        <w:rPr>
          <w:rFonts w:ascii="Times New Roman" w:cs="Times New Roman" w:eastAsia="Times New Roman" w:hAnsi="Times New Roman"/>
          <w:sz w:val="20"/>
          <w:szCs w:val="20"/>
          <w:color w:val="auto"/>
        </w:rPr>
        <w:t>” means the members of management (and their Controlled Investment Affiliates and Immediate Family Members) of the U.S. Borrower or its direct or indirect parent who are holders of Equity Interests of any direct or indirect parent company of the U.S. Borrower on the Closing Date.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has the meaning assigned to such term in Regulation 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92" w:name="page193"/>
    <w:bookmarkEnd w:id="192"/>
    <w:p>
      <w:pPr>
        <w:ind w:right="14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assets, operations or financial condition of the U.S. Borrower and the Restricted Subsidiaries taken as a whole, (b) the ability of the Borrowers and the other Loan Parties (taken as a whole) to perform their payment obligations under the Loan Documents or (c) the rights of, or remedies available to the Agent or the Lenders under the Loan Documents.</w:t>
      </w:r>
    </w:p>
    <w:p>
      <w:pPr>
        <w:spacing w:after="0" w:line="6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or obligations in respect of one or more Hedge Agreements, of any one or more of the U.S. Borrower and the Restricted Subsidiaries in an aggregate principal amount exceeding $150.0 million. For purposes of determining Material Indebtedness, the “obligations” of the U.S. Borrower or any Restricted Subsidiary in respect of any Hedge Agreement at any time shall be the maximum aggregate amount (giving effect to any netting agreements) that the U.S. Borrower or such Restricted Subsidiary would be required to pay if such Hedge Agreement were terminated at such time.</w:t>
      </w:r>
    </w:p>
    <w:p>
      <w:pPr>
        <w:spacing w:after="0" w:line="6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Incremental Amount</w:t>
      </w:r>
      <w:r>
        <w:rPr>
          <w:rFonts w:ascii="Times New Roman" w:cs="Times New Roman" w:eastAsia="Times New Roman" w:hAnsi="Times New Roman"/>
          <w:sz w:val="19"/>
          <w:szCs w:val="19"/>
          <w:color w:val="auto"/>
        </w:rPr>
        <w:t xml:space="preserve">” means, at any time, the sum of (a)(i)(x) prior to the 2024 Refinancing Amendments Effective Date, $1,400.0 million and (y) from and after the 2024 Refinancing Amendments Effective Date, the greater of $1,400.0 million and 100% of EBITDA for the most recently ended Test Period as of the time such Indebtedness is incurred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Dollar Equivalent amount (measured at the time of incurrence) of New Term Loans, New Revolving Commitments and Permitted Alternative Incremental Facilities Debt previously established or incurred in reliance on this clause (a)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aggregate Dollar Equivalent amount (measured at the time of prepayment or reduction) of Term Loans and Revolving Commitments outstanding on the Closing Date (or established pursuant to clause</w:t>
      </w:r>
    </w:p>
    <w:p>
      <w:pPr>
        <w:spacing w:after="0" w:line="4" w:lineRule="exact"/>
        <w:rPr>
          <w:sz w:val="20"/>
          <w:szCs w:val="20"/>
          <w:color w:val="auto"/>
        </w:rPr>
      </w:pPr>
    </w:p>
    <w:p>
      <w:pPr>
        <w:ind w:firstLine="8"/>
        <w:spacing w:after="0" w:line="262" w:lineRule="auto"/>
        <w:tabs>
          <w:tab w:leader="none" w:pos="269"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above) that are optionally prepaid or optionally reduced (other than with the proceeds of long-term Indebtedness (other than borrowings under any revolving credit facility) and other than Revolving Commitments replaced with New Revolving Commitments) following the Closing Date and on or prior to such time (and, in the case of any prepayment of Term Loans pursuant to Section 2.08(d), based on the Dollar Equivalent amount (measured at the time of each applicable prepayment) expended by the Borrowers pursuant to such Section 2.08(d) and not the principal amount)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(c) an unlimited amount so long as, in the case of this clause (c) only, on a pro forma basis (including the application of proceeds therefrom but excluding any increase in cash and cash equivalents and (i) treating any New Revolving Commitments established pursuant to this clause (c) as fully drawn and (ii) prior to the 2024 Refinancing Amendments Effective Date, treating all Permitted Alternative Incremental Facilities Debt incurred pursuant to this clause (c) as secured by Liens whether or not actually secured (but without giving effect to any substantially simultaneous incurrence of any New Term Loans, New Revolving Commitments or Permitted Alternative Incremental Facilities made pursuant to the foregoing clauses (a) and (b))) (i)(x) prior to the 2024 Refinancing Amendments Effective Date, the Consolidated Secured Debt Ratio would not exceed 3.00 to 1.00 and (y) from and after the 2024 Refinancing Amendments Effective Date, the Consolidated Secured Debt Ratio would not exceed 3.50 to 1.00 (or, if incurred in connection with an acquisition or similar Investment, the Consolidated Secured Debt Ratio in effect immediately prior to such acquisition or the making of such Investment) or (ii) from and after the 2024 Refinancing Amendments Effective Date, (x) with respect to Permitted Alternative Incremental Facilities Debt incurred pursuant to this clause (c) and secured by the Collateral on a junior basis, the Consolidated Secured Debt Ratio would not exceed 3.75 to 1.00 (or, if incurred in connection with an acquisition or similar Investment, the Consolidated Secured Debt Ratio in effect immediately prior to such acquisition or the making of such Investment) and (y) with respect to Permitted Alternative Incremental Facilities Debt incurred pursuant to this clause (c) that is unsecured or secured by assets that do not constitute Collateral, the Consolidated Leverage Ratio would not exceed 4.25 to 1.00 (or, if incurred in connection with an acquisition or similar Investment, the Consolidated Leverage Ratio in effect immediately prior to such acquisition or the making of such Investment) (it being understood that the Borrowers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0"/>
          <w:szCs w:val="20"/>
          <w:color w:val="auto"/>
        </w:rPr>
        <w:t>deemed to have used amounts under clause (c) (to the extent compliant herewith) prior to utilization of amounts under clause (a) or (b)).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Liability</w:t>
      </w:r>
      <w:r>
        <w:rPr>
          <w:rFonts w:ascii="Times New Roman" w:cs="Times New Roman" w:eastAsia="Times New Roman" w:hAnsi="Times New Roman"/>
          <w:sz w:val="20"/>
          <w:szCs w:val="20"/>
          <w:color w:val="auto"/>
        </w:rPr>
        <w:t>” has the meaning assigned to such term in Section 10.09.</w:t>
      </w:r>
    </w:p>
    <w:p>
      <w:pPr>
        <w:spacing w:after="0" w:line="10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Currency Threshold</w:t>
      </w:r>
      <w:r>
        <w:rPr>
          <w:rFonts w:ascii="Times New Roman" w:cs="Times New Roman" w:eastAsia="Times New Roman" w:hAnsi="Times New Roman"/>
          <w:sz w:val="20"/>
          <w:szCs w:val="20"/>
          <w:color w:val="auto"/>
        </w:rPr>
        <w:t>” means (i) in the case of Base Rate Loans, $2.0 million or an integral multiple of $1.0 million in excess thereof, (ii) in the case of Term Benchmark Loans, $5.0 million or an integral multiple of $1.0 million in excess thereof, (iii) in the case of Eurocurrency Rate Loans denominated in Euro, €2.0 million or an integral multiple of €1.0 million in excess thereof, (iv) in the case of SONIA Rate Loans denominated in Sterling, £1.0 million or an integral multiple of £500,000 in excess thereof and (v) in the case of Term CORRA Rate Loans, C$1.0 million or an integral multiple of C$1.0 million in excess thereof.</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to its rating agency business.</w:t>
      </w:r>
    </w:p>
    <w:p>
      <w:pPr>
        <w:spacing w:after="0" w:line="12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Mortgaged Properties</w:t>
      </w:r>
      <w:r>
        <w:rPr>
          <w:rFonts w:ascii="Times New Roman" w:cs="Times New Roman" w:eastAsia="Times New Roman" w:hAnsi="Times New Roman"/>
          <w:sz w:val="20"/>
          <w:szCs w:val="20"/>
          <w:color w:val="auto"/>
        </w:rPr>
        <w:t xml:space="preserve">” means, initially, the owned real properties of the Loan Parties specified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and shall include each other parcel of real property and improvements thereto with respect to which a Mortgage is granted pursuant to Section 5.11.</w:t>
      </w:r>
    </w:p>
    <w:p>
      <w:pPr>
        <w:spacing w:after="0" w:line="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Mortgages</w:t>
      </w:r>
      <w:r>
        <w:rPr>
          <w:rFonts w:ascii="Times New Roman" w:cs="Times New Roman" w:eastAsia="Times New Roman" w:hAnsi="Times New Roman"/>
          <w:sz w:val="20"/>
          <w:szCs w:val="20"/>
          <w:color w:val="auto"/>
        </w:rPr>
        <w:t>” means any mortgage, deed of trust or other agreement which conveys or evidences a Lien in favor of the Agent, for the benefit of the Agent and the other Secured Parties, on fee-owned real property of a Loan Party, including any amendment, modification or supplement thereto.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3(37) or 4001(a)(3) of ERISA.</w:t>
      </w:r>
    </w:p>
    <w:p>
      <w:pPr>
        <w:spacing w:after="0" w:line="10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means, with respect to any Prepayment Event, (a) the gross cash proceeds (including payments from time to time in respect of installment obligations, if applicable) as and when actually received by or freely transferable for the account of the U.S. Borrower or any of the Restricted Subsidiaries in respect of such Prepayment Event, less (b) the sum of:</w:t>
      </w:r>
    </w:p>
    <w:p>
      <w:pPr>
        <w:spacing w:after="0" w:line="53" w:lineRule="exact"/>
        <w:rPr>
          <w:sz w:val="20"/>
          <w:szCs w:val="20"/>
          <w:color w:val="auto"/>
        </w:rPr>
      </w:pPr>
    </w:p>
    <w:p>
      <w:pPr>
        <w:ind w:left="660" w:right="140" w:firstLine="194"/>
        <w:spacing w:after="0" w:line="283" w:lineRule="auto"/>
        <w:tabs>
          <w:tab w:leader="none" w:pos="124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if any, of all taxes paid or estimated to be payable by the U.S. Borrower or any of the Restricted Subsidiaries in connection with such Prepayment Event,</w:t>
      </w:r>
    </w:p>
    <w:p>
      <w:pPr>
        <w:spacing w:after="0" w:line="146" w:lineRule="exact"/>
        <w:rPr>
          <w:rFonts w:ascii="Times New Roman" w:cs="Times New Roman" w:eastAsia="Times New Roman" w:hAnsi="Times New Roman"/>
          <w:sz w:val="20"/>
          <w:szCs w:val="20"/>
          <w:color w:val="auto"/>
        </w:rPr>
      </w:pPr>
    </w:p>
    <w:p>
      <w:pPr>
        <w:ind w:left="660" w:firstLine="194"/>
        <w:spacing w:after="0" w:line="251" w:lineRule="auto"/>
        <w:tabs>
          <w:tab w:leader="none" w:pos="1297"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reasonable reserve established in accordance with GAAP in respect of (A) the sale price of the assets that are the subject of an Asset Sale Prepayment Event (including in respect of working capital adjustments or an evaluation of such assets) or (B) any liabilities (other than any taxes deducted pursuant to clause (i) above) (x) associated with the assets that are the subject of such Prepayment Event and (y) retained by the U.S. Borrower or any of the Restricted Subsidiaries, including pension and other post-employment benefit liabilities and liabilities related to environmental matters or against any indemnification obligations associated with such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subsequent reduction of such reserve (other than in connection with a payment in respect of any purchase price adjustments or such liability) shall be deemed to be Net Cash Proceeds of such a Prepayment Event occurring on the date of such reduction,</w:t>
      </w:r>
    </w:p>
    <w:p>
      <w:pPr>
        <w:spacing w:after="0" w:line="195" w:lineRule="exact"/>
        <w:rPr>
          <w:rFonts w:ascii="Times New Roman" w:cs="Times New Roman" w:eastAsia="Times New Roman" w:hAnsi="Times New Roman"/>
          <w:sz w:val="20"/>
          <w:szCs w:val="20"/>
          <w:color w:val="auto"/>
        </w:rPr>
      </w:pPr>
    </w:p>
    <w:p>
      <w:pPr>
        <w:ind w:left="660" w:right="60" w:firstLine="194"/>
        <w:spacing w:after="0" w:line="253" w:lineRule="auto"/>
        <w:tabs>
          <w:tab w:leader="none" w:pos="135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premium or penalty, if any, interest and other amounts payable on or in respect of any Indebtedness secured by a Lien on the assets that are the subject of such Prepayment Event (other than Indebtedness under this Agreement and Indebtedness secured on a pari passu basis with or junior priority basis to the Obligations) to the extent that such Indebtedness is, or under the instrument creating or evidencing such Indebtedness, is required to be repaid upon consummation of such Prepayment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60"/>
          </w:cols>
          <w:pgMar w:left="320" w:top="1413" w:right="419" w:bottom="1440" w:gutter="0" w:footer="0" w:header="0"/>
        </w:sectPr>
      </w:pPr>
    </w:p>
    <w:bookmarkStart w:id="194" w:name="page195"/>
    <w:bookmarkEnd w:id="194"/>
    <w:p>
      <w:pPr>
        <w:ind w:left="660" w:firstLine="194"/>
        <w:spacing w:after="0" w:line="253" w:lineRule="auto"/>
        <w:tabs>
          <w:tab w:leader="none" w:pos="134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Asset Sale Prepayment Event or Casualty Event, the amount of any proceeds of such Prepayment Event that the U.S. Borrower or any Restricted Subsidiary has reinvested (or intends to reinvest within the Reinvestment Period) in the business of the U.S. Borrower or any of the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portion of such proceeds that has not been so reinvested within such Reinvestment Period (with respect to such Prepayment Event, the “</w:t>
      </w:r>
      <w:r>
        <w:rPr>
          <w:rFonts w:ascii="Times New Roman" w:cs="Times New Roman" w:eastAsia="Times New Roman" w:hAnsi="Times New Roman"/>
          <w:sz w:val="20"/>
          <w:szCs w:val="20"/>
          <w:u w:val="single" w:color="auto"/>
          <w:color w:val="auto"/>
        </w:rPr>
        <w:t>Deferred Net Cash Proceeds</w:t>
      </w:r>
      <w:r>
        <w:rPr>
          <w:rFonts w:ascii="Times New Roman" w:cs="Times New Roman" w:eastAsia="Times New Roman" w:hAnsi="Times New Roman"/>
          <w:sz w:val="20"/>
          <w:szCs w:val="20"/>
          <w:color w:val="auto"/>
        </w:rPr>
        <w:t>”) shall (x) be deemed to be Net Cash Proceeds of an Asset Sale Prepayment Event or Casualty Event occurring on the last day of such Reinvestment Period, and (y) be applied to the repayment of Term Loans in accordance with Section 2.09(b) and</w:t>
      </w:r>
    </w:p>
    <w:p>
      <w:pPr>
        <w:spacing w:after="0" w:line="192" w:lineRule="exact"/>
        <w:rPr>
          <w:rFonts w:ascii="Times New Roman" w:cs="Times New Roman" w:eastAsia="Times New Roman" w:hAnsi="Times New Roman"/>
          <w:sz w:val="20"/>
          <w:szCs w:val="20"/>
          <w:color w:val="auto"/>
        </w:rPr>
      </w:pPr>
    </w:p>
    <w:p>
      <w:pPr>
        <w:ind w:left="1280" w:hanging="426"/>
        <w:spacing w:after="0"/>
        <w:tabs>
          <w:tab w:leader="none" w:pos="12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reasonable out-of-pocket fees and expenses actually incurred in connection with such Prepayment Event.</w:t>
      </w:r>
    </w:p>
    <w:p>
      <w:pPr>
        <w:spacing w:after="0" w:line="2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Income</w:t>
      </w:r>
      <w:r>
        <w:rPr>
          <w:rFonts w:ascii="Times New Roman" w:cs="Times New Roman" w:eastAsia="Times New Roman" w:hAnsi="Times New Roman"/>
          <w:sz w:val="20"/>
          <w:szCs w:val="20"/>
          <w:color w:val="auto"/>
        </w:rPr>
        <w:t>” means, with respect to any Person, the net income (loss) of such Person, determined in accordance with GAAP and before any reduction in respect of Preferred Stock dividends.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Short Lender</w:t>
      </w:r>
      <w:r>
        <w:rPr>
          <w:rFonts w:ascii="Times New Roman" w:cs="Times New Roman" w:eastAsia="Times New Roman" w:hAnsi="Times New Roman"/>
          <w:sz w:val="20"/>
          <w:szCs w:val="20"/>
          <w:color w:val="auto"/>
        </w:rPr>
        <w:t>” has the meaning assigned to such term in Section 10.02(e).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Neubauer Stockholders</w:t>
      </w:r>
      <w:r>
        <w:rPr>
          <w:rFonts w:ascii="Times New Roman" w:cs="Times New Roman" w:eastAsia="Times New Roman" w:hAnsi="Times New Roman"/>
          <w:sz w:val="20"/>
          <w:szCs w:val="20"/>
          <w:color w:val="auto"/>
        </w:rPr>
        <w:t>” means Joseph Neubauer and his Controlled Investment Affiliates.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Commitments</w:t>
      </w:r>
      <w:r>
        <w:rPr>
          <w:rFonts w:ascii="Times New Roman" w:cs="Times New Roman" w:eastAsia="Times New Roman" w:hAnsi="Times New Roman"/>
          <w:sz w:val="20"/>
          <w:szCs w:val="20"/>
          <w:color w:val="auto"/>
        </w:rPr>
        <w:t>” has the meaning assigned thereto in Section 2.19(a).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Lender</w:t>
      </w:r>
      <w:r>
        <w:rPr>
          <w:rFonts w:ascii="Times New Roman" w:cs="Times New Roman" w:eastAsia="Times New Roman" w:hAnsi="Times New Roman"/>
          <w:sz w:val="20"/>
          <w:szCs w:val="20"/>
          <w:color w:val="auto"/>
        </w:rPr>
        <w:t>” means each Lender providing a New Commitment.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Revolving Commitments</w:t>
      </w:r>
      <w:r>
        <w:rPr>
          <w:rFonts w:ascii="Times New Roman" w:cs="Times New Roman" w:eastAsia="Times New Roman" w:hAnsi="Times New Roman"/>
          <w:sz w:val="20"/>
          <w:szCs w:val="20"/>
          <w:color w:val="auto"/>
        </w:rPr>
        <w:t>” has the meaning assigned thereto in Section 2.19(a).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Revolving Facility</w:t>
      </w:r>
      <w:r>
        <w:rPr>
          <w:rFonts w:ascii="Times New Roman" w:cs="Times New Roman" w:eastAsia="Times New Roman" w:hAnsi="Times New Roman"/>
          <w:sz w:val="20"/>
          <w:szCs w:val="20"/>
          <w:color w:val="auto"/>
        </w:rPr>
        <w:t>” has the meaning assigned thereto in Section 2.19(a).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Revolving Lender</w:t>
      </w:r>
      <w:r>
        <w:rPr>
          <w:rFonts w:ascii="Times New Roman" w:cs="Times New Roman" w:eastAsia="Times New Roman" w:hAnsi="Times New Roman"/>
          <w:sz w:val="20"/>
          <w:szCs w:val="20"/>
          <w:color w:val="auto"/>
        </w:rPr>
        <w:t>” has the meaning assigned thereto in Section 2.19(b).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Revolving Loan</w:t>
      </w:r>
      <w:r>
        <w:rPr>
          <w:rFonts w:ascii="Times New Roman" w:cs="Times New Roman" w:eastAsia="Times New Roman" w:hAnsi="Times New Roman"/>
          <w:sz w:val="20"/>
          <w:szCs w:val="20"/>
          <w:color w:val="auto"/>
        </w:rPr>
        <w:t>” has the meaning assigned thereto in Section 2.19(b).</w:t>
      </w:r>
    </w:p>
    <w:p>
      <w:pPr>
        <w:spacing w:after="0" w:line="10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Senior Dollar Notes</w:t>
      </w:r>
      <w:r>
        <w:rPr>
          <w:rFonts w:ascii="Times New Roman" w:cs="Times New Roman" w:eastAsia="Times New Roman" w:hAnsi="Times New Roman"/>
          <w:sz w:val="20"/>
          <w:szCs w:val="20"/>
          <w:color w:val="auto"/>
        </w:rPr>
        <w:t>” means $600 million aggregate principal amount of senior notes due 2025 of the U.S. Borrower issued on March 22, 2017.</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Senior Euro Notes</w:t>
      </w:r>
      <w:r>
        <w:rPr>
          <w:rFonts w:ascii="Times New Roman" w:cs="Times New Roman" w:eastAsia="Times New Roman" w:hAnsi="Times New Roman"/>
          <w:sz w:val="19"/>
          <w:szCs w:val="19"/>
          <w:color w:val="auto"/>
        </w:rPr>
        <w:t>” means €325 million aggregate principal amount of senior notes due 2025 of Aramark International Finance S.à r.l.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issued on March 27, 2017.</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Senior Notes</w:t>
      </w:r>
      <w:r>
        <w:rPr>
          <w:rFonts w:ascii="Times New Roman" w:cs="Times New Roman" w:eastAsia="Times New Roman" w:hAnsi="Times New Roman"/>
          <w:sz w:val="20"/>
          <w:szCs w:val="20"/>
          <w:color w:val="auto"/>
        </w:rPr>
        <w:t>” means, collectively, the New Senior Dollar Notes and the New Senior Euro Notes.</w:t>
      </w:r>
    </w:p>
    <w:p>
      <w:pPr>
        <w:spacing w:after="0" w:line="12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Senior Note Documents</w:t>
      </w:r>
      <w:r>
        <w:rPr>
          <w:rFonts w:ascii="Times New Roman" w:cs="Times New Roman" w:eastAsia="Times New Roman" w:hAnsi="Times New Roman"/>
          <w:sz w:val="20"/>
          <w:szCs w:val="20"/>
          <w:color w:val="auto"/>
        </w:rPr>
        <w:t>” means the New Senior Dollar Notes Indenture, the New Senior Euro Notes Indenture and all other instruments, agreements and other documents evidencing the New Senior Notes or providing for any guarantee or other right in respect thereof.</w:t>
      </w:r>
    </w:p>
    <w:p>
      <w:pPr>
        <w:spacing w:after="0" w:line="73"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Senior Dollar Notes Indenture</w:t>
      </w:r>
      <w:r>
        <w:rPr>
          <w:rFonts w:ascii="Times New Roman" w:cs="Times New Roman" w:eastAsia="Times New Roman" w:hAnsi="Times New Roman"/>
          <w:sz w:val="20"/>
          <w:szCs w:val="20"/>
          <w:color w:val="auto"/>
        </w:rPr>
        <w:t>” means the Indenture dated as of March 22, 2017, among the U.S. Borrower, as issuer, certain of its subsidiaries, as guarantors, and The Bank of New York, as trustee, pursuant to which the New Senior Dollar Notes are issued.</w:t>
      </w:r>
    </w:p>
    <w:p>
      <w:pPr>
        <w:spacing w:after="0" w:line="6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Senior Euro Notes Indenture</w:t>
      </w:r>
      <w:r>
        <w:rPr>
          <w:rFonts w:ascii="Times New Roman" w:cs="Times New Roman" w:eastAsia="Times New Roman" w:hAnsi="Times New Roman"/>
          <w:sz w:val="20"/>
          <w:szCs w:val="20"/>
          <w:color w:val="auto"/>
        </w:rPr>
        <w:t>” means the Indenture dated as of March 27, 2016, among Aramark International Finance S.à r.l., as issuer, certain of its subsidiaries, as guarantors, and The Bank of New York, as trustee, pursuant to which the New Senior Euro Notes are issued.</w:t>
      </w:r>
    </w:p>
    <w:p>
      <w:pPr>
        <w:spacing w:after="0" w:line="7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Term A Loans</w:t>
      </w:r>
      <w:r>
        <w:rPr>
          <w:rFonts w:ascii="Times New Roman" w:cs="Times New Roman" w:eastAsia="Times New Roman" w:hAnsi="Times New Roman"/>
          <w:sz w:val="20"/>
          <w:szCs w:val="20"/>
          <w:color w:val="auto"/>
        </w:rPr>
        <w:t>” means New Term Loans that are designated in the applicable supplement pursuant to Section 2.19 as “New Term A Loans,” which designation shall only be permitted to the extent the Agent (acting reasonably) determines in consultation with the U.S. Borrower that such New Term Loans are being syndicated primarily to Persons regulated as banks in the primary syndication thereof (it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60"/>
          </w:cols>
          <w:pgMar w:left="320" w:top="1413" w:right="419" w:bottom="1440" w:gutter="0" w:footer="0" w:header="0"/>
        </w:sectPr>
      </w:pPr>
    </w:p>
    <w:bookmarkStart w:id="195" w:name="page196"/>
    <w:bookmarkEnd w:id="195"/>
    <w:p>
      <w:pPr>
        <w:ind w:right="200"/>
        <w:spacing w:after="0" w:line="283" w:lineRule="auto"/>
        <w:rPr>
          <w:sz w:val="20"/>
          <w:szCs w:val="20"/>
          <w:color w:val="auto"/>
        </w:rPr>
      </w:pPr>
      <w:r>
        <w:rPr>
          <w:rFonts w:ascii="Times New Roman" w:cs="Times New Roman" w:eastAsia="Times New Roman" w:hAnsi="Times New Roman"/>
          <w:sz w:val="20"/>
          <w:szCs w:val="20"/>
          <w:color w:val="auto"/>
        </w:rPr>
        <w:t>understood that the New Term Loans established pursuant to Incremental Amendment No. 1 and Incremental Amendment No. 3 are hereby designated as “New Term A Loans”).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Term Commitments</w:t>
      </w:r>
      <w:r>
        <w:rPr>
          <w:rFonts w:ascii="Times New Roman" w:cs="Times New Roman" w:eastAsia="Times New Roman" w:hAnsi="Times New Roman"/>
          <w:sz w:val="20"/>
          <w:szCs w:val="20"/>
          <w:color w:val="auto"/>
        </w:rPr>
        <w:t>” has the meaning assigned thereto in Section 2.19(a).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Term Loan</w:t>
      </w:r>
      <w:r>
        <w:rPr>
          <w:rFonts w:ascii="Times New Roman" w:cs="Times New Roman" w:eastAsia="Times New Roman" w:hAnsi="Times New Roman"/>
          <w:sz w:val="20"/>
          <w:szCs w:val="20"/>
          <w:color w:val="auto"/>
        </w:rPr>
        <w:t>” has the meaning assigned thereto in Section 2.19(c).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Term Loan Lender</w:t>
      </w:r>
      <w:r>
        <w:rPr>
          <w:rFonts w:ascii="Times New Roman" w:cs="Times New Roman" w:eastAsia="Times New Roman" w:hAnsi="Times New Roman"/>
          <w:sz w:val="20"/>
          <w:szCs w:val="20"/>
          <w:color w:val="auto"/>
        </w:rPr>
        <w:t>” has the meaning assigned thereto in Section 2.19(c).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has the meaning assigned to such term in Section 9.02(e).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Non-Funding Lender</w:t>
      </w:r>
      <w:r>
        <w:rPr>
          <w:rFonts w:ascii="Times New Roman" w:cs="Times New Roman" w:eastAsia="Times New Roman" w:hAnsi="Times New Roman"/>
          <w:sz w:val="20"/>
          <w:szCs w:val="20"/>
          <w:color w:val="auto"/>
        </w:rPr>
        <w:t>” has the meaning provided in Section 2.02(e).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Non-Paying Guarantor</w:t>
      </w:r>
      <w:r>
        <w:rPr>
          <w:rFonts w:ascii="Times New Roman" w:cs="Times New Roman" w:eastAsia="Times New Roman" w:hAnsi="Times New Roman"/>
          <w:sz w:val="20"/>
          <w:szCs w:val="20"/>
          <w:color w:val="auto"/>
        </w:rPr>
        <w:t>” has the meaning assigned to such term in Section 10.10.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Lender</w:t>
      </w:r>
      <w:r>
        <w:rPr>
          <w:rFonts w:ascii="Times New Roman" w:cs="Times New Roman" w:eastAsia="Times New Roman" w:hAnsi="Times New Roman"/>
          <w:sz w:val="20"/>
          <w:szCs w:val="20"/>
          <w:color w:val="auto"/>
        </w:rPr>
        <w:t>” means a Lender that is not a “United States person” within the meaning of Section 7701(a)(30) of the Code.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12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NYFRB Rate</w:t>
      </w:r>
      <w:r>
        <w:rPr>
          <w:rFonts w:ascii="Times New Roman" w:cs="Times New Roman" w:eastAsia="Times New Roman" w:hAnsi="Times New Roman"/>
          <w:sz w:val="19"/>
          <w:szCs w:val="19"/>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none of such rates is published for any day that is a Business Day, the term “NYFRB Rate” means the rate for a federal funds transaction quoted at 11:00 a.m. on such day received by the Agent from a Federal funds broker of recognized standing selected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any of the aforesaid rates shall be less than zero, such rate shall be deemed to be zero for purposes of this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has the meaning assigned to such term in Section 10.02.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the Domestic Obligations and the Foreign Obligations.</w:t>
      </w:r>
    </w:p>
    <w:p>
      <w:pPr>
        <w:spacing w:after="0" w:line="108"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Officer</w:t>
      </w:r>
      <w:r>
        <w:rPr>
          <w:rFonts w:ascii="Times New Roman" w:cs="Times New Roman" w:eastAsia="Times New Roman" w:hAnsi="Times New Roman"/>
          <w:sz w:val="20"/>
          <w:szCs w:val="20"/>
          <w:color w:val="auto"/>
        </w:rPr>
        <w:t>” means the Chairman of the Board, the Chief Executive Officer, the President, the Chief Financial Officer, the Treasurer, any Executive Vice President, Senior Vice President or Vice President or the Secretary of the U.S. Borrower.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means a certificate signed on behalf of the U.S. Borrower by an Officer of the U.S. Borrower.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has the meaning assigned to such term in Section 3.13(b).</w:t>
      </w:r>
    </w:p>
    <w:p>
      <w:pPr>
        <w:spacing w:after="0" w:line="10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any and all present or future stamp, registration, court or documentary, intangible, recording, filing or similar Taxes arising from any payment made or required to be made under, from the execution, delivery performance, enforcement or registration of, from the receipt or perfection of a security interest under, or otherwise with respect to, this Agreement or any other Loan Document, except any such Taxes described in clauses (a) or (b) of the definition of Excluded Taxes which are imposed with respect to an assignment (other than an assignment made pursuant to Section 2.17(b)).</w:t>
      </w:r>
    </w:p>
    <w:p>
      <w:pPr>
        <w:spacing w:after="0" w:line="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assigned to such term in Section 9.04(c).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assigned to such term in Section 9.04(c).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Paying Guarantor</w:t>
      </w:r>
      <w:r>
        <w:rPr>
          <w:rFonts w:ascii="Times New Roman" w:cs="Times New Roman" w:eastAsia="Times New Roman" w:hAnsi="Times New Roman"/>
          <w:sz w:val="20"/>
          <w:szCs w:val="20"/>
          <w:color w:val="auto"/>
        </w:rPr>
        <w:t>” has the meaning assigned to such term in Section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96" w:name="page197"/>
    <w:bookmarkEnd w:id="196"/>
    <w:p>
      <w:pPr>
        <w:ind w:right="40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xml:space="preserve">” means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the Security Agreement or any other form approved by the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CORRA Determination Day</w:t>
      </w:r>
      <w:r>
        <w:rPr>
          <w:rFonts w:ascii="Times New Roman" w:cs="Times New Roman" w:eastAsia="Times New Roman" w:hAnsi="Times New Roman"/>
          <w:sz w:val="20"/>
          <w:szCs w:val="20"/>
          <w:color w:val="auto"/>
        </w:rPr>
        <w:t>” has the meaning assigned to such term in the definition of “Term CORRA 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Alternative Incremental Facilities Debt</w:t>
      </w:r>
      <w:r>
        <w:rPr>
          <w:rFonts w:ascii="Times New Roman" w:cs="Times New Roman" w:eastAsia="Times New Roman" w:hAnsi="Times New Roman"/>
          <w:sz w:val="20"/>
          <w:szCs w:val="20"/>
          <w:color w:val="auto"/>
        </w:rPr>
        <w:t>” has the meaning assigned to such term in Section 6.01(b)(xxvii).</w:t>
      </w:r>
    </w:p>
    <w:p>
      <w:pPr>
        <w:spacing w:after="0" w:line="121"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Business</w:t>
      </w:r>
      <w:r>
        <w:rPr>
          <w:rFonts w:ascii="Times New Roman" w:cs="Times New Roman" w:eastAsia="Times New Roman" w:hAnsi="Times New Roman"/>
          <w:sz w:val="20"/>
          <w:szCs w:val="20"/>
          <w:color w:val="auto"/>
        </w:rPr>
        <w:t>” means any business conducted by the U.S. Borrower or any of its Restricted Subsidiaries that is not in contravention of Section 6.11.</w:t>
      </w:r>
    </w:p>
    <w:p>
      <w:pPr>
        <w:spacing w:after="0" w:line="38"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Holders</w:t>
      </w:r>
      <w:r>
        <w:rPr>
          <w:rFonts w:ascii="Times New Roman" w:cs="Times New Roman" w:eastAsia="Times New Roman" w:hAnsi="Times New Roman"/>
          <w:sz w:val="20"/>
          <w:szCs w:val="20"/>
          <w:color w:val="auto"/>
        </w:rPr>
        <w:t xml:space="preserve">” means each of the Neubauer Stockholders and Management Stockholders and any group (as such term is used in the definition of “Change of Control”) of which any of the foregoing are members;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such group and without giving effect to the existence of such group or any other group, the Neubauer Stockholders and Management Stockholders, collectively, have beneficial ownership of more than 50% of the total voting power of the Voting Stock of the U.S. Borrower or any of its direct or indirect parent companies.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121" w:lineRule="exact"/>
        <w:rPr>
          <w:sz w:val="20"/>
          <w:szCs w:val="20"/>
          <w:color w:val="auto"/>
        </w:rPr>
      </w:pPr>
    </w:p>
    <w:p>
      <w:pPr>
        <w:ind w:left="1720" w:hanging="416"/>
        <w:spacing w:after="0"/>
        <w:tabs>
          <w:tab w:leader="none" w:pos="172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by the U.S. Borrower or any Restricted Subsidiary in the U.S. Borrower or any Restricted Subsidiary;</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cash and Cash Equivalents or Investment Grade Securities;</w:t>
      </w:r>
    </w:p>
    <w:p>
      <w:pPr>
        <w:spacing w:after="0" w:line="229" w:lineRule="exact"/>
        <w:rPr>
          <w:rFonts w:ascii="Times New Roman" w:cs="Times New Roman" w:eastAsia="Times New Roman" w:hAnsi="Times New Roman"/>
          <w:sz w:val="20"/>
          <w:szCs w:val="20"/>
          <w:color w:val="auto"/>
        </w:rPr>
      </w:pPr>
    </w:p>
    <w:p>
      <w:pPr>
        <w:ind w:left="660" w:firstLine="644"/>
        <w:spacing w:after="0" w:line="251" w:lineRule="auto"/>
        <w:tabs>
          <w:tab w:leader="none" w:pos="1725"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Investment by the U.S. Borrower or any Restricted Subsidiary in any Person (or in exchange for the Equity Interests of such Person) if as a result of such Investment (A) such Person becomes a Restricted Subsidiary or (B) such Person, in one transaction or a series of related transactions, is merged, consolidated or amalgamated with or into, or transfers or conveys substantially all of its assets to, or is liquidated into, the U.S. Borrower or a Restricted Subsidiary; (ii) any Investment held by such Person and not acquired by such Person in contemplation of such acquisition, merger, consolidation or transfer; and (iii) any Investment by the U.S. Borrower or any Restricted Subsidiary in exchange for all or any portion of a business if, as a result of such Investment, the assets acquired thereby become owned by the U.S. Borrower or any Restricted Subsidiary;</w:t>
      </w:r>
    </w:p>
    <w:p>
      <w:pPr>
        <w:spacing w:after="0" w:line="192" w:lineRule="exact"/>
        <w:rPr>
          <w:rFonts w:ascii="Times New Roman" w:cs="Times New Roman" w:eastAsia="Times New Roman" w:hAnsi="Times New Roman"/>
          <w:sz w:val="20"/>
          <w:szCs w:val="20"/>
          <w:color w:val="auto"/>
        </w:rPr>
      </w:pPr>
    </w:p>
    <w:p>
      <w:pPr>
        <w:ind w:left="660" w:right="100" w:firstLine="644"/>
        <w:spacing w:after="0" w:line="283" w:lineRule="auto"/>
        <w:tabs>
          <w:tab w:leader="none" w:pos="1737"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securities or other assets not constituting cash, Cash Equivalents or Investment Grade Securities and received in connection with a Disposition made pursuant to Section 6.06;</w:t>
      </w:r>
    </w:p>
    <w:p>
      <w:pPr>
        <w:spacing w:after="0" w:line="146" w:lineRule="exact"/>
        <w:rPr>
          <w:rFonts w:ascii="Times New Roman" w:cs="Times New Roman" w:eastAsia="Times New Roman" w:hAnsi="Times New Roman"/>
          <w:sz w:val="20"/>
          <w:szCs w:val="20"/>
          <w:color w:val="auto"/>
        </w:rPr>
      </w:pPr>
    </w:p>
    <w:p>
      <w:pPr>
        <w:ind w:left="660" w:firstLine="644"/>
        <w:spacing w:after="0" w:line="257" w:lineRule="auto"/>
        <w:tabs>
          <w:tab w:leader="none" w:pos="1725"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existing on the Closing Date or made pursuant to legally binding written commitments in existence on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Investment was made, or such legally binding written commitment was entered into, after December 30, 2016, such Investment shall be set forth on </w:t>
      </w:r>
      <w:r>
        <w:rPr>
          <w:rFonts w:ascii="Times New Roman" w:cs="Times New Roman" w:eastAsia="Times New Roman" w:hAnsi="Times New Roman"/>
          <w:sz w:val="20"/>
          <w:szCs w:val="20"/>
          <w:u w:val="single" w:color="auto"/>
          <w:color w:val="auto"/>
        </w:rPr>
        <w:t>Schedule 6.07</w:t>
      </w:r>
      <w:r>
        <w:rPr>
          <w:rFonts w:ascii="Times New Roman" w:cs="Times New Roman" w:eastAsia="Times New Roman" w:hAnsi="Times New Roman"/>
          <w:sz w:val="20"/>
          <w:szCs w:val="20"/>
          <w:color w:val="auto"/>
        </w:rPr>
        <w:t xml:space="preserve"> (it being understood that such Schedule 6.07 shall be replaced by the Schedule 6.07 to be provided to the Agent on the 2024 Refinancing Amendments Effective Date, which shall be in form and substance reasonably satisfactory to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97" w:name="page198"/>
    <w:bookmarkEnd w:id="197"/>
    <w:p>
      <w:pPr>
        <w:jc w:val="both"/>
        <w:ind w:left="660" w:right="140" w:firstLine="644"/>
        <w:spacing w:after="0" w:line="271" w:lineRule="auto"/>
        <w:tabs>
          <w:tab w:leader="none" w:pos="1704"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loans and advances to, and guarantees of Indebtedness of, employees not in excess of (i) prior to the 2024 Refinancing Amendments Effective Date, $15.0 million and (ii) from and after the 2024 Refinancing Amendments Effective Date, the greater of</w:t>
      </w:r>
    </w:p>
    <w:p>
      <w:pPr>
        <w:spacing w:after="0" w:line="1" w:lineRule="exact"/>
        <w:rPr>
          <w:rFonts w:ascii="Times New Roman" w:cs="Times New Roman" w:eastAsia="Times New Roman" w:hAnsi="Times New Roman"/>
          <w:sz w:val="19"/>
          <w:szCs w:val="19"/>
          <w:color w:val="auto"/>
        </w:rPr>
      </w:pPr>
    </w:p>
    <w:p>
      <w:pPr>
        <w:ind w:left="940" w:hanging="284"/>
        <w:spacing w:after="0"/>
        <w:tabs>
          <w:tab w:leader="none" w:pos="9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 million and (y) 2% of EBITDA for the most recently ended Test Period as of such time any such Investment is made,</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outstanding at any one time, in the aggregate;</w:t>
      </w:r>
    </w:p>
    <w:p>
      <w:pPr>
        <w:spacing w:after="0" w:line="200" w:lineRule="exact"/>
        <w:rPr>
          <w:sz w:val="20"/>
          <w:szCs w:val="20"/>
          <w:color w:val="auto"/>
        </w:rPr>
      </w:pPr>
    </w:p>
    <w:p>
      <w:pPr>
        <w:ind w:left="660" w:firstLine="644"/>
        <w:spacing w:after="0" w:line="253" w:lineRule="auto"/>
        <w:tabs>
          <w:tab w:leader="none" w:pos="1737"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acquired by the U.S. Borrower or any Restricted Subsidiary (i) in exchange for any other Investment or accounts receivable held by the U.S. Borrower or any such Restricted Subsidiary in connection with or as a result of a bankruptcy, workout, reorganization or recapitalization of the Person in which such other Investment is made or which is the obligor with respect to such accounts receivable, (ii) in satisfaction of judgments against other Persons or (iii) as a result of a foreclosure by the U.S. Borrower or any Restricted Subsidiary with respect to any secured Investment or other transfer of title with respect to any Investment in default;</w:t>
      </w:r>
    </w:p>
    <w:p>
      <w:pPr>
        <w:spacing w:after="0" w:line="19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Obligations permitted under Section 6.01(b)(xii);</w:t>
      </w:r>
    </w:p>
    <w:p>
      <w:pPr>
        <w:spacing w:after="0" w:line="229" w:lineRule="exact"/>
        <w:rPr>
          <w:rFonts w:ascii="Times New Roman" w:cs="Times New Roman" w:eastAsia="Times New Roman" w:hAnsi="Times New Roman"/>
          <w:sz w:val="20"/>
          <w:szCs w:val="20"/>
          <w:color w:val="auto"/>
        </w:rPr>
      </w:pPr>
    </w:p>
    <w:p>
      <w:pPr>
        <w:ind w:left="660" w:firstLine="644"/>
        <w:spacing w:after="0" w:line="253" w:lineRule="auto"/>
        <w:tabs>
          <w:tab w:leader="none" w:pos="1693"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and advances to officers, directors and employees (i) for business-related travel expenses, moving expenses and other similar expenses, in each case incurred in the ordinary course of business or consistent with past practice or (ii) to fund such Person’s purchase of Equity Interests of the U.S. Borrower or any direct or indirect parent company thereof under compensation plans approved by the Board of Directors of the U.S. Borrower or the compensation committee thereof in good faith;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the net proceeds of any such purchase is made to any direct or indirect parent of the U.S. Borrower, such net proceeds are contributed to the U.S. Borrower;</w:t>
      </w:r>
    </w:p>
    <w:p>
      <w:pPr>
        <w:spacing w:after="0" w:line="178"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the payment for which consists of Equity Interests of Holdings or any of its direct or indirect parent</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companies;</w:t>
      </w:r>
    </w:p>
    <w:p>
      <w:pPr>
        <w:spacing w:after="0" w:line="20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performance guarantees in the ordinary course of business, (ii) guarantees expressly permitted under Section 6.01(b)</w:t>
      </w:r>
    </w:p>
    <w:p>
      <w:pPr>
        <w:spacing w:after="0" w:line="39" w:lineRule="exact"/>
        <w:rPr>
          <w:rFonts w:ascii="Times New Roman" w:cs="Times New Roman" w:eastAsia="Times New Roman" w:hAnsi="Times New Roman"/>
          <w:sz w:val="19"/>
          <w:szCs w:val="19"/>
          <w:color w:val="auto"/>
        </w:rPr>
      </w:pPr>
    </w:p>
    <w:p>
      <w:pPr>
        <w:ind w:left="660" w:right="200" w:hanging="4"/>
        <w:spacing w:after="0" w:line="279" w:lineRule="auto"/>
        <w:tabs>
          <w:tab w:leader="none" w:pos="1094"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(iii) guarantees of obligations of the U.S. Borrower or any Restricted Subsidiary to any employee benefit plan of the U.S. Borrower and its Restricted Subsidiaries and any Person acting in its capacity as trustee, agent or other fiduciary of any such plan;</w:t>
      </w:r>
    </w:p>
    <w:p>
      <w:pPr>
        <w:spacing w:after="0" w:line="165" w:lineRule="exact"/>
        <w:rPr>
          <w:rFonts w:ascii="Times New Roman" w:cs="Times New Roman" w:eastAsia="Times New Roman" w:hAnsi="Times New Roman"/>
          <w:sz w:val="19"/>
          <w:szCs w:val="19"/>
          <w:color w:val="auto"/>
        </w:rPr>
      </w:pPr>
    </w:p>
    <w:p>
      <w:pPr>
        <w:ind w:left="660" w:right="120" w:firstLine="644"/>
        <w:spacing w:after="0" w:line="310" w:lineRule="auto"/>
        <w:tabs>
          <w:tab w:leader="none" w:pos="1693"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consisting of purchases and acquisitions of inventory, supplies, material or equipment or the licensing or contribution of intellectual property pursuant to joint marketing arrangements with other Persons in the ordinary course of business;</w:t>
      </w:r>
    </w:p>
    <w:p>
      <w:pPr>
        <w:spacing w:after="0" w:line="124" w:lineRule="exact"/>
        <w:rPr>
          <w:rFonts w:ascii="Times New Roman" w:cs="Times New Roman" w:eastAsia="Times New Roman" w:hAnsi="Times New Roman"/>
          <w:sz w:val="19"/>
          <w:szCs w:val="19"/>
          <w:color w:val="auto"/>
        </w:rPr>
      </w:pPr>
    </w:p>
    <w:p>
      <w:pPr>
        <w:ind w:left="1780" w:hanging="476"/>
        <w:spacing w:after="0"/>
        <w:tabs>
          <w:tab w:leader="none" w:pos="178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purchases and acquisitions of assets or services in the ordinary course of business;</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the ordinary course of business in connection with obtaining, maintaining or renewing client</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contracts;</w:t>
      </w:r>
    </w:p>
    <w:p>
      <w:pPr>
        <w:spacing w:after="0" w:line="207" w:lineRule="exact"/>
        <w:rPr>
          <w:rFonts w:ascii="Times New Roman" w:cs="Times New Roman" w:eastAsia="Times New Roman" w:hAnsi="Times New Roman"/>
          <w:sz w:val="20"/>
          <w:szCs w:val="20"/>
          <w:color w:val="auto"/>
        </w:rPr>
      </w:pPr>
    </w:p>
    <w:p>
      <w:pPr>
        <w:ind w:left="660" w:right="180" w:firstLine="644"/>
        <w:spacing w:after="0" w:line="261" w:lineRule="auto"/>
        <w:tabs>
          <w:tab w:leader="none" w:pos="1737"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and solely to the extent contemplated by the organizational documents (as in existence on the Closing Date) of, joint ventures to which the U.S. Borrower or its Restricted Subsidiaries are a party on the Closing Date and disclosed on </w:t>
      </w:r>
      <w:r>
        <w:rPr>
          <w:rFonts w:ascii="Times New Roman" w:cs="Times New Roman" w:eastAsia="Times New Roman" w:hAnsi="Times New Roman"/>
          <w:sz w:val="20"/>
          <w:szCs w:val="20"/>
          <w:u w:val="single" w:color="auto"/>
          <w:color w:val="auto"/>
        </w:rPr>
        <w:t>Schedule 6.07</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Investments relating to a Receivables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198" w:name="page199"/>
    <w:bookmarkEnd w:id="198"/>
    <w:p>
      <w:pPr>
        <w:ind w:left="660" w:firstLine="644"/>
        <w:spacing w:after="0" w:line="253" w:lineRule="auto"/>
        <w:tabs>
          <w:tab w:leader="none" w:pos="173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out of the Applicable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prior to the 2024 Refinancing Amendments Effective Date, no Investment in any Unrestricted Subsidiary shall be permitted pursuant to this clause (q) unless at the time of the making of such Investment, the U.S. Borrower would have been permitted to make a Restricted Payment in the amount of such Investment in reliance on Section 6.04(i) and (ii) from and after the 2024 Refinancing Amendments Effective Date, at the time any such Investment is made and after giving pro forma effect to such Investment no Event of Default under any of Sections 7.01(a), 7.01(g) or 7.01(f) has occurred and is continuing;</w:t>
      </w:r>
    </w:p>
    <w:p>
      <w:pPr>
        <w:spacing w:after="0" w:line="192"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out of Excluded Contributions;</w:t>
      </w:r>
    </w:p>
    <w:p>
      <w:pPr>
        <w:spacing w:after="0" w:line="215" w:lineRule="exact"/>
        <w:rPr>
          <w:rFonts w:ascii="Times New Roman" w:cs="Times New Roman" w:eastAsia="Times New Roman" w:hAnsi="Times New Roman"/>
          <w:sz w:val="20"/>
          <w:szCs w:val="20"/>
          <w:color w:val="auto"/>
        </w:rPr>
      </w:pPr>
    </w:p>
    <w:p>
      <w:pPr>
        <w:ind w:left="660" w:right="180" w:firstLine="644"/>
        <w:spacing w:after="0" w:line="310" w:lineRule="auto"/>
        <w:tabs>
          <w:tab w:leader="none" w:pos="1715"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transaction to the extent it constitutes an Investment that is permitted under Section 6.04 or is made in accordance with the provisions of Section 6.05(b) (other than any transaction set forth in clauses (i), (v) and (xiv) of Section 6.05(b);</w:t>
      </w:r>
    </w:p>
    <w:p>
      <w:pPr>
        <w:spacing w:after="0" w:line="124" w:lineRule="exact"/>
        <w:rPr>
          <w:rFonts w:ascii="Times New Roman" w:cs="Times New Roman" w:eastAsia="Times New Roman" w:hAnsi="Times New Roman"/>
          <w:sz w:val="19"/>
          <w:szCs w:val="19"/>
          <w:color w:val="auto"/>
        </w:rPr>
      </w:pPr>
    </w:p>
    <w:p>
      <w:pPr>
        <w:ind w:left="660" w:right="80" w:firstLine="644"/>
        <w:spacing w:after="0" w:line="253" w:lineRule="auto"/>
        <w:tabs>
          <w:tab w:leader="none" w:pos="169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Investments having an aggregate fair market value, taken together with all other Investments made pursuant to this clause (t) that are at that time outstanding, not to exceed an amount equal to (i) prior to the 2024 Refinancing Amendments Effective Date, the greater of (x) $700.0 million and (y) 6.75% of Total Assets and (ii) from and after the 2024 Refinancing Amendments Effective Date, the greater of (x) $1,885.0 million and (y) 15% of Total Assets (with the fair market value of each Investment being measured at the time made and without giving effect to subsequent changes in value but net of any actual return on capital in respect of such Investment);</w:t>
      </w:r>
    </w:p>
    <w:p>
      <w:pPr>
        <w:spacing w:after="0" w:line="192" w:lineRule="exact"/>
        <w:rPr>
          <w:rFonts w:ascii="Times New Roman" w:cs="Times New Roman" w:eastAsia="Times New Roman" w:hAnsi="Times New Roman"/>
          <w:sz w:val="20"/>
          <w:szCs w:val="20"/>
          <w:color w:val="auto"/>
        </w:rPr>
      </w:pPr>
    </w:p>
    <w:p>
      <w:pPr>
        <w:ind w:left="660" w:right="100" w:firstLine="644"/>
        <w:spacing w:after="0" w:line="269" w:lineRule="auto"/>
        <w:tabs>
          <w:tab w:leader="none" w:pos="1737"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an amount (when taken together with all Restricted Payments made in reliance on Section 6.04(xii) and net of any actual return on capital in respect of such Investment) not to exceed (i) prior to the 2024 Refinancing Amendments Effective Date, the greater of (x) $200.0 million and (y) 15% of EBITDA and (ii) from and after the 2024 Refinancing Amendments Effective Date, the greater of (x) $385.0 million and (y) 30% of EBITDA, in each case for the most recently ended Test Period as of such time any such Investment is made (with the fair market value of each Investment being measured at the time made and without giving effect to subsequent changes in value but net of any actual return on capital in respect of such Investment);</w:t>
      </w:r>
    </w:p>
    <w:p>
      <w:pPr>
        <w:spacing w:after="0" w:line="164" w:lineRule="exact"/>
        <w:rPr>
          <w:rFonts w:ascii="Times New Roman" w:cs="Times New Roman" w:eastAsia="Times New Roman" w:hAnsi="Times New Roman"/>
          <w:sz w:val="19"/>
          <w:szCs w:val="19"/>
          <w:color w:val="auto"/>
        </w:rPr>
      </w:pPr>
    </w:p>
    <w:p>
      <w:pPr>
        <w:ind w:left="660" w:firstLine="644"/>
        <w:spacing w:after="0" w:line="268" w:lineRule="auto"/>
        <w:tabs>
          <w:tab w:leader="none" w:pos="173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2024 Refinancing Amendments Effective Date, Investments in any Similar Business or Unrestricted Subsidiary in an aggregate amount not to exceed the greater of (x) 385.0 million and (y) 30% of EBITDA for the most recently ended Test Period as of such time any such Investment is made; and</w:t>
      </w:r>
    </w:p>
    <w:p>
      <w:pPr>
        <w:spacing w:after="0" w:line="161" w:lineRule="exact"/>
        <w:rPr>
          <w:rFonts w:ascii="Times New Roman" w:cs="Times New Roman" w:eastAsia="Times New Roman" w:hAnsi="Times New Roman"/>
          <w:sz w:val="20"/>
          <w:szCs w:val="20"/>
          <w:color w:val="auto"/>
        </w:rPr>
      </w:pPr>
    </w:p>
    <w:p>
      <w:pPr>
        <w:ind w:left="660" w:right="100" w:firstLine="644"/>
        <w:spacing w:after="0" w:line="283" w:lineRule="auto"/>
        <w:tabs>
          <w:tab w:leader="none" w:pos="178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2024 Refinancing Amendments Effective Date, any other Investments so long as, immediately after giving pro forma effect to each such proposed Investment, the Consolidated Leverage Ratio does not exceed 4.25 to 1.00.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 with respect to any Person:</w:t>
      </w:r>
    </w:p>
    <w:p>
      <w:pPr>
        <w:spacing w:after="0" w:line="121" w:lineRule="exact"/>
        <w:rPr>
          <w:sz w:val="20"/>
          <w:szCs w:val="20"/>
          <w:color w:val="auto"/>
        </w:rPr>
      </w:pPr>
    </w:p>
    <w:p>
      <w:pPr>
        <w:ind w:left="660" w:right="260" w:firstLine="644"/>
        <w:spacing w:after="0" w:line="283" w:lineRule="auto"/>
        <w:tabs>
          <w:tab w:leader="none" w:pos="172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on accounts, payment intangibles and related assets to secure any Receivables Facility and (ii) Liens arising under the Loan Documents;</w:t>
      </w:r>
    </w:p>
    <w:p>
      <w:pPr>
        <w:spacing w:after="0" w:line="146" w:lineRule="exact"/>
        <w:rPr>
          <w:rFonts w:ascii="Times New Roman" w:cs="Times New Roman" w:eastAsia="Times New Roman" w:hAnsi="Times New Roman"/>
          <w:sz w:val="20"/>
          <w:szCs w:val="20"/>
          <w:color w:val="auto"/>
        </w:rPr>
      </w:pPr>
    </w:p>
    <w:p>
      <w:pPr>
        <w:ind w:left="660" w:right="440" w:firstLine="644"/>
        <w:spacing w:after="0" w:line="283" w:lineRule="auto"/>
        <w:tabs>
          <w:tab w:leader="none" w:pos="1737"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by such Person under workmen’s compensation laws, unemployment insurance laws or similar legislation, or good faith deposits to secure bids, tenders,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199" w:name="page200"/>
    <w:bookmarkEnd w:id="199"/>
    <w:p>
      <w:pPr>
        <w:ind w:left="660" w:right="240"/>
        <w:spacing w:after="0" w:line="258" w:lineRule="auto"/>
        <w:rPr>
          <w:sz w:val="20"/>
          <w:szCs w:val="20"/>
          <w:color w:val="auto"/>
        </w:rPr>
      </w:pPr>
      <w:r>
        <w:rPr>
          <w:rFonts w:ascii="Times New Roman" w:cs="Times New Roman" w:eastAsia="Times New Roman" w:hAnsi="Times New Roman"/>
          <w:sz w:val="20"/>
          <w:szCs w:val="20"/>
          <w:color w:val="auto"/>
        </w:rPr>
        <w:t>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w:t>
      </w:r>
    </w:p>
    <w:p>
      <w:pPr>
        <w:spacing w:after="0" w:line="172" w:lineRule="exact"/>
        <w:rPr>
          <w:sz w:val="20"/>
          <w:szCs w:val="20"/>
          <w:color w:val="auto"/>
        </w:rPr>
      </w:pPr>
    </w:p>
    <w:p>
      <w:pPr>
        <w:ind w:left="660" w:right="140" w:firstLine="644"/>
        <w:spacing w:after="0" w:line="257" w:lineRule="auto"/>
        <w:tabs>
          <w:tab w:leader="none" w:pos="172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such as carriers’, warehousemen’s and mechanics’ Liens and other similar Liens, in each case, for sums not yet overdue for a period of more than thirty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172" w:lineRule="exact"/>
        <w:rPr>
          <w:rFonts w:ascii="Times New Roman" w:cs="Times New Roman" w:eastAsia="Times New Roman" w:hAnsi="Times New Roman"/>
          <w:sz w:val="20"/>
          <w:szCs w:val="20"/>
          <w:color w:val="auto"/>
        </w:rPr>
      </w:pPr>
    </w:p>
    <w:p>
      <w:pPr>
        <w:ind w:left="660" w:right="40" w:firstLine="644"/>
        <w:spacing w:after="0" w:line="268" w:lineRule="auto"/>
        <w:tabs>
          <w:tab w:leader="none" w:pos="1737"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other governmental charges or claims not yet payable or overdue for a period of more than thirty (30) days or which are being contested in good faith by appropriate proceedings diligently conducted, if adequate reserves with respect thereto are maintained on the books of such Person in accordance with GAAP;</w:t>
      </w:r>
    </w:p>
    <w:p>
      <w:pPr>
        <w:spacing w:after="0" w:line="161" w:lineRule="exact"/>
        <w:rPr>
          <w:rFonts w:ascii="Times New Roman" w:cs="Times New Roman" w:eastAsia="Times New Roman" w:hAnsi="Times New Roman"/>
          <w:sz w:val="20"/>
          <w:szCs w:val="20"/>
          <w:color w:val="auto"/>
        </w:rPr>
      </w:pPr>
    </w:p>
    <w:p>
      <w:pPr>
        <w:ind w:left="660" w:right="80" w:firstLine="644"/>
        <w:spacing w:after="0" w:line="310" w:lineRule="auto"/>
        <w:tabs>
          <w:tab w:leader="none" w:pos="1725"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 favor of issuers of performance and surety bonds or bid bonds or with respect to other regulatory requirements or letters of credit issued pursuant to the request of and for the account of such Person in the ordinary course of its business;</w:t>
      </w:r>
    </w:p>
    <w:p>
      <w:pPr>
        <w:spacing w:after="0" w:line="124" w:lineRule="exact"/>
        <w:rPr>
          <w:rFonts w:ascii="Times New Roman" w:cs="Times New Roman" w:eastAsia="Times New Roman" w:hAnsi="Times New Roman"/>
          <w:sz w:val="19"/>
          <w:szCs w:val="19"/>
          <w:color w:val="auto"/>
        </w:rPr>
      </w:pPr>
    </w:p>
    <w:p>
      <w:pPr>
        <w:ind w:left="660" w:right="140" w:firstLine="644"/>
        <w:spacing w:after="0" w:line="257" w:lineRule="auto"/>
        <w:tabs>
          <w:tab w:leader="none" w:pos="17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minor survey exceptions, minor encumbrances, easements or reservations of, or rights of others for, licenses, rights-of-way, sewers, electric lines, telegraph and telephone lines and other similar purposes, or zoning or other restrictions as to the use of real properties or Liens incidental to the conduct of the business of such Person or to the ownership of its properties, in each case, which were not incurred in connection with Indebtedness and which do not in the aggregate materially adversely affect the value of said properties or materially impair their use in the operation of the business of such Person;</w:t>
      </w:r>
    </w:p>
    <w:p>
      <w:pPr>
        <w:spacing w:after="0" w:line="172" w:lineRule="exact"/>
        <w:rPr>
          <w:rFonts w:ascii="Times New Roman" w:cs="Times New Roman" w:eastAsia="Times New Roman" w:hAnsi="Times New Roman"/>
          <w:sz w:val="20"/>
          <w:szCs w:val="20"/>
          <w:color w:val="auto"/>
        </w:rPr>
      </w:pPr>
    </w:p>
    <w:p>
      <w:pPr>
        <w:ind w:left="660" w:right="200" w:firstLine="644"/>
        <w:spacing w:after="0" w:line="253" w:lineRule="auto"/>
        <w:tabs>
          <w:tab w:leader="none" w:pos="1737"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Lien securing Funded Debt in excess of (x) $75.0 million individually or (y) $100.0 million in the aggregate (when taken together with all other Liens securing obligations outstanding in reliance on this clause (g) that are not listed on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shall not be permitted pursuant to this clause (g) except to the extent such Lien is listed on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(it being understood that such Schedule 6.02 shall be replaced by the Schedule 6.02 to be provided to the Agent on the 2024 Refinancing Amendments Effective Date, which shall be in form and substance reasonably satisfactory to the Agent);</w:t>
      </w:r>
    </w:p>
    <w:p>
      <w:pPr>
        <w:spacing w:after="0" w:line="192" w:lineRule="exact"/>
        <w:rPr>
          <w:rFonts w:ascii="Times New Roman" w:cs="Times New Roman" w:eastAsia="Times New Roman" w:hAnsi="Times New Roman"/>
          <w:sz w:val="20"/>
          <w:szCs w:val="20"/>
          <w:color w:val="auto"/>
        </w:rPr>
      </w:pPr>
    </w:p>
    <w:p>
      <w:pPr>
        <w:ind w:left="660" w:firstLine="644"/>
        <w:spacing w:after="0" w:line="261" w:lineRule="auto"/>
        <w:tabs>
          <w:tab w:leader="none" w:pos="1737"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of a Person at the time such Person becomes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are not created or incurred in connection with, or in contemplation of, such other Person becoming such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Liens may not extend to any other property owned by the U.S. Borrower or any Restricted Subsidiary;</w:t>
      </w:r>
    </w:p>
    <w:p>
      <w:pPr>
        <w:spacing w:after="0" w:line="181" w:lineRule="exact"/>
        <w:rPr>
          <w:rFonts w:ascii="Times New Roman" w:cs="Times New Roman" w:eastAsia="Times New Roman" w:hAnsi="Times New Roman"/>
          <w:sz w:val="20"/>
          <w:szCs w:val="20"/>
          <w:color w:val="auto"/>
        </w:rPr>
      </w:pPr>
    </w:p>
    <w:p>
      <w:pPr>
        <w:ind w:left="660" w:right="300" w:firstLine="644"/>
        <w:spacing w:after="0" w:line="261" w:lineRule="auto"/>
        <w:tabs>
          <w:tab w:leader="none" w:pos="1693"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at the time the U.S. Borrower or a Restricted Subsidiary acquired the property, including any acquisition by means of a merger or consolidation with or into the U.S. Borrower or any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are not created or incurred in connection with, or in contemplation of, such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00" w:name="page201"/>
    <w:bookmarkEnd w:id="200"/>
    <w:p>
      <w:pPr>
        <w:ind w:left="660"/>
        <w:spacing w:after="0"/>
        <w:rPr>
          <w:sz w:val="20"/>
          <w:szCs w:val="20"/>
          <w:color w:val="auto"/>
        </w:rPr>
      </w:pPr>
      <w:r>
        <w:rPr>
          <w:rFonts w:ascii="Times New Roman" w:cs="Times New Roman" w:eastAsia="Times New Roman" w:hAnsi="Times New Roman"/>
          <w:sz w:val="20"/>
          <w:szCs w:val="20"/>
          <w:color w:val="auto"/>
        </w:rPr>
        <w:t>Liens may not extend to any other property owned by the U.S. Borrower or any Restricted Subsidiary;</w:t>
      </w:r>
    </w:p>
    <w:p>
      <w:pPr>
        <w:spacing w:after="0" w:line="229" w:lineRule="exact"/>
        <w:rPr>
          <w:sz w:val="20"/>
          <w:szCs w:val="20"/>
          <w:color w:val="auto"/>
        </w:rPr>
      </w:pPr>
    </w:p>
    <w:p>
      <w:pPr>
        <w:ind w:left="660" w:right="300" w:firstLine="644"/>
        <w:spacing w:after="0" w:line="295" w:lineRule="auto"/>
        <w:tabs>
          <w:tab w:leader="none" w:pos="1693"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Indebtedness or other obligations of the U.S. Borrower or a Restricted Subsidiary owing to the U.S. Borrower or another Restricted Subsidiary permitted to be incurred in accordance with clause (ix) or (x) of Section 6.01(b);</w:t>
      </w:r>
    </w:p>
    <w:p>
      <w:pPr>
        <w:spacing w:after="0" w:line="151" w:lineRule="exact"/>
        <w:rPr>
          <w:rFonts w:ascii="Times New Roman" w:cs="Times New Roman" w:eastAsia="Times New Roman" w:hAnsi="Times New Roman"/>
          <w:sz w:val="19"/>
          <w:szCs w:val="19"/>
          <w:color w:val="auto"/>
        </w:rPr>
      </w:pPr>
    </w:p>
    <w:p>
      <w:pPr>
        <w:ind w:left="660" w:right="100" w:firstLine="644"/>
        <w:spacing w:after="0" w:line="261" w:lineRule="auto"/>
        <w:tabs>
          <w:tab w:leader="none" w:pos="1737"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81"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693"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licenses and sublicenses granted to others in the ordinary course of business which do not materially interfere with the ordinary conduct of the business of the U.S. Borrower or any of the Restricted Subsidiaries and do not secure any Indebtedness;</w:t>
      </w:r>
    </w:p>
    <w:p>
      <w:pPr>
        <w:spacing w:after="0" w:line="167" w:lineRule="exact"/>
        <w:rPr>
          <w:rFonts w:ascii="Times New Roman" w:cs="Times New Roman" w:eastAsia="Times New Roman" w:hAnsi="Times New Roman"/>
          <w:sz w:val="20"/>
          <w:szCs w:val="20"/>
          <w:color w:val="auto"/>
        </w:rPr>
      </w:pPr>
    </w:p>
    <w:p>
      <w:pPr>
        <w:ind w:left="660" w:right="120" w:firstLine="644"/>
        <w:spacing w:after="0" w:line="283" w:lineRule="auto"/>
        <w:tabs>
          <w:tab w:leader="none" w:pos="1792"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financing statement filings under the UCC or similar state or provincial laws regarding operating leases entered into by the U.S. Borrower and its Restricted Subsidiaries in the ordinary course of business;</w:t>
      </w:r>
    </w:p>
    <w:p>
      <w:pPr>
        <w:spacing w:after="0" w:line="15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the U.S. Borrower or any Subsidiary Guarantor;</w:t>
      </w:r>
    </w:p>
    <w:p>
      <w:pPr>
        <w:spacing w:after="0" w:line="215" w:lineRule="exact"/>
        <w:rPr>
          <w:rFonts w:ascii="Times New Roman" w:cs="Times New Roman" w:eastAsia="Times New Roman" w:hAnsi="Times New Roman"/>
          <w:sz w:val="20"/>
          <w:szCs w:val="20"/>
          <w:color w:val="auto"/>
        </w:rPr>
      </w:pPr>
    </w:p>
    <w:p>
      <w:pPr>
        <w:ind w:left="660" w:right="100" w:firstLine="644"/>
        <w:spacing w:after="0" w:line="283" w:lineRule="auto"/>
        <w:tabs>
          <w:tab w:leader="none" w:pos="1737"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inventory or equipment of the U.S. Borrower or any Restricted Subsidiary granted in the ordinary course of business to the U.S. Borrower’s or such Restricted Subsidiary’s client at which such inventory or equipment is located;</w:t>
      </w:r>
    </w:p>
    <w:p>
      <w:pPr>
        <w:spacing w:after="0" w:line="146" w:lineRule="exact"/>
        <w:rPr>
          <w:rFonts w:ascii="Times New Roman" w:cs="Times New Roman" w:eastAsia="Times New Roman" w:hAnsi="Times New Roman"/>
          <w:sz w:val="20"/>
          <w:szCs w:val="20"/>
          <w:color w:val="auto"/>
        </w:rPr>
      </w:pPr>
    </w:p>
    <w:p>
      <w:pPr>
        <w:ind w:left="660" w:right="20" w:firstLine="644"/>
        <w:spacing w:after="0" w:line="275" w:lineRule="auto"/>
        <w:tabs>
          <w:tab w:leader="none" w:pos="1737"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to secure any refinancing, refunding, extension, renewal or replacement (or successive refinancing, refunding, extensions, renewals or replacements) as a whole, or in part, of any Indebtedness secured by any Lien referred to in clauses (g), (h),</w:t>
      </w:r>
    </w:p>
    <w:p>
      <w:pPr>
        <w:ind w:left="660" w:hanging="4"/>
        <w:spacing w:after="0" w:line="247" w:lineRule="auto"/>
        <w:tabs>
          <w:tab w:leader="none" w:pos="89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(q) of this definition;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such new Lien shall be limited to all or part of the same property that secured the original Lien (plus improvements on such property), and (y) the Indebtedness secured by such Lien at such time is not increased to any amount greater than the sum of (A) the outstanding principal amount or, if greater, committed amount of the Indebtedness described under clauses (g), (h), (i) and (q) of this definition at the time the original Lien became a Permitted Lien pursuant to this Agreement, and (B) an amount necessary to pay any fees and expenses, including premiums, related to such refinancing, refunding, extension, renewal or replacement;</w:t>
      </w:r>
    </w:p>
    <w:p>
      <w:pPr>
        <w:spacing w:after="0" w:line="198" w:lineRule="exact"/>
        <w:rPr>
          <w:rFonts w:ascii="Times New Roman" w:cs="Times New Roman" w:eastAsia="Times New Roman" w:hAnsi="Times New Roman"/>
          <w:sz w:val="20"/>
          <w:szCs w:val="20"/>
          <w:color w:val="auto"/>
        </w:rPr>
      </w:pPr>
    </w:p>
    <w:p>
      <w:pPr>
        <w:ind w:left="660" w:firstLine="644"/>
        <w:spacing w:after="0" w:line="251" w:lineRule="auto"/>
        <w:tabs>
          <w:tab w:leader="none" w:pos="173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to be incurred pursuant to Section 6.01(b)(vi), (b)(xix), (b)(xxi) and (b)(xxii);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Liens securing Indebtedness permitted to be incurred pursuant to Section 6.01(b)(vi) do not at any time encumber any property other than the property financed by such Indebtedness and the proceeds and the products thereof, (B) Liens securing Indebtedness permitted to be incurred pursuant to Section 6.01(b)(xix) extend only to the assets of Foreign Subsidiaries, (C) Liens securing Indebtedness permitted to be incurred pursuant to Section 6.01(b)(xxi) only extend to the property Disposed of in the applicable Sale and Lease-Back Transaction and (D) Liens securing Indebtedness permitted to be incurred pursuant to Section 6.01(b)(xxii) are solely on acquired property or the assets (including any acquired Equity Interests) of the Acquired Entity or Business, as the case may be;</w:t>
      </w:r>
    </w:p>
    <w:p>
      <w:pPr>
        <w:spacing w:after="0" w:line="195"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in the ordinary course of business to secure liability to insurance carriers;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080"/>
          </w:cols>
          <w:pgMar w:left="320" w:top="1413" w:right="499" w:bottom="1440" w:gutter="0" w:footer="0" w:header="0"/>
        </w:sectPr>
      </w:pPr>
    </w:p>
    <w:bookmarkStart w:id="201" w:name="page202"/>
    <w:bookmarkEnd w:id="201"/>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(s)</w:t>
      </w:r>
      <w:r>
        <w:rPr>
          <w:sz w:val="20"/>
          <w:szCs w:val="20"/>
          <w:color w:val="auto"/>
        </w:rPr>
        <w:tab/>
      </w:r>
      <w:r>
        <w:rPr>
          <w:rFonts w:ascii="Times New Roman" w:cs="Times New Roman" w:eastAsia="Times New Roman" w:hAnsi="Times New Roman"/>
          <w:sz w:val="19"/>
          <w:szCs w:val="19"/>
          <w:color w:val="auto"/>
        </w:rPr>
        <w:t>Liens securing judgments for the payment of money not constituting an Event of Default under clause (h) of</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7.01, so long as such Liens are adequately bonded and any appropriate legal proceedings that may have been duly initiated</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review of such judgment and have not been finally terminated or the period within which such proceedings may be initiated</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has not expired;</w:t>
      </w:r>
    </w:p>
    <w:p>
      <w:pPr>
        <w:spacing w:after="0" w:line="200" w:lineRule="exact"/>
        <w:rPr>
          <w:sz w:val="20"/>
          <w:szCs w:val="20"/>
          <w:color w:val="auto"/>
        </w:rPr>
      </w:pPr>
    </w:p>
    <w:p>
      <w:pPr>
        <w:ind w:left="660" w:right="420" w:firstLine="644"/>
        <w:spacing w:after="0" w:line="283" w:lineRule="auto"/>
        <w:tabs>
          <w:tab w:leader="none" w:pos="1693"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 in the ordinary course of business;</w:t>
      </w:r>
    </w:p>
    <w:p>
      <w:pPr>
        <w:spacing w:after="0" w:line="159" w:lineRule="exact"/>
        <w:rPr>
          <w:rFonts w:ascii="Times New Roman" w:cs="Times New Roman" w:eastAsia="Times New Roman" w:hAnsi="Times New Roman"/>
          <w:sz w:val="20"/>
          <w:szCs w:val="20"/>
          <w:color w:val="auto"/>
        </w:rPr>
      </w:pPr>
    </w:p>
    <w:p>
      <w:pPr>
        <w:ind w:left="660" w:right="20" w:firstLine="644"/>
        <w:spacing w:after="0" w:line="254" w:lineRule="auto"/>
        <w:tabs>
          <w:tab w:leader="none" w:pos="173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collection bank arising under Section 4-210 of the UCC on items in the course of collection, (ii) 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spacing w:after="0" w:line="187" w:lineRule="exact"/>
        <w:rPr>
          <w:rFonts w:ascii="Times New Roman" w:cs="Times New Roman" w:eastAsia="Times New Roman" w:hAnsi="Times New Roman"/>
          <w:sz w:val="20"/>
          <w:szCs w:val="20"/>
          <w:color w:val="auto"/>
        </w:rPr>
      </w:pPr>
    </w:p>
    <w:p>
      <w:pPr>
        <w:ind w:left="660" w:firstLine="644"/>
        <w:spacing w:after="0" w:line="253" w:lineRule="auto"/>
        <w:tabs>
          <w:tab w:leader="none" w:pos="173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(i) relating to the establishment of depository relations with banks not given in connection with the issuance of Indebtedness, (ii) relating to pooled deposit or sweep accounts of the U.S. Borrower or any of its Restricted Subsidiaries to permit satisfaction of overdraft or similar obligations incurred in the ordinary course of business of the U.S. Borrower and its Restricted Subsidiaries or (iii) relating to purchase orders and other agreements entered into with customers of the U.S. Borrower or any of its Restricted Subsidiaries in the ordinary course of business;</w:t>
      </w:r>
    </w:p>
    <w:p>
      <w:pPr>
        <w:spacing w:after="0" w:line="191" w:lineRule="exact"/>
        <w:rPr>
          <w:rFonts w:ascii="Times New Roman" w:cs="Times New Roman" w:eastAsia="Times New Roman" w:hAnsi="Times New Roman"/>
          <w:sz w:val="20"/>
          <w:szCs w:val="20"/>
          <w:color w:val="auto"/>
        </w:rPr>
      </w:pPr>
    </w:p>
    <w:p>
      <w:pPr>
        <w:ind w:left="660" w:right="760" w:firstLine="644"/>
        <w:spacing w:after="0" w:line="261" w:lineRule="auto"/>
        <w:tabs>
          <w:tab w:leader="none" w:pos="178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73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deemed to exist in connection with Investments in repurchase agreements permitted under Section 6.01;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do not extend to any assets other than those assets that are the subject of such repurchase agreement;</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assets of any Foreign Subsidiary securing Indebtedness permitted to be incurred pursuant to Section</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6.01(b);</w:t>
      </w:r>
    </w:p>
    <w:p>
      <w:pPr>
        <w:spacing w:after="0" w:line="207" w:lineRule="exact"/>
        <w:rPr>
          <w:sz w:val="20"/>
          <w:szCs w:val="20"/>
          <w:color w:val="auto"/>
        </w:rPr>
      </w:pPr>
    </w:p>
    <w:p>
      <w:pPr>
        <w:ind w:left="660" w:right="160" w:firstLine="644"/>
        <w:spacing w:after="0" w:line="283" w:lineRule="auto"/>
        <w:tabs>
          <w:tab w:leader="none" w:pos="172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securing obligations in an aggregate amount not to exceed the greater of (x) $250.0 million and (y) 17.5% of EBITDA for the most recently ended Test Period as of such time any such Lien is incurred;</w:t>
      </w:r>
    </w:p>
    <w:p>
      <w:pPr>
        <w:spacing w:after="0" w:line="146" w:lineRule="exact"/>
        <w:rPr>
          <w:sz w:val="20"/>
          <w:szCs w:val="20"/>
          <w:color w:val="auto"/>
        </w:rPr>
      </w:pPr>
    </w:p>
    <w:p>
      <w:pPr>
        <w:ind w:left="660" w:right="260" w:firstLine="644"/>
        <w:spacing w:after="0" w:line="283" w:lineRule="auto"/>
        <w:tabs>
          <w:tab w:leader="none" w:pos="1813"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assets of Foreign Subsidiaries securing Hedging Obligations entered into by such Foreign Subsidiaries that are permitted by Section 6.01(b)(xii) and that do not constitute Secured Obligations;</w:t>
      </w:r>
    </w:p>
    <w:p>
      <w:pPr>
        <w:spacing w:after="0" w:line="146" w:lineRule="exact"/>
        <w:rPr>
          <w:rFonts w:ascii="Times New Roman" w:cs="Times New Roman" w:eastAsia="Times New Roman" w:hAnsi="Times New Roman"/>
          <w:sz w:val="20"/>
          <w:szCs w:val="20"/>
          <w:color w:val="auto"/>
        </w:rPr>
      </w:pPr>
    </w:p>
    <w:p>
      <w:pPr>
        <w:ind w:left="660" w:right="340" w:firstLine="644"/>
        <w:spacing w:after="0" w:line="258" w:lineRule="auto"/>
        <w:tabs>
          <w:tab w:leader="none" w:pos="183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Collateral (or any portion thereof) securing Indebtedness issued pursuant to Section 6.01(b)(xxv) and Section 6.01(b)(xxvii), so long as at the time of the incurrence of such Indebtedness the holders of such Indebtedness (or a representative thereof on behalf of such holders) shall have entered into a First Lien Intercreditor Agreement or Junior Lien Intercreditor Agreement with the Agent agreeing that such Liens are subject to the terms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02" w:name="page203"/>
    <w:bookmarkEnd w:id="202"/>
    <w:p>
      <w:pPr>
        <w:ind w:left="660" w:right="40" w:firstLine="644"/>
        <w:spacing w:after="0" w:line="261" w:lineRule="auto"/>
        <w:tabs>
          <w:tab w:leader="none" w:pos="181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assets of a Designated Business which Liens do not attach to the assets of the U.S. Borrower or any of its Restricted Subsidiaries other than those of any Restricted Subsidiary included in such Designated Business and which Secured Indebtedness is permitted by Section 6.01(b)(xxvi).</w:t>
      </w:r>
    </w:p>
    <w:p>
      <w:pPr>
        <w:spacing w:after="0" w:line="18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Notes</w:t>
      </w:r>
      <w:r>
        <w:rPr>
          <w:rFonts w:ascii="Times New Roman" w:cs="Times New Roman" w:eastAsia="Times New Roman" w:hAnsi="Times New Roman"/>
          <w:sz w:val="20"/>
          <w:szCs w:val="20"/>
          <w:color w:val="auto"/>
        </w:rPr>
        <w:t xml:space="preserve">” means senior secured notes, senior unsecured or senior subordinated debt securities of the U.S. Borrower (or of a Subsidiary Guarantor which are guaranteed by the U.S. Borrower) incurred after the Closing Date (a) the terms of which do not provide for any scheduled principal repayment, mandatory redemption or sinking fund obligations prior to the Latest Maturity Date on the date such debt securities are issued (other than customary offers to repurchase upon a change of control, asset sale or event of loss and customary acceleration rights after an event of default), (b) the covenants, events of default, guarantees, collateral and other terms of which (other than interest rate, call protection and redemption premiums), taken as a whole, are not more restrictive to the U.S. Borrower and the Subsidiaries than those set forth in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certificate of a Financial Officer of the U.S. Borrower delivered to the Agent in good faith at least three Business Days (or such shorter period as the Agent may reasonably agree) prior to the incurrence of such Indebtedness, together with a reasonably detailed description of the material terms and conditions of such Indebtedness or drafts of the documentation relating thereto, stating that the U.S. Borrower has determined in good faith that such terms and conditions satisfy the foregoing requirement shall be conclusive evidence that such terms and conditions satisfy the foregoing requirement, (c) of which no Subsidiary of the U.S. Borrower is an issuer or guarantor other than any Loan Party and (d) which are not secured by any Liens on any assets of the U.S. Borrower or any of its Subsidiaries other than assets of the Loan Parties that constitute Collateral.</w:t>
      </w:r>
    </w:p>
    <w:p>
      <w:pPr>
        <w:spacing w:after="0" w:line="85"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corporation, limited liability company, partnership, joint venture, association, joint stock company, trust, unincorporated organization, company, government or any agency or political subdivision thereof or any other entity.</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of the Code or Section 302 of ERISA, and in respect of which the U.S. Borrower or any ERISA Affiliate is (or, if such plan were terminated, would under Section 4069 of ERISA be deemed to be) an “employer” as defined in Section 3(5) of ERISA.</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means Debt Domain, Intralinks, Syndtrak or a substantially similar electronic transmission system.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means any Equity Interest with preferential rights of payment of dividends or upon liquidation, dissolution, or winding-up.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Event</w:t>
      </w:r>
      <w:r>
        <w:rPr>
          <w:rFonts w:ascii="Times New Roman" w:cs="Times New Roman" w:eastAsia="Times New Roman" w:hAnsi="Times New Roman"/>
          <w:sz w:val="20"/>
          <w:szCs w:val="20"/>
          <w:color w:val="auto"/>
        </w:rPr>
        <w:t>” means any Asset Sale Prepayment Event, Debt Incurrence Prepayment Event or Casualty Event.</w:t>
      </w:r>
    </w:p>
    <w:p>
      <w:pPr>
        <w:spacing w:after="0" w:line="10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Event Percentage</w:t>
      </w:r>
      <w:r>
        <w:rPr>
          <w:rFonts w:ascii="Times New Roman" w:cs="Times New Roman" w:eastAsia="Times New Roman" w:hAnsi="Times New Roman"/>
          <w:sz w:val="20"/>
          <w:szCs w:val="20"/>
          <w:color w:val="auto"/>
        </w:rPr>
        <w:t>” means, (x) with respect to any Asset Sale Prepayment Event, if the Consolidated Secured Debt Ratio (prior to giving effect to the applicable prepayment pursuant to Section 2.09(a), but after giving effect to any voluntary prepayments made pursuant to such Section prior to the date of such prepayment) as of the most recent Test Period is (a) greater than 3.25 to 1.00, 100%, (b) less than or equal to 3.25 to 1.00 but greater than 2.75 to 1.00, 50%, and (c) equal to or less than 2.75 to 1.00, 0.0%, and (y) with respect to any other Prepayment Event, 100%.</w:t>
      </w:r>
    </w:p>
    <w:p>
      <w:pPr>
        <w:spacing w:after="0" w:line="6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xml:space="preserve">” means the rate of interest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publicly announced from time to time by JPMorgan Chase Bank, N.A. as its prime rate in effect at its office located at 270 Park Avenue, New York, New York; each change in the Prime Rate shall be effective from and including the date such change is publicly announced as being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03" w:name="page204"/>
    <w:bookmarkEnd w:id="203"/>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means the projections of the U.S. Borrower and the Restricted Subsidiaries included in the Information Memorandum and any other projections and any forward-looking statements of such entities furnished to the Lenders or the Agent by or on behalf of Holdings, the U.S. Borrower or any of the Subsidiaries prior to the Closing Date.</w:t>
      </w:r>
    </w:p>
    <w:p>
      <w:pPr>
        <w:spacing w:after="0" w:line="73"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Public-Sider</w:t>
      </w:r>
      <w:r>
        <w:rPr>
          <w:rFonts w:ascii="Times New Roman" w:cs="Times New Roman" w:eastAsia="Times New Roman" w:hAnsi="Times New Roman"/>
          <w:sz w:val="20"/>
          <w:szCs w:val="20"/>
          <w:color w:val="auto"/>
        </w:rPr>
        <w:t>” means a Lender whose representatives may trade in securities of the U.S. Borrower or its controlling person or any of its Subsidiaries while in possession of the financial statements provided by the U.S. Borrower under the terms of this Agreement.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 5390(c)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has the meaning assigned to it in Section 9.18.</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in respect of any Swap Obligation, each Loan Guarantor that has total assets exceeding $10,000,000 at the time the relevant guarantee under this Agreement or grant of the relevant security interest becomes effective with respect to such Swap Obligation or that otherwise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8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Proceeds</w:t>
      </w:r>
      <w:r>
        <w:rPr>
          <w:rFonts w:ascii="Times New Roman" w:cs="Times New Roman" w:eastAsia="Times New Roman" w:hAnsi="Times New Roman"/>
          <w:sz w:val="20"/>
          <w:szCs w:val="20"/>
          <w:color w:val="auto"/>
        </w:rPr>
        <w:t xml:space="preserve">” means assets that are used or useful in a Permitted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fair market value of any such assets shall be determined by the U.S. Borrower in good faith.</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Lender</w:t>
      </w:r>
      <w:r>
        <w:rPr>
          <w:rFonts w:ascii="Times New Roman" w:cs="Times New Roman" w:eastAsia="Times New Roman" w:hAnsi="Times New Roman"/>
          <w:sz w:val="20"/>
          <w:szCs w:val="20"/>
          <w:color w:val="auto"/>
        </w:rPr>
        <w:t>” means an Irish Qualifying Lender or a U.K. Qualifying Lender.</w:t>
      </w:r>
    </w:p>
    <w:p>
      <w:pPr>
        <w:spacing w:after="0" w:line="12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Quotation Day</w:t>
      </w:r>
      <w:r>
        <w:rPr>
          <w:rFonts w:ascii="Times New Roman" w:cs="Times New Roman" w:eastAsia="Times New Roman" w:hAnsi="Times New Roman"/>
          <w:sz w:val="20"/>
          <w:szCs w:val="20"/>
          <w:color w:val="auto"/>
        </w:rPr>
        <w:t>” means, with respect to any Eurocurrency Rate Borrowing for any Eurocurrency Interest Period, two TARGET Days before the first day of such Interest Period.</w:t>
      </w:r>
    </w:p>
    <w:p>
      <w:pPr>
        <w:spacing w:after="0" w:line="6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Ratable Portion</w:t>
      </w:r>
      <w:r>
        <w:rPr>
          <w:rFonts w:ascii="Times New Roman" w:cs="Times New Roman" w:eastAsia="Times New Roman" w:hAnsi="Times New Roman"/>
          <w:sz w:val="20"/>
          <w:szCs w:val="20"/>
          <w:color w:val="auto"/>
        </w:rPr>
        <w:t>” means, (i) subject to Section 2.20, with respect to any Revolving Lender under any Revolving Facility, the percentage obtained by dividing the amount of Revolving Commitments of such Revolving Lender under such Revolving Facility by the aggregate amount of Revolving Commitments of all Revolving Lenders under such Revolving Facility (or if the Revolving Commitments under such Revolving Facility have been terminated, the percentage obtained by dividing the Revolving Loans outstanding of such Revolving Lender under such Revolving Facility by the Revolving Loans outstanding of all Revolving Lenders under such Revolving Facility) and (ii) with respect to any Term Loan Lender under any Term Loan Facility, the percentage obtained by dividing the amount of Term Loans held by such Term Loan Lender under such Term Loan Facility by the aggregate amount of Term Loans of all Term Loan Lenders under such Term Loan Facility.</w:t>
      </w:r>
    </w:p>
    <w:p>
      <w:pPr>
        <w:spacing w:after="0" w:line="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Facility</w:t>
      </w:r>
      <w:r>
        <w:rPr>
          <w:rFonts w:ascii="Times New Roman" w:cs="Times New Roman" w:eastAsia="Times New Roman" w:hAnsi="Times New Roman"/>
          <w:sz w:val="20"/>
          <w:szCs w:val="20"/>
          <w:color w:val="auto"/>
        </w:rPr>
        <w:t>” means the receivables facility established for ARAMARK Receivables, LLC pursuant to the Amended and Restated Receivables Purchase Agreement, dated as of January 26, 2007, among ARAMARK Receivables, LLC and the other parties thereto and one or more additional receivables financing facilities, in each case, as amended, supplemented, modified, extended, increased, renewed, restated, refunded, replaced or refinanced from time to time, the Indebtedness of which is non-recourse (except for Standard Receivables Facility Undertakings) to the U.S. Borrower and its Restricted Subsidiaries, other than any Receivables Subsidiary, pursuant to which the U.S. Borrower or any of its Restricted Subsidiaries sells its accounts, payment intangibles and related assets to either (a) a Person that is not a Restricted Subsidiary or (b) a Receivables Subsidiary that in turn sells its accounts, payment intangibles and related assets to a Person that is not a Restricted Subsidiary.</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Facility Repurchase Obligation</w:t>
      </w:r>
      <w:r>
        <w:rPr>
          <w:rFonts w:ascii="Times New Roman" w:cs="Times New Roman" w:eastAsia="Times New Roman" w:hAnsi="Times New Roman"/>
          <w:sz w:val="20"/>
          <w:szCs w:val="20"/>
          <w:color w:val="auto"/>
        </w:rPr>
        <w:t>” means any obligation of the U.S. Borrower or a Restricted Subsidiary that is a seller of assets in a Receivables Facility to repurchase the assets it sold thereunder as a result of a breach of a representation, warranty or covenant or otherwise, including as a result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04" w:name="page205"/>
    <w:bookmarkEnd w:id="204"/>
    <w:p>
      <w:pPr>
        <w:ind w:right="220"/>
        <w:spacing w:after="0" w:line="283" w:lineRule="auto"/>
        <w:rPr>
          <w:sz w:val="20"/>
          <w:szCs w:val="20"/>
          <w:color w:val="auto"/>
        </w:rPr>
      </w:pPr>
      <w:r>
        <w:rPr>
          <w:rFonts w:ascii="Times New Roman" w:cs="Times New Roman" w:eastAsia="Times New Roman" w:hAnsi="Times New Roman"/>
          <w:sz w:val="20"/>
          <w:szCs w:val="20"/>
          <w:color w:val="auto"/>
        </w:rPr>
        <w:t>receivable or portion thereof becoming subject to any asserted defense, dispute, offset or counterclaim of any kind as a result of any action taken by, any failure to take action by or any other event relating to the seller.</w:t>
      </w:r>
    </w:p>
    <w:p>
      <w:pPr>
        <w:spacing w:after="0" w:line="38"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Fees</w:t>
      </w:r>
      <w:r>
        <w:rPr>
          <w:rFonts w:ascii="Times New Roman" w:cs="Times New Roman" w:eastAsia="Times New Roman" w:hAnsi="Times New Roman"/>
          <w:sz w:val="19"/>
          <w:szCs w:val="19"/>
          <w:color w:val="auto"/>
        </w:rPr>
        <w:t>” means distributions or payments made directly or by means of discounts with respect to any participation interest issued or sold in connection with, and other fees paid to a Person that is not a Restricted Subsidiary in connection with, any Receivables Facility.</w:t>
      </w:r>
    </w:p>
    <w:p>
      <w:pPr>
        <w:spacing w:after="0" w:line="16" w:lineRule="exact"/>
        <w:rPr>
          <w:sz w:val="20"/>
          <w:szCs w:val="20"/>
          <w:color w:val="auto"/>
        </w:rPr>
      </w:pPr>
    </w:p>
    <w:p>
      <w:pPr>
        <w:ind w:right="9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Subsidiary</w:t>
      </w:r>
      <w:r>
        <w:rPr>
          <w:rFonts w:ascii="Times New Roman" w:cs="Times New Roman" w:eastAsia="Times New Roman" w:hAnsi="Times New Roman"/>
          <w:sz w:val="20"/>
          <w:szCs w:val="20"/>
          <w:color w:val="auto"/>
        </w:rPr>
        <w:t>” means any Subsidiary formed solely for the purpose of engaging, and that engages only, in one or more Receivables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Reclassifiable Item</w:t>
      </w:r>
      <w:r>
        <w:rPr>
          <w:rFonts w:ascii="Times New Roman" w:cs="Times New Roman" w:eastAsia="Times New Roman" w:hAnsi="Times New Roman"/>
          <w:sz w:val="20"/>
          <w:szCs w:val="20"/>
          <w:color w:val="auto"/>
        </w:rPr>
        <w:t>” has the meaning assigned to such term in Section 1.04(b).</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Indebtedness</w:t>
      </w:r>
      <w:r>
        <w:rPr>
          <w:rFonts w:ascii="Times New Roman" w:cs="Times New Roman" w:eastAsia="Times New Roman" w:hAnsi="Times New Roman"/>
          <w:sz w:val="20"/>
          <w:szCs w:val="20"/>
          <w:color w:val="auto"/>
        </w:rPr>
        <w:t>” has the meaning assigned to such term in Section 6.01(b)(xv).</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w:t>
      </w:r>
      <w:r>
        <w:rPr>
          <w:rFonts w:ascii="Times New Roman" w:cs="Times New Roman" w:eastAsia="Times New Roman" w:hAnsi="Times New Roman"/>
          <w:sz w:val="20"/>
          <w:szCs w:val="20"/>
          <w:color w:val="auto"/>
        </w:rPr>
        <w:t>” means any New Term Loan that is designated as a “Refinancing Term Loan” in the applicable supplement creating such New Term Loan in accordance with Section 2.19.</w:t>
      </w:r>
    </w:p>
    <w:p>
      <w:pPr>
        <w:spacing w:after="0" w:line="65"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Transactions</w:t>
      </w:r>
      <w:r>
        <w:rPr>
          <w:rFonts w:ascii="Times New Roman" w:cs="Times New Roman" w:eastAsia="Times New Roman" w:hAnsi="Times New Roman"/>
          <w:sz w:val="20"/>
          <w:szCs w:val="20"/>
          <w:color w:val="auto"/>
        </w:rPr>
        <w:t>” means the termination of the commitments under the Existing Credit Agreement and the refinancing of certain Indebtedness of the U.S. Borrower and its Subsidiaries that occurred on or about the Closing Date.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assigned to such term in Section 9.04(b)(iv).</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Regulated Bank</w:t>
      </w:r>
      <w:r>
        <w:rPr>
          <w:rFonts w:ascii="Times New Roman" w:cs="Times New Roman" w:eastAsia="Times New Roman" w:hAnsi="Times New Roman"/>
          <w:sz w:val="20"/>
          <w:szCs w:val="20"/>
          <w:color w:val="auto"/>
        </w:rPr>
        <w:t>”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71"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means Regulation T of the Board as from time to time in effect and all official rulings and interpretations thereunder or thereof, and any successor provision thereto.</w:t>
      </w:r>
    </w:p>
    <w:p>
      <w:pPr>
        <w:spacing w:after="0" w:line="38"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Board as from time to time in effect and all official rulings and interpretations thereunder or thereof, and any successor provision thereto.</w:t>
      </w:r>
    </w:p>
    <w:p>
      <w:pPr>
        <w:spacing w:after="0" w:line="52"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means Regulation X of the Board as from time to time in effect and all official rulings and interpretations thereunder or thereof, and any successor provision thereto.</w:t>
      </w:r>
    </w:p>
    <w:p>
      <w:pPr>
        <w:spacing w:after="0" w:line="6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Reinvestment Period</w:t>
      </w:r>
      <w:r>
        <w:rPr>
          <w:rFonts w:ascii="Times New Roman" w:cs="Times New Roman" w:eastAsia="Times New Roman" w:hAnsi="Times New Roman"/>
          <w:sz w:val="19"/>
          <w:szCs w:val="19"/>
          <w:color w:val="auto"/>
        </w:rPr>
        <w:t>” means (x) prior to the 2024 Refinancing Amendments Effective Date, 15 months and (y) from and after the 2024 Refinancing Amendments Effective Date, 18 months, in each case following the date of an Asset Sale Prepayment Event or Casualty Event (or, if later, 180 days after the date the U.S. Borrower or a Restricted Subsidiary has entered into a binding commitment to reinvest the proceeds of any such Asset Sale Prepayment Event or Casualty Event prior to the expiration of such 15 months or 18 months, as applicable).</w:t>
      </w:r>
    </w:p>
    <w:p>
      <w:pPr>
        <w:spacing w:after="0" w:line="48" w:lineRule="exact"/>
        <w:rPr>
          <w:sz w:val="20"/>
          <w:szCs w:val="20"/>
          <w:color w:val="auto"/>
        </w:rPr>
      </w:pPr>
    </w:p>
    <w:p>
      <w:pPr>
        <w:ind w:right="68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trustees, employees, agents and advisors of such Person and such Person’s Affiliates.</w:t>
      </w:r>
    </w:p>
    <w:p>
      <w:pPr>
        <w:spacing w:after="0" w:line="3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Borrower’s Tax Jurisdiction</w:t>
      </w:r>
      <w:r>
        <w:rPr>
          <w:rFonts w:ascii="Times New Roman" w:cs="Times New Roman" w:eastAsia="Times New Roman" w:hAnsi="Times New Roman"/>
          <w:sz w:val="20"/>
          <w:szCs w:val="20"/>
          <w:color w:val="auto"/>
        </w:rPr>
        <w:t>” means (a) in the case of a Loan made to any U.K. Borrower, the United Kingdom and (b) in the case of a Loan made to an Irish Borrower, Ireland.</w:t>
      </w:r>
    </w:p>
    <w:p>
      <w:pPr>
        <w:spacing w:after="0" w:line="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Federal Reserve Board and/or the NYFRB, or a committee officially endorsed or convened by the Federal Reserve Board and/or the NYFRB or, in each case,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05" w:name="page206"/>
    <w:bookmarkEnd w:id="205"/>
    <w:p>
      <w:pPr>
        <w:ind w:right="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Remaining Term Percentage</w:t>
      </w:r>
      <w:r>
        <w:rPr>
          <w:rFonts w:ascii="Times New Roman" w:cs="Times New Roman" w:eastAsia="Times New Roman" w:hAnsi="Times New Roman"/>
          <w:sz w:val="20"/>
          <w:szCs w:val="20"/>
          <w:color w:val="auto"/>
        </w:rPr>
        <w:t xml:space="preserve">” means, with respect to any Term Loan Facility, 100% on the date such Term Loan Facility is established;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date (and thereafter, until the next adjustment pursuant to this proviso) that (a) any Term Loans under such Term Loan Facility are converted to Term Loans under any other Term Loan Facility or (b) any New Term Loans are borrowed under such Term Loan Facility following the date of incurrence of the initial Term Loans under such Term Loan Facility, the Remaining Term Percentage with respect to such Term Loan Facility shall be equal to the product of (i) the Remaining Term Percentage for such Term Loan Facility in effect immediately prior to such conversion or the borrowing of such New Term Loans on such date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(ii) a fraction, (x) the numerator of which is the principal amount of Term Loans under such Term Loan Facility on the specified date following the conversion of Term Loans or the borrowing of such New Term Loans on such date occurring on such date and (y) the denominator of which is the principal amount of Term Loans outstanding on such date under such Term Loan Facility immediately prior to such conversion or the borrowing of such New Term Loans on such date.</w:t>
      </w:r>
    </w:p>
    <w:p>
      <w:pPr>
        <w:spacing w:after="0" w:line="8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Commitments</w:t>
      </w:r>
      <w:r>
        <w:rPr>
          <w:rFonts w:ascii="Times New Roman" w:cs="Times New Roman" w:eastAsia="Times New Roman" w:hAnsi="Times New Roman"/>
          <w:sz w:val="20"/>
          <w:szCs w:val="20"/>
          <w:color w:val="auto"/>
        </w:rPr>
        <w:t xml:space="preserve">” means New Revolving Commitments that are designated in the applicable supplement creating such New Revolving Commitments in accordance with Section 2.19 as “Replacement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New Revolving Commitments may only be designated as “Replacement Revolving Commitments” to the extent that after giving effect to the establishment of such Replacement Revolving Commitments on any Increased Amount Date (and any concurrent reduction in the amount of any other Revolving Commitments), the aggregate amount of Revolving Commitments in effect would not exceed the amount of Revolving Commitments in effect immediately prior to the effectiveness of such New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additional New Revolving Commitments that do not constitute Replacement Revolving Commitments and that are established concurrently therewith in accordance with Section 2.19 shall be disregarded for the purposes of such calculation).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Repricing Transaction</w:t>
      </w:r>
      <w:r>
        <w:rPr>
          <w:rFonts w:ascii="Times New Roman" w:cs="Times New Roman" w:eastAsia="Times New Roman" w:hAnsi="Times New Roman"/>
          <w:sz w:val="20"/>
          <w:szCs w:val="20"/>
          <w:color w:val="auto"/>
        </w:rPr>
        <w:t>” means, other than in connection with a transaction constituting a Change of Control or Transformative Acquisition,</w:t>
      </w:r>
    </w:p>
    <w:p>
      <w:pPr>
        <w:spacing w:after="0" w:line="22" w:lineRule="exact"/>
        <w:rPr>
          <w:sz w:val="20"/>
          <w:szCs w:val="20"/>
          <w:color w:val="auto"/>
        </w:rPr>
      </w:pPr>
    </w:p>
    <w:p>
      <w:pPr>
        <w:ind w:right="80" w:firstLine="8"/>
        <w:spacing w:after="0" w:line="249" w:lineRule="auto"/>
        <w:tabs>
          <w:tab w:leader="none" w:pos="23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prepayment or repayment of any U.S. Term B-7 Loan or U.S. Term B-8 Loan, as applicable, with the proceeds of, or any conversion of any U.S. Term B-7 Loan or U.S. Term B-8 Loan, as applicable, into, any new or replacement Indebtedness denominated in the same currency and constituting term loans with an Effective Yield less than the Effective Yield applicable to the U.S. Term B-7 Loan or U.S. Term B-8 Loan, respectively, and (ii) any amendment to this Agreement which reduces the Effective Yield applicable to any U.S. Term B-7 Loan or U.S. Term B-8 Loan, and, in the case of each of clauses (i) and (ii), which was for the primary purpose of reducing the Effective Yield on any U.S. Term B-7 Loan or U.S. Term B-8 Loan, as applicable.</w:t>
      </w:r>
    </w:p>
    <w:p>
      <w:pPr>
        <w:spacing w:after="0" w:line="8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Class Lenders</w:t>
      </w:r>
      <w:r>
        <w:rPr>
          <w:rFonts w:ascii="Times New Roman" w:cs="Times New Roman" w:eastAsia="Times New Roman" w:hAnsi="Times New Roman"/>
          <w:sz w:val="20"/>
          <w:szCs w:val="20"/>
          <w:color w:val="auto"/>
        </w:rPr>
        <w:t>” means (i) with respect to any Term Loan Facility, Lenders holding more than 50% of the Term Commitments and Term Loans under such Term Loan Facility, (ii) with respect to any Revolving Facility, Lenders holding more than 50% of the Revolving Commitments under such Revolving Facility or, if the Revolving Credit Termination Date has occurred with respect to such Revolving Facility, more than 50% of the Revolving Outstandings under such Revolving Facility and (iii) with respect to the Revolving Facilities, the Required Revolving Lenders. The Term Loans, Revolving Commitments and Revolving Outstandings of any Defaulting Lender shall not be included in the calculation of “Required Class Lenders.”</w:t>
      </w:r>
    </w:p>
    <w:p>
      <w:pPr>
        <w:spacing w:after="0" w:line="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Financial Covenant Lenders</w:t>
      </w:r>
      <w:r>
        <w:rPr>
          <w:rFonts w:ascii="Times New Roman" w:cs="Times New Roman" w:eastAsia="Times New Roman" w:hAnsi="Times New Roman"/>
          <w:sz w:val="20"/>
          <w:szCs w:val="20"/>
          <w:color w:val="auto"/>
        </w:rPr>
        <w:t xml:space="preserve">” means, collectively, Lenders having more than 50% of the sum of the Dollar Equivalent of (a) the aggregate outstanding amount of the Revolving Commitments or, with respect to any Revolving Facility after the Revolving Credit Termination Date with respect to such Revolving Facility, the Revolving Outstandings under such Revolving Facility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aggregate outstanding amount of all 2024 Refinancing Term A Loans, New Term A Loans and Extended Term Loans in respect of any of the foregoing then outstanding. The Revolving Commitments,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9"/>
          <w:szCs w:val="19"/>
          <w:color w:val="auto"/>
        </w:rPr>
        <w:t>Outstandings and Term Loans of any Defaulting Lender shall not be included in the calculation of “Required Financial Covenant Lenders.”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collectively, Lenders having more than 50% of the sum of the Dollar Equivalent of (a) the aggregate outstanding amount of the Revolving Commitments or, with respect to any Revolving Facility after the Revolving Credit Termination Date with respect to such Revolving Facility, the Revolving Outstandings under such Revolving Facility) and (b) the aggregate principal amount of all Term Loans then outstanding. The Term Loans, Revolving Commitments and Revolving Outstandings of any Defaulting Lender shall not be included in the calculation of “Required Lenders.”</w:t>
      </w:r>
    </w:p>
    <w:p>
      <w:pPr>
        <w:spacing w:after="0" w:line="8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Revolving Lenders</w:t>
      </w:r>
      <w:r>
        <w:rPr>
          <w:rFonts w:ascii="Times New Roman" w:cs="Times New Roman" w:eastAsia="Times New Roman" w:hAnsi="Times New Roman"/>
          <w:sz w:val="20"/>
          <w:szCs w:val="20"/>
          <w:color w:val="auto"/>
        </w:rPr>
        <w:t>” means, collectively, Lenders having more than 50% of the sum of the Dollar Equivalent of the aggregate outstanding amount of the Revolving Commitments or, with respect to any Revolving Facility after the Revolving Credit Termination Date with respect to such Revolving Facility, the Revolving Outstandings under such Revolving Facility. The Revolving Commitments and Revolving Outstandings of any Defaulting Lender shall not be included in the calculation of “Required Revolving Lenders.”</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as to any Person, the Certificate of Incorporation and By-Laws or other organizational or governing documents of such Person, and any law, treaty, rule, executive order or regulation or determination of an arbitrator or a court or other Governmental Authority, in each case applicable to or binding upon such Person or any of its property or to which such Person or any of its property is subject.</w:t>
      </w:r>
    </w:p>
    <w:p>
      <w:pPr>
        <w:spacing w:after="0" w:line="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of any Person means the chief executive officer, the president, any vice president, any director, the chief operating officer or any financial officer of such Person and any other officer or similar official thereof responsible for the administration of the obligations of such Person in respect of this Agreement, and, as to any document delivered on the Closing Date (but subject to the express requirements set forth in Section 4.01), shall include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67"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Lender</w:t>
      </w:r>
      <w:r>
        <w:rPr>
          <w:rFonts w:ascii="Times New Roman" w:cs="Times New Roman" w:eastAsia="Times New Roman" w:hAnsi="Times New Roman"/>
          <w:sz w:val="20"/>
          <w:szCs w:val="20"/>
          <w:color w:val="auto"/>
        </w:rPr>
        <w:t>” means a Lender that is incorporated, established or resident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xml:space="preserve"> within the meaning of section 2 paragraph 15 of the German Foreign Trade Law (</w:t>
      </w:r>
      <w:r>
        <w:rPr>
          <w:rFonts w:ascii="Times New Roman" w:cs="Times New Roman" w:eastAsia="Times New Roman" w:hAnsi="Times New Roman"/>
          <w:sz w:val="20"/>
          <w:szCs w:val="20"/>
          <w:i w:val="1"/>
          <w:iCs w:val="1"/>
          <w:color w:val="auto"/>
        </w:rPr>
        <w:t>Außenwirtschaftsgesetz, AWG</w:t>
      </w:r>
      <w:r>
        <w:rPr>
          <w:rFonts w:ascii="Times New Roman" w:cs="Times New Roman" w:eastAsia="Times New Roman" w:hAnsi="Times New Roman"/>
          <w:sz w:val="20"/>
          <w:szCs w:val="20"/>
          <w:color w:val="auto"/>
        </w:rPr>
        <w:t>)) or that notifies the Agent to this effect.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has the meaning assigned to such term in Section 6.04.</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xml:space="preserve">” means, at any time, any direct or indirect Subsidiary of the U.S. Borrower (including any Foreign Subsidiary) that is not then an 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occurrence of an Unrestricted Subsidiary ceasing to be an Unrestricted Subsidiary, such Subsidiary shall be included in the definition of “Restricted Subsidiary.”</w:t>
      </w:r>
    </w:p>
    <w:p>
      <w:pPr>
        <w:spacing w:after="0" w:line="73" w:lineRule="exact"/>
        <w:rPr>
          <w:sz w:val="20"/>
          <w:szCs w:val="20"/>
          <w:color w:val="auto"/>
        </w:rPr>
      </w:pPr>
    </w:p>
    <w:p>
      <w:pPr>
        <w:ind w:right="320"/>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Available Credit</w:t>
      </w:r>
      <w:r>
        <w:rPr>
          <w:rFonts w:ascii="Times New Roman" w:cs="Times New Roman" w:eastAsia="Times New Roman" w:hAnsi="Times New Roman"/>
          <w:sz w:val="19"/>
          <w:szCs w:val="19"/>
          <w:color w:val="auto"/>
        </w:rPr>
        <w:t xml:space="preserve">” means, at any time under any Revolving Facility, (a) the then effective aggregate Revolving Commitments under such Revolving Facility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aggregate Revolving Outstandings at such time under such Revolving Facility.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 means 2024 Tranche Revolving Commitments and any New Revolving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Borrowing</w:t>
      </w:r>
      <w:r>
        <w:rPr>
          <w:rFonts w:ascii="Times New Roman" w:cs="Times New Roman" w:eastAsia="Times New Roman" w:hAnsi="Times New Roman"/>
          <w:sz w:val="20"/>
          <w:szCs w:val="20"/>
          <w:color w:val="auto"/>
        </w:rPr>
        <w:t>” means any Borrowing under any Revolving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Note</w:t>
      </w:r>
      <w:r>
        <w:rPr>
          <w:rFonts w:ascii="Times New Roman" w:cs="Times New Roman" w:eastAsia="Times New Roman" w:hAnsi="Times New Roman"/>
          <w:sz w:val="20"/>
          <w:szCs w:val="20"/>
          <w:color w:val="auto"/>
        </w:rPr>
        <w:t xml:space="preserve">” means a promissory note of the Borrowers under a Revolving Facility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60"/>
          </w:cols>
          <w:pgMar w:left="320" w:top="1413" w:right="419" w:bottom="1440" w:gutter="0" w:footer="0" w:header="0"/>
        </w:sectPr>
      </w:pPr>
    </w:p>
    <w:bookmarkStart w:id="207" w:name="page208"/>
    <w:bookmarkEnd w:id="207"/>
    <w:p>
      <w:pPr>
        <w:ind w:right="24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Termination Date</w:t>
      </w:r>
      <w:r>
        <w:rPr>
          <w:rFonts w:ascii="Times New Roman" w:cs="Times New Roman" w:eastAsia="Times New Roman" w:hAnsi="Times New Roman"/>
          <w:sz w:val="20"/>
          <w:szCs w:val="20"/>
          <w:color w:val="auto"/>
        </w:rPr>
        <w:t>” means, with respect to any Revolving Facility, the earliest of (a) the Scheduled Termination Date for such Revolving Facility, (b) the date of termination of all of the Revolving Commitments under such Revolving Facility pursuant to Section 2.05 the date on which the Loans under such Revolving Facility become due and payable pursuant to Section 7.02(a) or the Revolving Commitments under such Revolving Facility are terminated.</w:t>
      </w:r>
    </w:p>
    <w:p>
      <w:pPr>
        <w:spacing w:after="0" w:line="6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Facilities</w:t>
      </w:r>
      <w:r>
        <w:rPr>
          <w:rFonts w:ascii="Times New Roman" w:cs="Times New Roman" w:eastAsia="Times New Roman" w:hAnsi="Times New Roman"/>
          <w:sz w:val="20"/>
          <w:szCs w:val="20"/>
          <w:color w:val="auto"/>
        </w:rPr>
        <w:t>” means, collectively, the 2024 Tranche Revolving Facility and each New Revolving Facility and “</w:t>
      </w:r>
      <w:r>
        <w:rPr>
          <w:rFonts w:ascii="Times New Roman" w:cs="Times New Roman" w:eastAsia="Times New Roman" w:hAnsi="Times New Roman"/>
          <w:sz w:val="20"/>
          <w:szCs w:val="20"/>
          <w:u w:val="single" w:color="auto"/>
          <w:color w:val="auto"/>
        </w:rPr>
        <w:t>Revolving Facility</w:t>
      </w:r>
      <w:r>
        <w:rPr>
          <w:rFonts w:ascii="Times New Roman" w:cs="Times New Roman" w:eastAsia="Times New Roman" w:hAnsi="Times New Roman"/>
          <w:sz w:val="20"/>
          <w:szCs w:val="20"/>
          <w:color w:val="auto"/>
        </w:rPr>
        <w:t>” means any such facility individually.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 Lender with a Revolving Commitment or Revolving Outstandings, in its capacity as such.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2024 Tranche Revolving Loan or a New Revolving Loan.</w:t>
      </w:r>
    </w:p>
    <w:p>
      <w:pPr>
        <w:spacing w:after="0" w:line="1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Outstandings</w:t>
      </w:r>
      <w:r>
        <w:rPr>
          <w:rFonts w:ascii="Times New Roman" w:cs="Times New Roman" w:eastAsia="Times New Roman" w:hAnsi="Times New Roman"/>
          <w:sz w:val="19"/>
          <w:szCs w:val="19"/>
          <w:color w:val="auto"/>
        </w:rPr>
        <w:t>” means, at any particular time under any Revolving Facility, the sum of (a) the Dollar Equivalent of the principal amount of the Revolving Loans outstanding at such time under such Revolving Facility and (b) the LC Exposure at such time under such Revolving Facility. When used with respect to (i) any Borrower, the Revolving Outstandings shall constitute the portion of the Revolving Outstandings made to or on behalf of such Borrower and (ii) with respect to any Revolving Lender, the Revolving Outstandings of such Lender under any Revolving Facility shall be the Dollar Equivalent of its Revolving Loans and LC Exposure under such Revolving Facility.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Sublimit</w:t>
      </w:r>
      <w:r>
        <w:rPr>
          <w:rFonts w:ascii="Times New Roman" w:cs="Times New Roman" w:eastAsia="Times New Roman" w:hAnsi="Times New Roman"/>
          <w:sz w:val="20"/>
          <w:szCs w:val="20"/>
          <w:color w:val="auto"/>
        </w:rPr>
        <w:t>” means (i) with respect to the Canadian Borrower, $300,000,000, (ii) with respect to each U.K. Borrower,</w:t>
      </w:r>
    </w:p>
    <w:p>
      <w:pPr>
        <w:spacing w:after="0" w:line="2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$300,000,000, (iii) with respect to each Irish Borrower, $150,000,000, (iv) with respect to the German Borrower, $300,000,000, (v) with respect to the Lux Borrower, $150,000,000 and (vi) with respect to any Additional Foreign Borrower that is a Borrower under any Revolving Facility, the amount agreed by the Agent and the U.S. Borrower at the time such Additional Foreign Borrower becomes a Borrower under such Revolving Facility.</w:t>
      </w:r>
    </w:p>
    <w:p>
      <w:pPr>
        <w:spacing w:after="0" w:line="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any arrangement with any Person providing for the leasing by the U.S. Borrower or any Restricted Subsidiary of any real or tangible personal property, which property has been or is to be sold or transferred by the U.S. Borrower or such Restricted Subsidiary to such Person in contemplation of such leasing.</w:t>
      </w:r>
    </w:p>
    <w:p>
      <w:pPr>
        <w:spacing w:after="0" w:line="60"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division of the McGraw-Hill Companies, Inc., and any successor to its rating agency business.</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or whose government is the subject or target of country-wide Sanctions (as of the Closing Date, the so-called Donetsk People’s Republic, the so-called Luhansk People’s Republic, Cuba, Iran, North Korea, Syria and Crimea).</w:t>
      </w:r>
    </w:p>
    <w:p>
      <w:pPr>
        <w:spacing w:after="0" w:line="6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the Office of Foreign Assets Control of the U.S. Department of the Treasury, the U.S. Department of State, or by the United Nations Security Council, His Majesty’s Treasury, the Office of the Superintendent of Financial Institutions or the European Union, (b) any Person located, operating, organized or resident in a Sanctioned Country or (c) any Person that is 50% or more owned by a Person or Persons described in (a) or (b) of this definition.</w:t>
      </w:r>
    </w:p>
    <w:p>
      <w:pPr>
        <w:spacing w:after="0" w:line="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His Majesty’s Treasury, the Office of the Superintendent of Financial Institutions or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08" w:name="page209"/>
    <w:bookmarkEnd w:id="208"/>
    <w:p>
      <w:pPr>
        <w:ind w:right="6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Termination Date</w:t>
      </w:r>
      <w:r>
        <w:rPr>
          <w:rFonts w:ascii="Times New Roman" w:cs="Times New Roman" w:eastAsia="Times New Roman" w:hAnsi="Times New Roman"/>
          <w:sz w:val="20"/>
          <w:szCs w:val="20"/>
          <w:color w:val="auto"/>
        </w:rPr>
        <w:t xml:space="preserve">” means (i) with respect to the 2024 Tranche Revolving Facility, the 2024 Tranche Revolving Facility Scheduled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aggregate amount of Indebtedness outstanding under the U.S. Term B-7 Loans and the 2028 Senior Notes, and any Indebtedness constituting Refinancing Indebtedness or Permitted Refinancing Notes in respect thereof exceeds $500.0 million on the Springing Maturity Date, the 2024 Tranche Revolving Facility will mature on the Springing Maturity Date (if earlier than the 2024 Tranche Revolving Facility Scheduled Maturity Date) and (ii) with respect to any New Revolving Facility, the date specified as such in the applicable supplement pursuant to Section 2.19 establishing such New Revolving Facility.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or all of its functions.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Obligations</w:t>
      </w:r>
      <w:r>
        <w:rPr>
          <w:rFonts w:ascii="Times New Roman" w:cs="Times New Roman" w:eastAsia="Times New Roman" w:hAnsi="Times New Roman"/>
          <w:sz w:val="20"/>
          <w:szCs w:val="20"/>
          <w:color w:val="auto"/>
        </w:rPr>
        <w:t>” means all obligations owing by the U.S. Borrower or any Restricted Subsidiary to the Agent, a Joint Lead Arranger, Co-Documentation Agent, any Affiliate of any of the foregoing or a Person that was a Lender or an Affiliate of a Lender on the Closing Date or at the time the Cash Management Agreement giving rise to such obligations was entered into.</w:t>
      </w:r>
    </w:p>
    <w:p>
      <w:pPr>
        <w:spacing w:after="0" w:line="73"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Hedging Obligations</w:t>
      </w:r>
      <w:r>
        <w:rPr>
          <w:rFonts w:ascii="Times New Roman" w:cs="Times New Roman" w:eastAsia="Times New Roman" w:hAnsi="Times New Roman"/>
          <w:sz w:val="20"/>
          <w:szCs w:val="20"/>
          <w:color w:val="auto"/>
        </w:rPr>
        <w:t>” means all Hedging Obligations owing by the U.S. Borrower or any Restricted Subsidiary to the Agent, a Joint Lead Arranger, Co-Documentation Agent or any Affiliate of any of the foregoing or a Person that was a Lender or an Affiliate of a Lender on the Closing Date or at the time the Hedge Agreement giving rise to such Hedging Obligations was entered into.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Indebtedness</w:t>
      </w:r>
      <w:r>
        <w:rPr>
          <w:rFonts w:ascii="Times New Roman" w:cs="Times New Roman" w:eastAsia="Times New Roman" w:hAnsi="Times New Roman"/>
          <w:sz w:val="20"/>
          <w:szCs w:val="20"/>
          <w:color w:val="auto"/>
        </w:rPr>
        <w:t>” means any Indebtedness secured by a Lien.</w:t>
      </w:r>
    </w:p>
    <w:p>
      <w:pPr>
        <w:spacing w:after="0" w:line="10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means all Obligations, together with all Secured Hedging Obligations and Secured Cash Management Obligations, excluding, with respect to any Loan Party, Excluded Swap Obligations of such Loan Party.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has the meaning assigned to such term in the Security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and the rules and regulations of the SEC promulgated thereunder.</w:t>
      </w:r>
    </w:p>
    <w:p>
      <w:pPr>
        <w:spacing w:after="0" w:line="12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that certain U.S. Pledge and Security Agreement, dated as of the Closing Date, between the Loan Parties and the Agent, for the benefit of the Agent and the other Secured Parties.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w:t>
      </w:r>
      <w:r>
        <w:rPr>
          <w:rFonts w:ascii="Times New Roman" w:cs="Times New Roman" w:eastAsia="Times New Roman" w:hAnsi="Times New Roman"/>
          <w:sz w:val="20"/>
          <w:szCs w:val="20"/>
          <w:color w:val="auto"/>
        </w:rPr>
        <w:t>” has the meaning assigned to such term in Section 2.19(a).</w:t>
      </w:r>
    </w:p>
    <w:p>
      <w:pPr>
        <w:spacing w:after="0" w:line="108"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means any Subsidiary (or group of Subsidiaries as to which any condition specified in clause (f) or (g) of Section 7.01 applies) of the U.S. Borrower that would be a “significant subsidiary” as defined in Article I, Rule 2-02 of Regulation S-X, promulgated pursuant to the Securities Act, as such regulation is in effect on the date hereof.</w:t>
      </w:r>
    </w:p>
    <w:p>
      <w:pPr>
        <w:spacing w:after="0" w:line="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Similar Business</w:t>
      </w:r>
      <w:r>
        <w:rPr>
          <w:rFonts w:ascii="Times New Roman" w:cs="Times New Roman" w:eastAsia="Times New Roman" w:hAnsi="Times New Roman"/>
          <w:sz w:val="20"/>
          <w:szCs w:val="20"/>
          <w:color w:val="auto"/>
        </w:rPr>
        <w:t>” means any business engaged or proposed to be engaged in by the U.S. Borrower and its Restricted Subsidiaries as of the Amendment No. 15 Effective Date and similar, corollary, ancillary, supportive, complementary, synergetic or related businesses or reasonable extensions thereof.</w:t>
      </w:r>
    </w:p>
    <w:p>
      <w:pPr>
        <w:spacing w:after="0" w:line="73"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with respect to any day means the secured overnight financing rate published for such day by the NYFRB, as the administrator of the benchmark (or a successor administrator), on the Federal Reserve Bank of New York’s Website.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Determination Date</w:t>
      </w:r>
      <w:r>
        <w:rPr>
          <w:rFonts w:ascii="Times New Roman" w:cs="Times New Roman" w:eastAsia="Times New Roman" w:hAnsi="Times New Roman"/>
          <w:sz w:val="20"/>
          <w:szCs w:val="20"/>
          <w:color w:val="auto"/>
        </w:rPr>
        <w:t>” has the meaning specified in the definition of “Daily Simple SOFR”.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specified in the definition of “Daily Simple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09" w:name="page210"/>
    <w:bookmarkEnd w:id="209"/>
    <w:p>
      <w:pPr>
        <w:ind w:right="2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w:t>
      </w:r>
      <w:r>
        <w:rPr>
          <w:rFonts w:ascii="Times New Roman" w:cs="Times New Roman" w:eastAsia="Times New Roman" w:hAnsi="Times New Roman"/>
          <w:sz w:val="20"/>
          <w:szCs w:val="20"/>
          <w:color w:val="auto"/>
        </w:rPr>
        <w:t>” means the Bank of England (or any successor administrator of the Sterling Overnight Index Average).</w:t>
      </w:r>
    </w:p>
    <w:p>
      <w:pPr>
        <w:spacing w:after="0" w:line="121"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Sterling Overnight Index Average identified as such by the SONIA Administrator from time to time.</w:t>
      </w:r>
    </w:p>
    <w:p>
      <w:pPr>
        <w:spacing w:after="0" w:line="6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Interest Period</w:t>
      </w:r>
      <w:r>
        <w:rPr>
          <w:rFonts w:ascii="Times New Roman" w:cs="Times New Roman" w:eastAsia="Times New Roman" w:hAnsi="Times New Roman"/>
          <w:sz w:val="20"/>
          <w:szCs w:val="20"/>
          <w:color w:val="auto"/>
        </w:rPr>
        <w:t xml:space="preserve">” means, relative to any SONIA Rate Loan, the period beginning on (and including) the date on which such SONIA Rate Loan is made or continued to (but excluding) the date which is one month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any SONIA Interest Period would end on a day other than a Business Day, such SONIA Interest Period shall be extended to the next succeeding Business Day unless such next succeeding Business Day would fall in the next calendar month, in which case such SONIA Interest Period shall end on the next preceding Business Day, (b) any SONIA Interest Period that commences on the last Business Day of a calendar month (or on a day for which there is no numerically corresponding day in the last calendar month of such SONIA Interest Period) shall end on the last Business Day of the last calendar month of such SONIA Interest Period and (c) no SONIA Interest Period shall end after the final maturity for the applicable Facility.</w:t>
      </w:r>
    </w:p>
    <w:p>
      <w:pPr>
        <w:spacing w:after="0" w:line="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Rate</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SONIA Interest Day</w:t>
      </w:r>
      <w:r>
        <w:rPr>
          <w:rFonts w:ascii="Times New Roman" w:cs="Times New Roman" w:eastAsia="Times New Roman" w:hAnsi="Times New Roman"/>
          <w:sz w:val="20"/>
          <w:szCs w:val="20"/>
          <w:color w:val="auto"/>
        </w:rPr>
        <w:t xml:space="preserve">”), SONIA for the day that is the fifth Business Day prior to (A) if SONIA Interest Day is a Business Day, such SONIA Interest Day or (B) if such SONIA Interest Day is not a Business Day, the Business Day immediately preceding SONIA Interest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SONIA Rate shall be less than zero, the SONIA Rate shall be deemed to be zero. Any change in the SONIA Rate due to a change in SONIA shall be effective from and including the effective date of such change in SONIA without notice to the Borrower.</w:t>
      </w:r>
    </w:p>
    <w:p>
      <w:pPr>
        <w:spacing w:after="0" w:line="84"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Spain</w:t>
      </w:r>
      <w:r>
        <w:rPr>
          <w:rFonts w:ascii="Times New Roman" w:cs="Times New Roman" w:eastAsia="Times New Roman" w:hAnsi="Times New Roman"/>
          <w:sz w:val="20"/>
          <w:szCs w:val="20"/>
          <w:color w:val="auto"/>
        </w:rPr>
        <w:t>” means the Kingdom of Spain.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Indebtedness</w:t>
      </w:r>
      <w:r>
        <w:rPr>
          <w:rFonts w:ascii="Times New Roman" w:cs="Times New Roman" w:eastAsia="Times New Roman" w:hAnsi="Times New Roman"/>
          <w:sz w:val="20"/>
          <w:szCs w:val="20"/>
          <w:color w:val="auto"/>
        </w:rPr>
        <w:t>” has the meaning provided in Section 9.02(g).</w:t>
      </w:r>
    </w:p>
    <w:p>
      <w:pPr>
        <w:spacing w:after="0" w:line="121"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Springing Maturity Date</w:t>
      </w:r>
      <w:r>
        <w:rPr>
          <w:rFonts w:ascii="Times New Roman" w:cs="Times New Roman" w:eastAsia="Times New Roman" w:hAnsi="Times New Roman"/>
          <w:sz w:val="20"/>
          <w:szCs w:val="20"/>
          <w:color w:val="auto"/>
        </w:rPr>
        <w:t>” means the date that is 91 days prior to the earlier of (x) the U.S. Term B-7 Loan Maturity Date and (y) the maturity date of the 2028 Senior Notes.</w:t>
      </w:r>
    </w:p>
    <w:p>
      <w:pPr>
        <w:spacing w:after="0" w:line="6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Receivables Facility Undertakings</w:t>
      </w:r>
      <w:r>
        <w:rPr>
          <w:rFonts w:ascii="Times New Roman" w:cs="Times New Roman" w:eastAsia="Times New Roman" w:hAnsi="Times New Roman"/>
          <w:sz w:val="20"/>
          <w:szCs w:val="20"/>
          <w:color w:val="auto"/>
        </w:rPr>
        <w:t>” means representations, warranties, covenants and indemnities entered into by the U.S. Borrower or any Restricted Subsidiary of the U.S. Borrower that the U.S. Borrower has determined in good faith to be customary in financings similar to a Receivables Facility, including, without limitation, those relating to the servicing of the assets of a Receivables Facility Subsidiary, it being understood that any Receivables Facility Repurchase Obligation shall be deemed to be a Standard Receivables Facility Undertaking.</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Eurocurrency Rate for eurocurrency funding (currently referred to as “Eurocurrency Liabilities” in Regulation D of the Board). Such reserve percentage shall include those imposed pursuant to such Regulation D. Eurocurrency Rate Loans shall be deemed to constitute eurocurrency funding and to be subject to such reserve requirements without benefit of or credit for proration, exemptions or offsets that may be available from time to time to any Lender under such Regulation D or any comparable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0"/>
          <w:szCs w:val="20"/>
          <w:color w:val="auto"/>
        </w:rPr>
        <w:t>The Statutory Reserve Rate shall be adjusted automatically on and as of the effective date of any change in any reserve percentage.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the sign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each mean the lawful money of the United Kingdom.</w:t>
      </w:r>
    </w:p>
    <w:p>
      <w:pPr>
        <w:spacing w:after="0" w:line="10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any Material Indebtedness of the U.S. Borrower or any Subsidiary Guarantor (other than Indebtedness owing to the U.S. Borrower or a Restricted Subsidiary) that by its terms is expressly subordinated to the obligations of the U.S. Borrower or such Subsidiary Guarantor under this Agreement with respect to the Obligations.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Subsequent Transaction</w:t>
      </w:r>
      <w:r>
        <w:rPr>
          <w:rFonts w:ascii="Times New Roman" w:cs="Times New Roman" w:eastAsia="Times New Roman" w:hAnsi="Times New Roman"/>
          <w:sz w:val="20"/>
          <w:szCs w:val="20"/>
          <w:color w:val="auto"/>
        </w:rPr>
        <w:t>” has the meaning provided in Section 1.10.</w:t>
      </w:r>
    </w:p>
    <w:p>
      <w:pPr>
        <w:spacing w:after="0" w:line="12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(a) 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(b) any partnership, joint venture, limited liability company or similar entity of which (i)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 (ii) such Person or any subsidiary of such Person is a controlling general partner or otherwise controls such entity.</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means each Restricted Subsidiary of the U.S. Borrower that executes this Agreement as a Loan Guarantor on the Closing Date and each other Restricted Subsidiary of the U.S. Borrower that thereafter becomes a Subsidiary Guarantor pursuant to a Joinder Agreement except for any Restricted Subsidiary that has been released as a Subsidiary Guarantor in accordance with the terms of this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Foreign Borrower</w:t>
      </w:r>
      <w:r>
        <w:rPr>
          <w:rFonts w:ascii="Times New Roman" w:cs="Times New Roman" w:eastAsia="Times New Roman" w:hAnsi="Times New Roman"/>
          <w:sz w:val="20"/>
          <w:szCs w:val="20"/>
          <w:color w:val="auto"/>
        </w:rPr>
        <w:t>” has the meaning assigned to such term in Section 6.03(d)(i).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Holdings Guarantor</w:t>
      </w:r>
      <w:r>
        <w:rPr>
          <w:rFonts w:ascii="Times New Roman" w:cs="Times New Roman" w:eastAsia="Times New Roman" w:hAnsi="Times New Roman"/>
          <w:sz w:val="20"/>
          <w:szCs w:val="20"/>
          <w:color w:val="auto"/>
        </w:rPr>
        <w:t>” has the meaning assigned to such term in Section 6.03(c).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Person</w:t>
      </w:r>
      <w:r>
        <w:rPr>
          <w:rFonts w:ascii="Times New Roman" w:cs="Times New Roman" w:eastAsia="Times New Roman" w:hAnsi="Times New Roman"/>
          <w:sz w:val="20"/>
          <w:szCs w:val="20"/>
          <w:color w:val="auto"/>
        </w:rPr>
        <w:t>” has the meaning assigned to such term in Section 6.03(b)(i).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U.S. Borrower</w:t>
      </w:r>
      <w:r>
        <w:rPr>
          <w:rFonts w:ascii="Times New Roman" w:cs="Times New Roman" w:eastAsia="Times New Roman" w:hAnsi="Times New Roman"/>
          <w:sz w:val="20"/>
          <w:szCs w:val="20"/>
          <w:color w:val="auto"/>
        </w:rPr>
        <w:t>” has the meaning assigned to such term in Section 6.03(a)(i).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it in Section 9.18.</w:t>
      </w:r>
    </w:p>
    <w:p>
      <w:pPr>
        <w:spacing w:after="0" w:line="108"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Agreement</w:t>
      </w:r>
      <w:r>
        <w:rPr>
          <w:rFonts w:ascii="Times New Roman" w:cs="Times New Roman" w:eastAsia="Times New Roman" w:hAnsi="Times New Roman"/>
          <w:sz w:val="19"/>
          <w:szCs w:val="19"/>
          <w:color w:val="auto"/>
        </w:rPr>
        <w:t xml:space="preserve">” means any agreement with respect to any Swap Obligation,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phantom stock or similar plan providing for payments only on account of services provided by current or former directors, officers, employees or consultants of the Borrowers or the Subsidiaries shall be a Swap Agreement.</w:t>
      </w:r>
    </w:p>
    <w:p>
      <w:pPr>
        <w:spacing w:after="0" w:line="4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means Trans-European Automated Real-time Gross Settlement Express Transfer payment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TARGET is open for the settlement of payments in Euro.</w:t>
      </w:r>
    </w:p>
    <w:p>
      <w:pPr>
        <w:spacing w:after="0" w:line="12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penalties or additions to tax applicable thereto.</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TCA</w:t>
      </w:r>
      <w:r>
        <w:rPr>
          <w:rFonts w:ascii="Times New Roman" w:cs="Times New Roman" w:eastAsia="Times New Roman" w:hAnsi="Times New Roman"/>
          <w:sz w:val="20"/>
          <w:szCs w:val="20"/>
          <w:color w:val="auto"/>
        </w:rPr>
        <w:t>” means the Irish Taxes Consolidation Act 1997.</w:t>
      </w:r>
    </w:p>
    <w:p>
      <w:pPr>
        <w:spacing w:after="0" w:line="108" w:lineRule="exact"/>
        <w:rPr>
          <w:sz w:val="20"/>
          <w:szCs w:val="20"/>
          <w:color w:val="auto"/>
        </w:rPr>
      </w:pPr>
    </w:p>
    <w:p>
      <w:pPr>
        <w:ind w:right="9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when used in reference to any Loan or Borrowing, refers to whether such Loan, or the Loans comprising such Borrowing, are bearing interest at a rate determined by reference to the Adjusted Term SOFR Rate.</w:t>
      </w:r>
    </w:p>
    <w:p>
      <w:pPr>
        <w:spacing w:after="0" w:line="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 Interest Period</w:t>
      </w:r>
      <w:r>
        <w:rPr>
          <w:rFonts w:ascii="Times New Roman" w:cs="Times New Roman" w:eastAsia="Times New Roman" w:hAnsi="Times New Roman"/>
          <w:sz w:val="19"/>
          <w:szCs w:val="19"/>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 if any Term Benchmark Interest Period would end on a day other than a Business Day, such Term Benchmark Interest Period shall be extended to the next succeeding Business Day unless such next succeeding Business Day would fall in the next calendar month, in which case such Term Benchmark Interest Period shall end on the next preceding Business Day, and (ii) any Term Benchmark Interest Period that commences on the last Business Day of a calendar month (or on a day for which there is no numerically corresponding day in the last calendar month of such Term Benchmark Interest Period) shall end on the last Business Day of the last calendar month of such Term Benchmark Interest Period.</w:t>
      </w:r>
    </w:p>
    <w:p>
      <w:pPr>
        <w:spacing w:after="0" w:line="61"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Commitments</w:t>
      </w:r>
      <w:r>
        <w:rPr>
          <w:rFonts w:ascii="Times New Roman" w:cs="Times New Roman" w:eastAsia="Times New Roman" w:hAnsi="Times New Roman"/>
          <w:sz w:val="20"/>
          <w:szCs w:val="20"/>
          <w:color w:val="auto"/>
        </w:rPr>
        <w:t>” means each of the U.S. Term B-7 Commitments, U.S. Term B-8 Commitments, Canadian Term A-4 Commitments, Euro Term A-3 Commitments, GBP Term A Commitments, U.S. Term A Commitments, U.S. Term A-1 Commitments and, if applicable, New Term Commitments with respect to any Series.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Administrator</w:t>
      </w:r>
      <w:r>
        <w:rPr>
          <w:rFonts w:ascii="Times New Roman" w:cs="Times New Roman" w:eastAsia="Times New Roman" w:hAnsi="Times New Roman"/>
          <w:sz w:val="20"/>
          <w:szCs w:val="20"/>
          <w:color w:val="auto"/>
        </w:rPr>
        <w:t>” means Candeal Benchmark Administration Services Inc., TSX Inc., or any successor administrator.</w:t>
      </w:r>
    </w:p>
    <w:p>
      <w:pPr>
        <w:spacing w:after="0" w:line="12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Interest Period</w:t>
      </w:r>
      <w:r>
        <w:rPr>
          <w:rFonts w:ascii="Times New Roman" w:cs="Times New Roman" w:eastAsia="Times New Roman" w:hAnsi="Times New Roman"/>
          <w:sz w:val="20"/>
          <w:szCs w:val="20"/>
          <w:color w:val="auto"/>
        </w:rPr>
        <w:t xml:space="preserve">” means, relative to any Term CORRA Rate Loan, the period commencing on the date of such Borrowing and ending on the numerically corresponding day in the calendar month that is one or three months thereafter (subject to the availability of Term CORRA applicable to the relevant Loan or Commitment for Canadian Dollars), as the Borrower may elect;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 if any Term CORRA Interest Period would end on a day other than a Business Day, such Interest Period shall be extended to the next succeeding Business Day unless such next succeeding Business Day would fall in the next calendar month, in which case such Term CORRA Interest Period shall end on the next preceding Business Day, (b) any Term CORRA Interest Period that commences on the last Business Day of a calendar month (or on a day for which there is no numerically corresponding day in the last calendar month of such Term CORRA Interest Period) shall end on the last Business Day of the last calendar month of such Term CORRA Interest Period and (c) no Term CORRA Interest Period shall end after the final maturity date for the applicable Facility.</w:t>
      </w:r>
    </w:p>
    <w:p>
      <w:pPr>
        <w:spacing w:after="0" w:line="85"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Notice</w:t>
      </w:r>
      <w:r>
        <w:rPr>
          <w:rFonts w:ascii="Times New Roman" w:cs="Times New Roman" w:eastAsia="Times New Roman" w:hAnsi="Times New Roman"/>
          <w:sz w:val="20"/>
          <w:szCs w:val="20"/>
          <w:color w:val="auto"/>
        </w:rPr>
        <w:t>” means a notification by the Administrative Agent to the Lenders in consultation with the Borrower of the occurrence of a Term CORRA Reelection Event.</w:t>
      </w:r>
    </w:p>
    <w:p>
      <w:pPr>
        <w:spacing w:after="0" w:line="38"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Rate</w:t>
      </w:r>
      <w:r>
        <w:rPr>
          <w:rFonts w:ascii="Times New Roman" w:cs="Times New Roman" w:eastAsia="Times New Roman" w:hAnsi="Times New Roman"/>
          <w:sz w:val="20"/>
          <w:szCs w:val="20"/>
          <w:color w:val="auto"/>
        </w:rPr>
        <w:t>” means, with respect to any Borrowing denominated in Canadian Dollars, the Term CORRA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CORRA Determination Day</w:t>
      </w:r>
      <w:r>
        <w:rPr>
          <w:rFonts w:ascii="Times New Roman" w:cs="Times New Roman" w:eastAsia="Times New Roman" w:hAnsi="Times New Roman"/>
          <w:sz w:val="20"/>
          <w:szCs w:val="20"/>
          <w:color w:val="auto"/>
        </w:rPr>
        <w:t xml:space="preserve">”) that is two (2) Business Days prior to the first day of such Interest Period, as such rate is published by the Term CORRA Administrator;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as of 1:00 p.m. (Toronto time) on any Periodic Term CORRA Determination Day the Term CORRA Reference Rate for the applicable tenor has not been published by the Term CORRA Administrator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12" w:name="page213"/>
    <w:bookmarkEnd w:id="212"/>
    <w:p>
      <w:pPr>
        <w:spacing w:after="0" w:line="253" w:lineRule="auto"/>
        <w:rPr>
          <w:sz w:val="20"/>
          <w:szCs w:val="20"/>
          <w:color w:val="auto"/>
        </w:rPr>
      </w:pPr>
      <w:r>
        <w:rPr>
          <w:rFonts w:ascii="Times New Roman" w:cs="Times New Roman" w:eastAsia="Times New Roman" w:hAnsi="Times New Roman"/>
          <w:sz w:val="20"/>
          <w:szCs w:val="20"/>
          <w:color w:val="auto"/>
        </w:rPr>
        <w:t xml:space="preserve">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w:t>
      </w:r>
      <w:r>
        <w:rPr>
          <w:rFonts w:ascii="Times New Roman" w:cs="Times New Roman" w:eastAsia="Times New Roman" w:hAnsi="Times New Roman"/>
          <w:sz w:val="20"/>
          <w:szCs w:val="20"/>
          <w:u w:val="single" w:color="auto"/>
          <w:color w:val="0000FF"/>
        </w:rPr>
        <w:t>Notwithstanding the foregoing, in the event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that the Term CORRA Rate as determined above for any Term CORRA Interest Period shall be less than 0.00%, the Term CORRA Rate for such Term CORRA Interest Period shall instead be deemed to be 0.00%.</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Rate Loan</w:t>
      </w:r>
      <w:r>
        <w:rPr>
          <w:rFonts w:ascii="Times New Roman" w:cs="Times New Roman" w:eastAsia="Times New Roman" w:hAnsi="Times New Roman"/>
          <w:sz w:val="20"/>
          <w:szCs w:val="20"/>
          <w:color w:val="auto"/>
        </w:rPr>
        <w:t>” means a Loan that bears interest at a rate based on the Term CORRA Rate.</w:t>
      </w:r>
    </w:p>
    <w:p>
      <w:pPr>
        <w:spacing w:after="0" w:line="108"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Reelection Event</w:t>
      </w:r>
      <w:r>
        <w:rPr>
          <w:rFonts w:ascii="Times New Roman" w:cs="Times New Roman" w:eastAsia="Times New Roman" w:hAnsi="Times New Roman"/>
          <w:sz w:val="20"/>
          <w:szCs w:val="20"/>
          <w:color w:val="auto"/>
        </w:rPr>
        <w:t>” means the determination by the Administrative Agent, in consultation with the Borrower, that (a) the Term CORRA Rate has been recommended for use by the Relevant Governmental Body, (b) the administration of the Term CORRA Rate is administratively feasible for the Administrative Agent and (c) a Benchmark Transition Event, has previously occurred resulting in a Benchmark Replacement in accordance with Section 2.14(f) that is not the Term CORRA 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Reference Rate</w:t>
      </w:r>
      <w:r>
        <w:rPr>
          <w:rFonts w:ascii="Times New Roman" w:cs="Times New Roman" w:eastAsia="Times New Roman" w:hAnsi="Times New Roman"/>
          <w:sz w:val="20"/>
          <w:szCs w:val="20"/>
          <w:color w:val="auto"/>
        </w:rPr>
        <w:t>” means the forward-looking term rate based on CORRA.</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each of the U.S. Term B-4 Loans, U.S. Term B-7 Loans, U.S. Term B-8 Loans, the Canadian Term A-4 Loans, the Euro Term A-3 Loans, the GBP Term A Loans, the U.S. Term A Loans, the U.S. Term A-1 Loans and, if applicable, New Term Loans with respect to any Series and any Extended Term Loans.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Borrowing</w:t>
      </w:r>
      <w:r>
        <w:rPr>
          <w:rFonts w:ascii="Times New Roman" w:cs="Times New Roman" w:eastAsia="Times New Roman" w:hAnsi="Times New Roman"/>
          <w:sz w:val="20"/>
          <w:szCs w:val="20"/>
          <w:color w:val="auto"/>
        </w:rPr>
        <w:t>” means a Borrowing consisting of Term Loans under a particular Term Loan Facility.</w:t>
      </w:r>
    </w:p>
    <w:p>
      <w:pPr>
        <w:spacing w:after="0" w:line="12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Facility</w:t>
      </w:r>
      <w:r>
        <w:rPr>
          <w:rFonts w:ascii="Times New Roman" w:cs="Times New Roman" w:eastAsia="Times New Roman" w:hAnsi="Times New Roman"/>
          <w:sz w:val="19"/>
          <w:szCs w:val="19"/>
          <w:color w:val="auto"/>
        </w:rPr>
        <w:t>” means, as the context requires, the U.S. Term B-4 Loan Facility, U.S. Term B-7 Loan Facility, U.S. Term B-8 Loan Facility, the Canadian Term A-4 Loan Facility, the Euro Term A-3 Loan Facility, the GBP Term A Loan Facility, the U.S. Term A Loan Facility, the U.S. Term A-1 Loan Facility, each Extension Series of Extended Term Loans and each Series of New Term Loans.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Lender</w:t>
      </w:r>
      <w:r>
        <w:rPr>
          <w:rFonts w:ascii="Times New Roman" w:cs="Times New Roman" w:eastAsia="Times New Roman" w:hAnsi="Times New Roman"/>
          <w:sz w:val="20"/>
          <w:szCs w:val="20"/>
          <w:color w:val="auto"/>
        </w:rPr>
        <w:t>” means each Lender that has a Term Commitment or that holds a Term Loan.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Note</w:t>
      </w:r>
      <w:r>
        <w:rPr>
          <w:rFonts w:ascii="Times New Roman" w:cs="Times New Roman" w:eastAsia="Times New Roman" w:hAnsi="Times New Roman"/>
          <w:sz w:val="20"/>
          <w:szCs w:val="20"/>
          <w:color w:val="auto"/>
        </w:rPr>
        <w:t xml:space="preserve">” means a promissory note of the applicable Borrower substantially in the form 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Adjustment</w:t>
      </w:r>
      <w:r>
        <w:rPr>
          <w:rFonts w:ascii="Times New Roman" w:cs="Times New Roman" w:eastAsia="Times New Roman" w:hAnsi="Times New Roman"/>
          <w:sz w:val="20"/>
          <w:szCs w:val="20"/>
          <w:color w:val="auto"/>
        </w:rPr>
        <w:t>” means for any calculation with respect to the Adjusted Term SOFR component of a Base Rate Loan or a Term Benchmark Loan, a percentage per annum as set forth below for the applicable Type of Loan and Interest Period therefor: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Adjusted Term SOFR component of 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168275</wp:posOffset>
            </wp:positionV>
            <wp:extent cx="4526280" cy="5060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74">
                      <a:extLst>
                        <a:ext uri="{28A0092B-C50C-407E-A947-70E740481C1C}"/>
                      </a:extLst>
                    </a:blip>
                    <a:srcRect/>
                    <a:stretch>
                      <a:fillRect/>
                    </a:stretch>
                  </pic:blipFill>
                  <pic:spPr bwMode="auto">
                    <a:xfrm>
                      <a:off x="0" y="0"/>
                      <a:ext cx="4526280" cy="506095"/>
                    </a:xfrm>
                    <a:prstGeom prst="rect">
                      <a:avLst/>
                    </a:prstGeom>
                    <a:noFill/>
                  </pic:spPr>
                </pic:pic>
              </a:graphicData>
            </a:graphic>
          </wp:anchor>
        </w:drawing>
      </w:r>
    </w:p>
    <w:p>
      <w:pPr>
        <w:spacing w:after="0" w:line="263" w:lineRule="exact"/>
        <w:rPr>
          <w:sz w:val="20"/>
          <w:szCs w:val="20"/>
          <w:color w:val="auto"/>
        </w:rPr>
      </w:pPr>
    </w:p>
    <w:p>
      <w:pPr>
        <w:jc w:val="center"/>
        <w:ind w:right="1640"/>
        <w:spacing w:after="0"/>
        <w:rPr>
          <w:sz w:val="20"/>
          <w:szCs w:val="20"/>
          <w:color w:val="auto"/>
        </w:rPr>
      </w:pPr>
      <w:r>
        <w:rPr>
          <w:rFonts w:ascii="Times New Roman" w:cs="Times New Roman" w:eastAsia="Times New Roman" w:hAnsi="Times New Roman"/>
          <w:sz w:val="20"/>
          <w:szCs w:val="20"/>
          <w:color w:val="auto"/>
        </w:rPr>
        <w:t>0.11448%</w:t>
      </w:r>
    </w:p>
    <w:p>
      <w:pPr>
        <w:spacing w:after="0" w:line="28" w:lineRule="exact"/>
        <w:rPr>
          <w:sz w:val="20"/>
          <w:szCs w:val="20"/>
          <w:color w:val="auto"/>
        </w:rPr>
      </w:pPr>
    </w:p>
    <w:p>
      <w:pPr>
        <w:jc w:val="center"/>
        <w:ind w:right="1640"/>
        <w:spacing w:after="0"/>
        <w:rPr>
          <w:sz w:val="20"/>
          <w:szCs w:val="20"/>
          <w:color w:val="auto"/>
        </w:rPr>
      </w:pPr>
      <w:r>
        <w:rPr>
          <w:rFonts w:ascii="Times New Roman" w:cs="Times New Roman" w:eastAsia="Times New Roman" w:hAnsi="Times New Roman"/>
          <w:sz w:val="20"/>
          <w:szCs w:val="20"/>
          <w:color w:val="auto"/>
        </w:rPr>
        <w:t xml:space="preserve">(or 0.0% in the case of U.S. Term B-7 Loans </w:t>
      </w:r>
      <w:r>
        <w:rPr>
          <w:rFonts w:ascii="Times New Roman" w:cs="Times New Roman" w:eastAsia="Times New Roman" w:hAnsi="Times New Roman"/>
          <w:sz w:val="20"/>
          <w:szCs w:val="20"/>
          <w:b w:val="1"/>
          <w:bCs w:val="1"/>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U.S. Term B-8 Loans</w:t>
      </w:r>
      <w:r>
        <w:rPr>
          <w:rFonts w:ascii="Times New Roman" w:cs="Times New Roman" w:eastAsia="Times New Roman" w:hAnsi="Times New Roman"/>
          <w:sz w:val="20"/>
          <w:szCs w:val="20"/>
          <w:u w:val="single" w:color="auto"/>
          <w:color w:val="0000FF"/>
        </w:rPr>
        <w:t>, 2024 Tranche</w:t>
      </w:r>
    </w:p>
    <w:p>
      <w:pPr>
        <w:spacing w:after="0" w:line="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u w:val="single" w:color="auto"/>
          <w:color w:val="0000FF"/>
        </w:rPr>
        <w:t>Revolving Loans, U.S. Term A Loans and U.S. Term A-1 Loans</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 xml:space="preserve">Term Benchmark Loans that are U.S. Term B-4 Loans </w:t>
      </w:r>
      <w:r>
        <w:rPr>
          <w:rFonts w:ascii="Times New Roman" w:cs="Times New Roman" w:eastAsia="Times New Roman" w:hAnsi="Times New Roman"/>
          <w:sz w:val="20"/>
          <w:szCs w:val="20"/>
          <w:b w:val="1"/>
          <w:bCs w:val="1"/>
          <w:u w:val="single" w:color="auto"/>
          <w:color w:val="FF0000"/>
          <w:strike w:val="1"/>
        </w:rPr>
        <w:t>or 2021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13" w:name="page214"/>
    <w:bookmarkEnd w:id="213"/>
    <w:p>
      <w:pPr>
        <w:spacing w:after="0" w:line="3" w:lineRule="exact"/>
        <w:rPr>
          <w:sz w:val="20"/>
          <w:szCs w:val="20"/>
          <w:color w:val="auto"/>
        </w:rPr>
      </w:pPr>
    </w:p>
    <w:tbl>
      <w:tblPr>
        <w:tblLayout w:type="fixed"/>
        <w:tblInd w:w="2290" w:type="dxa"/>
        <w:tblCellMar>
          <w:top w:w="0" w:type="dxa"/>
          <w:left w:w="0" w:type="dxa"/>
          <w:bottom w:w="0" w:type="dxa"/>
          <w:right w:w="0" w:type="dxa"/>
        </w:tblCellMar>
      </w:tblPr>
      <w:tr>
        <w:trPr>
          <w:trHeight w:val="230"/>
        </w:trPr>
        <w:tc>
          <w:tcPr>
            <w:tcW w:w="720" w:type="dxa"/>
            <w:vAlign w:val="bottom"/>
            <w:tcBorders>
              <w:top w:val="single" w:sz="8" w:color="auto"/>
              <w:left w:val="single" w:sz="8" w:color="auto"/>
            </w:tcBorders>
          </w:tcPr>
          <w:p>
            <w:pPr>
              <w:spacing w:after="0"/>
              <w:rPr>
                <w:sz w:val="19"/>
                <w:szCs w:val="19"/>
                <w:color w:val="auto"/>
              </w:rPr>
            </w:pPr>
          </w:p>
        </w:tc>
        <w:tc>
          <w:tcPr>
            <w:tcW w:w="1340" w:type="dxa"/>
            <w:vAlign w:val="bottom"/>
            <w:tcBorders>
              <w:top w:val="single" w:sz="8" w:color="auto"/>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Interest Period</w:t>
            </w:r>
          </w:p>
        </w:tc>
        <w:tc>
          <w:tcPr>
            <w:tcW w:w="900" w:type="dxa"/>
            <w:vAlign w:val="bottom"/>
            <w:tcBorders>
              <w:top w:val="single" w:sz="8" w:color="auto"/>
            </w:tcBorders>
          </w:tcPr>
          <w:p>
            <w:pPr>
              <w:spacing w:after="0"/>
              <w:rPr>
                <w:sz w:val="19"/>
                <w:szCs w:val="19"/>
                <w:color w:val="auto"/>
              </w:rPr>
            </w:pPr>
          </w:p>
        </w:tc>
        <w:tc>
          <w:tcPr>
            <w:tcW w:w="1180" w:type="dxa"/>
            <w:vAlign w:val="bottom"/>
            <w:tcBorders>
              <w:top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7"/>
              </w:rPr>
              <w:t>Percentage</w:t>
            </w:r>
          </w:p>
        </w:tc>
      </w:tr>
      <w:tr>
        <w:trPr>
          <w:trHeight w:val="61"/>
        </w:trPr>
        <w:tc>
          <w:tcPr>
            <w:tcW w:w="720" w:type="dxa"/>
            <w:vAlign w:val="bottom"/>
            <w:tcBorders>
              <w:left w:val="single" w:sz="8" w:color="auto"/>
              <w:bottom w:val="single" w:sz="8" w:color="auto"/>
            </w:tcBorders>
          </w:tcPr>
          <w:p>
            <w:pPr>
              <w:spacing w:after="0"/>
              <w:rPr>
                <w:sz w:val="5"/>
                <w:szCs w:val="5"/>
                <w:color w:val="auto"/>
              </w:rPr>
            </w:pPr>
          </w:p>
        </w:tc>
        <w:tc>
          <w:tcPr>
            <w:tcW w:w="126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20" w:type="dxa"/>
            <w:vAlign w:val="bottom"/>
            <w:tcBorders>
              <w:top w:val="single" w:sz="8" w:color="auto"/>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r>
      <w:tr>
        <w:trPr>
          <w:trHeight w:val="256"/>
        </w:trPr>
        <w:tc>
          <w:tcPr>
            <w:tcW w:w="720" w:type="dxa"/>
            <w:vAlign w:val="bottom"/>
            <w:tcBorders>
              <w:left w:val="single" w:sz="8" w:color="auto"/>
            </w:tcBorders>
          </w:tcPr>
          <w:p>
            <w:pPr>
              <w:spacing w:after="0"/>
              <w:rPr>
                <w:sz w:val="22"/>
                <w:szCs w:val="22"/>
                <w:color w:val="auto"/>
              </w:rPr>
            </w:pPr>
          </w:p>
        </w:tc>
        <w:tc>
          <w:tcPr>
            <w:tcW w:w="1340" w:type="dxa"/>
            <w:vAlign w:val="bottom"/>
            <w:tcBorders>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One month</w:t>
            </w:r>
          </w:p>
        </w:tc>
        <w:tc>
          <w:tcPr>
            <w:tcW w:w="1820" w:type="dxa"/>
            <w:vAlign w:val="bottom"/>
            <w:gridSpan w:val="2"/>
          </w:tcPr>
          <w:p>
            <w:pPr>
              <w:jc w:val="center"/>
              <w:ind w:left="801"/>
              <w:spacing w:after="0"/>
              <w:rPr>
                <w:sz w:val="20"/>
                <w:szCs w:val="20"/>
                <w:color w:val="auto"/>
              </w:rPr>
            </w:pPr>
            <w:r>
              <w:rPr>
                <w:rFonts w:ascii="Times New Roman" w:cs="Times New Roman" w:eastAsia="Times New Roman" w:hAnsi="Times New Roman"/>
                <w:sz w:val="20"/>
                <w:szCs w:val="20"/>
                <w:color w:val="auto"/>
                <w:w w:val="97"/>
              </w:rPr>
              <w:t>0.11448%</w:t>
            </w:r>
          </w:p>
        </w:tc>
        <w:tc>
          <w:tcPr>
            <w:tcW w:w="260" w:type="dxa"/>
            <w:vAlign w:val="bottom"/>
            <w:tcBorders>
              <w:right w:val="single" w:sz="8" w:color="auto"/>
            </w:tcBorders>
          </w:tcPr>
          <w:p>
            <w:pPr>
              <w:spacing w:after="0"/>
              <w:rPr>
                <w:sz w:val="22"/>
                <w:szCs w:val="22"/>
                <w:color w:val="auto"/>
              </w:rPr>
            </w:pPr>
          </w:p>
        </w:tc>
      </w:tr>
      <w:tr>
        <w:trPr>
          <w:trHeight w:val="35"/>
        </w:trPr>
        <w:tc>
          <w:tcPr>
            <w:tcW w:w="720" w:type="dxa"/>
            <w:vAlign w:val="bottom"/>
            <w:tcBorders>
              <w:left w:val="single" w:sz="8" w:color="auto"/>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256"/>
        </w:trPr>
        <w:tc>
          <w:tcPr>
            <w:tcW w:w="720" w:type="dxa"/>
            <w:vAlign w:val="bottom"/>
            <w:tcBorders>
              <w:left w:val="single" w:sz="8" w:color="auto"/>
            </w:tcBorders>
          </w:tcPr>
          <w:p>
            <w:pPr>
              <w:spacing w:after="0"/>
              <w:rPr>
                <w:sz w:val="22"/>
                <w:szCs w:val="22"/>
                <w:color w:val="auto"/>
              </w:rPr>
            </w:pPr>
          </w:p>
        </w:tc>
        <w:tc>
          <w:tcPr>
            <w:tcW w:w="134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9"/>
              </w:rPr>
              <w:t>Three months</w:t>
            </w:r>
          </w:p>
        </w:tc>
        <w:tc>
          <w:tcPr>
            <w:tcW w:w="1820" w:type="dxa"/>
            <w:vAlign w:val="bottom"/>
            <w:gridSpan w:val="2"/>
          </w:tcPr>
          <w:p>
            <w:pPr>
              <w:jc w:val="center"/>
              <w:ind w:left="801"/>
              <w:spacing w:after="0"/>
              <w:rPr>
                <w:sz w:val="20"/>
                <w:szCs w:val="20"/>
                <w:color w:val="auto"/>
              </w:rPr>
            </w:pPr>
            <w:r>
              <w:rPr>
                <w:rFonts w:ascii="Times New Roman" w:cs="Times New Roman" w:eastAsia="Times New Roman" w:hAnsi="Times New Roman"/>
                <w:sz w:val="20"/>
                <w:szCs w:val="20"/>
                <w:color w:val="auto"/>
                <w:w w:val="97"/>
              </w:rPr>
              <w:t>0.26161%</w:t>
            </w:r>
          </w:p>
        </w:tc>
        <w:tc>
          <w:tcPr>
            <w:tcW w:w="260" w:type="dxa"/>
            <w:vAlign w:val="bottom"/>
            <w:tcBorders>
              <w:right w:val="single" w:sz="8" w:color="auto"/>
            </w:tcBorders>
          </w:tcPr>
          <w:p>
            <w:pPr>
              <w:spacing w:after="0"/>
              <w:rPr>
                <w:sz w:val="22"/>
                <w:szCs w:val="22"/>
                <w:color w:val="auto"/>
              </w:rPr>
            </w:pPr>
          </w:p>
        </w:tc>
      </w:tr>
      <w:tr>
        <w:trPr>
          <w:trHeight w:val="34"/>
        </w:trPr>
        <w:tc>
          <w:tcPr>
            <w:tcW w:w="720" w:type="dxa"/>
            <w:vAlign w:val="bottom"/>
            <w:tcBorders>
              <w:left w:val="single" w:sz="8" w:color="auto"/>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256"/>
        </w:trPr>
        <w:tc>
          <w:tcPr>
            <w:tcW w:w="720" w:type="dxa"/>
            <w:vAlign w:val="bottom"/>
            <w:tcBorders>
              <w:left w:val="single" w:sz="8" w:color="auto"/>
            </w:tcBorders>
          </w:tcPr>
          <w:p>
            <w:pPr>
              <w:spacing w:after="0"/>
              <w:rPr>
                <w:sz w:val="22"/>
                <w:szCs w:val="22"/>
                <w:color w:val="auto"/>
              </w:rPr>
            </w:pPr>
          </w:p>
        </w:tc>
        <w:tc>
          <w:tcPr>
            <w:tcW w:w="134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9"/>
              </w:rPr>
              <w:t>Six months</w:t>
            </w:r>
          </w:p>
        </w:tc>
        <w:tc>
          <w:tcPr>
            <w:tcW w:w="1820" w:type="dxa"/>
            <w:vAlign w:val="bottom"/>
            <w:gridSpan w:val="2"/>
          </w:tcPr>
          <w:p>
            <w:pPr>
              <w:jc w:val="center"/>
              <w:ind w:left="801"/>
              <w:spacing w:after="0"/>
              <w:rPr>
                <w:sz w:val="20"/>
                <w:szCs w:val="20"/>
                <w:color w:val="auto"/>
              </w:rPr>
            </w:pPr>
            <w:r>
              <w:rPr>
                <w:rFonts w:ascii="Times New Roman" w:cs="Times New Roman" w:eastAsia="Times New Roman" w:hAnsi="Times New Roman"/>
                <w:sz w:val="20"/>
                <w:szCs w:val="20"/>
                <w:color w:val="auto"/>
                <w:w w:val="97"/>
              </w:rPr>
              <w:t>0.42826%</w:t>
            </w:r>
          </w:p>
        </w:tc>
        <w:tc>
          <w:tcPr>
            <w:tcW w:w="260" w:type="dxa"/>
            <w:vAlign w:val="bottom"/>
            <w:tcBorders>
              <w:right w:val="single" w:sz="8" w:color="auto"/>
            </w:tcBorders>
          </w:tcPr>
          <w:p>
            <w:pPr>
              <w:spacing w:after="0"/>
              <w:rPr>
                <w:sz w:val="22"/>
                <w:szCs w:val="22"/>
                <w:color w:val="auto"/>
              </w:rPr>
            </w:pPr>
          </w:p>
        </w:tc>
      </w:tr>
      <w:tr>
        <w:trPr>
          <w:trHeight w:val="35"/>
        </w:trPr>
        <w:tc>
          <w:tcPr>
            <w:tcW w:w="720" w:type="dxa"/>
            <w:vAlign w:val="bottom"/>
            <w:tcBorders>
              <w:left w:val="single" w:sz="8" w:color="auto"/>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u w:val="single" w:color="auto"/>
          <w:color w:val="auto"/>
        </w:rPr>
        <w:t>Term Benchmark Loans that are U.S. Term B-7 Loans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FF0000"/>
        </w:rPr>
        <w:t>or</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 xml:space="preserve"> U.S. Term B-8 Loans</w:t>
      </w:r>
      <w:r>
        <w:rPr>
          <w:rFonts w:ascii="Times New Roman" w:cs="Times New Roman" w:eastAsia="Times New Roman" w:hAnsi="Times New Roman"/>
          <w:sz w:val="19"/>
          <w:szCs w:val="19"/>
          <w:u w:val="single" w:color="auto"/>
          <w:color w:val="0000FF"/>
        </w:rPr>
        <w:t>, 2024 Tranche Revolving Loans, U.S. Term A Loans 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-52705</wp:posOffset>
            </wp:positionV>
            <wp:extent cx="1289050"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75">
                      <a:extLst>
                        <a:ext uri="{28A0092B-C50C-407E-A947-70E740481C1C}"/>
                      </a:extLst>
                    </a:blip>
                    <a:srcRect/>
                    <a:stretch>
                      <a:fillRect/>
                    </a:stretch>
                  </pic:blipFill>
                  <pic:spPr bwMode="auto">
                    <a:xfrm>
                      <a:off x="0" y="0"/>
                      <a:ext cx="1289050" cy="59690"/>
                    </a:xfrm>
                    <a:prstGeom prst="rect">
                      <a:avLst/>
                    </a:prstGeom>
                    <a:noFill/>
                  </pic:spPr>
                </pic:pic>
              </a:graphicData>
            </a:graphic>
          </wp:anchor>
        </w:drawing>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0000FF"/>
        </w:rPr>
        <w:t>Term A-1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163195</wp:posOffset>
            </wp:positionV>
            <wp:extent cx="523240" cy="1803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76">
                      <a:extLst>
                        <a:ext uri="{28A0092B-C50C-407E-A947-70E740481C1C}"/>
                      </a:extLst>
                    </a:blip>
                    <a:srcRect/>
                    <a:stretch>
                      <a:fillRect/>
                    </a:stretch>
                  </pic:blipFill>
                  <pic:spPr bwMode="auto">
                    <a:xfrm>
                      <a:off x="0" y="0"/>
                      <a:ext cx="523240" cy="180340"/>
                    </a:xfrm>
                    <a:prstGeom prst="rect">
                      <a:avLst/>
                    </a:prstGeom>
                    <a:noFill/>
                  </pic:spPr>
                </pic:pic>
              </a:graphicData>
            </a:graphic>
          </wp:anchor>
        </w:drawing>
      </w:r>
    </w:p>
    <w:p>
      <w:pPr>
        <w:spacing w:after="0" w:line="24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10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Rate</w:t>
      </w:r>
      <w:r>
        <w:rPr>
          <w:rFonts w:ascii="Times New Roman" w:cs="Times New Roman" w:eastAsia="Times New Roman" w:hAnsi="Times New Roman"/>
          <w:sz w:val="19"/>
          <w:szCs w:val="19"/>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5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means, at any date of determination, (i) for purposes of determining actual compliance with Section 6.10, the most recently completed four consecutive fiscal quarters of the U.S. Borrower ending on the date specified therein and (ii) for all other purposes, the most recently completed four consecutive fiscal quarters of the U.S. Borrower ending on or prior to such date for which financial statements have been (or were required to have been) delivered pursuant to Section 5.01.</w:t>
      </w:r>
    </w:p>
    <w:p>
      <w:pPr>
        <w:spacing w:after="0" w:line="6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Assets</w:t>
      </w:r>
      <w:r>
        <w:rPr>
          <w:rFonts w:ascii="Times New Roman" w:cs="Times New Roman" w:eastAsia="Times New Roman" w:hAnsi="Times New Roman"/>
          <w:sz w:val="20"/>
          <w:szCs w:val="20"/>
          <w:color w:val="auto"/>
        </w:rPr>
        <w:t>” means the total amount of all assets of the U.S. Borrower and the Restricted Subsidiaries, determined on a consolidated basis in accordance with GAAP as shown on the most recent balance sheet of the U.S. Borrower.</w:t>
      </w:r>
    </w:p>
    <w:p>
      <w:pPr>
        <w:spacing w:after="0" w:line="3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Transformative Acquisition</w:t>
      </w:r>
      <w:r>
        <w:rPr>
          <w:rFonts w:ascii="Times New Roman" w:cs="Times New Roman" w:eastAsia="Times New Roman" w:hAnsi="Times New Roman"/>
          <w:sz w:val="20"/>
          <w:szCs w:val="20"/>
          <w:color w:val="auto"/>
        </w:rPr>
        <w:t>” means any acquisition of an Acquired Entity or Business by the U.S. Borrower or any Restricted Subsidiary or other similar Investment that is either (a) not permitted hereunder immediately prior to the consummation of such transaction or (b) if permitted hereunder immediately prior to the consummation of such transaction, this Agreement would not provide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40" w:right="379" w:bottom="1440" w:gutter="0" w:footer="0" w:header="0"/>
        </w:sectPr>
      </w:pPr>
    </w:p>
    <w:bookmarkStart w:id="214" w:name="page215"/>
    <w:bookmarkEnd w:id="214"/>
    <w:p>
      <w:pPr>
        <w:ind w:right="140"/>
        <w:spacing w:after="0" w:line="283" w:lineRule="auto"/>
        <w:rPr>
          <w:sz w:val="20"/>
          <w:szCs w:val="20"/>
          <w:color w:val="auto"/>
        </w:rPr>
      </w:pPr>
      <w:r>
        <w:rPr>
          <w:rFonts w:ascii="Times New Roman" w:cs="Times New Roman" w:eastAsia="Times New Roman" w:hAnsi="Times New Roman"/>
          <w:sz w:val="20"/>
          <w:szCs w:val="20"/>
          <w:color w:val="auto"/>
        </w:rPr>
        <w:t>Borrower and its Restricted Subsidiaries with adequate flexibility for the continuation or expansion of their combined operations following such consummation, as reasonably determined by the U.S. Borrower acting in good faith.</w:t>
      </w:r>
    </w:p>
    <w:p>
      <w:pPr>
        <w:spacing w:after="0" w:line="38"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w:t>
      </w:r>
      <w:r>
        <w:rPr>
          <w:rFonts w:ascii="Times New Roman" w:cs="Times New Roman" w:eastAsia="Times New Roman" w:hAnsi="Times New Roman"/>
          <w:sz w:val="20"/>
          <w:szCs w:val="20"/>
          <w:color w:val="auto"/>
        </w:rPr>
        <w:t>” means (a) a double taxation agreement or (b) for purposes of the Irish Borrowers only, a double taxation agreement into which Ireland has entered which contains an article dealing with interest or income from debt claims.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 Lender</w:t>
      </w:r>
      <w:r>
        <w:rPr>
          <w:rFonts w:ascii="Times New Roman" w:cs="Times New Roman" w:eastAsia="Times New Roman" w:hAnsi="Times New Roman"/>
          <w:sz w:val="20"/>
          <w:szCs w:val="20"/>
          <w:color w:val="auto"/>
        </w:rPr>
        <w:t>” means a Lender which:</w:t>
      </w:r>
    </w:p>
    <w:p>
      <w:pPr>
        <w:spacing w:after="0" w:line="121" w:lineRule="exact"/>
        <w:rPr>
          <w:sz w:val="20"/>
          <w:szCs w:val="20"/>
          <w:color w:val="auto"/>
        </w:rPr>
      </w:pPr>
    </w:p>
    <w:p>
      <w:pPr>
        <w:ind w:left="660" w:right="60" w:firstLine="194"/>
        <w:spacing w:after="0" w:line="261" w:lineRule="auto"/>
        <w:tabs>
          <w:tab w:leader="none" w:pos="127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treated as a resident of a Treaty State for the purposes of the relevant Treaty and which is entitled under the terms of the Treaty to claim a full exemption from Tax imposed by Relevant Borrower’s Tax Jurisdiction on interest paid in respect of any Loan, subject only to the completion of any procedural formalities; and</w:t>
      </w:r>
    </w:p>
    <w:p>
      <w:pPr>
        <w:spacing w:after="0" w:line="181" w:lineRule="exact"/>
        <w:rPr>
          <w:rFonts w:ascii="Times New Roman" w:cs="Times New Roman" w:eastAsia="Times New Roman" w:hAnsi="Times New Roman"/>
          <w:sz w:val="20"/>
          <w:szCs w:val="20"/>
          <w:color w:val="auto"/>
        </w:rPr>
      </w:pPr>
    </w:p>
    <w:p>
      <w:pPr>
        <w:ind w:left="660" w:right="40" w:firstLine="194"/>
        <w:spacing w:after="0" w:line="269" w:lineRule="auto"/>
        <w:tabs>
          <w:tab w:leader="none" w:pos="128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carry on a business in the Relevant Borrower’s Tax Jurisdiction through a permanent establishment with which that Lender’s participation in a Loan is effectively connected.</w:t>
      </w:r>
    </w:p>
    <w:p>
      <w:pPr>
        <w:spacing w:after="0" w:line="17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 State</w:t>
      </w:r>
      <w:r>
        <w:rPr>
          <w:rFonts w:ascii="Times New Roman" w:cs="Times New Roman" w:eastAsia="Times New Roman" w:hAnsi="Times New Roman"/>
          <w:sz w:val="20"/>
          <w:szCs w:val="20"/>
          <w:color w:val="auto"/>
        </w:rPr>
        <w:t>” means a jurisdiction having a Treaty with the Relevant Borrower’s Tax Jurisdiction which makes provision for full exemption from Tax imposed by the Relevant Borrower’s Tax Jurisdiction on interest.</w:t>
      </w:r>
    </w:p>
    <w:p>
      <w:pPr>
        <w:spacing w:after="0" w:line="3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Eurocurrency Rate, the Adjusted Term SOFR Rate, the Base Rate, the Canadian Base Rate, the Term CORRA Rate or the SONIA Rate.</w:t>
      </w:r>
    </w:p>
    <w:p>
      <w:pPr>
        <w:spacing w:after="0" w:line="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Borrower</w:t>
      </w:r>
      <w:r>
        <w:rPr>
          <w:rFonts w:ascii="Times New Roman" w:cs="Times New Roman" w:eastAsia="Times New Roman" w:hAnsi="Times New Roman"/>
          <w:sz w:val="20"/>
          <w:szCs w:val="20"/>
          <w:color w:val="auto"/>
        </w:rPr>
        <w:t>” has the meaning assigned to such term in the preamble to this Agreement.</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Lending Office</w:t>
      </w:r>
      <w:r>
        <w:rPr>
          <w:rFonts w:ascii="Times New Roman" w:cs="Times New Roman" w:eastAsia="Times New Roman" w:hAnsi="Times New Roman"/>
          <w:sz w:val="20"/>
          <w:szCs w:val="20"/>
          <w:color w:val="auto"/>
        </w:rPr>
        <w:t>” means, with respect to any Lender, the office of such Lender specified as its “U.K. Lending Office” in its Administrative Questionnaire (or, if no such office is specified, its U.S. Lending Office) or such other office of such Lender as such Lender may from time to time specify to the U.S. Borrower and the Agent.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Qualifying Lender</w:t>
      </w:r>
      <w:r>
        <w:rPr>
          <w:rFonts w:ascii="Times New Roman" w:cs="Times New Roman" w:eastAsia="Times New Roman" w:hAnsi="Times New Roman"/>
          <w:sz w:val="20"/>
          <w:szCs w:val="20"/>
          <w:color w:val="auto"/>
        </w:rPr>
        <w:t>” means:</w:t>
      </w:r>
    </w:p>
    <w:p>
      <w:pPr>
        <w:spacing w:after="0" w:line="121" w:lineRule="exact"/>
        <w:rPr>
          <w:sz w:val="20"/>
          <w:szCs w:val="20"/>
          <w:color w:val="auto"/>
        </w:rPr>
      </w:pPr>
    </w:p>
    <w:p>
      <w:pPr>
        <w:ind w:left="660" w:firstLine="194"/>
        <w:spacing w:after="0" w:line="283" w:lineRule="auto"/>
        <w:tabs>
          <w:tab w:leader="none" w:pos="124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(other than a Lender within subparagraph (ii) below) which is beneficially entitled to interest payable to that Lender in respect of an advance to any U.K. Borrower and is:</w:t>
      </w:r>
    </w:p>
    <w:p>
      <w:pPr>
        <w:spacing w:after="0" w:line="146"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w:t>
      </w:r>
    </w:p>
    <w:p>
      <w:pPr>
        <w:spacing w:after="0" w:line="229" w:lineRule="exact"/>
        <w:rPr>
          <w:rFonts w:ascii="Times New Roman" w:cs="Times New Roman" w:eastAsia="Times New Roman" w:hAnsi="Times New Roman"/>
          <w:sz w:val="20"/>
          <w:szCs w:val="20"/>
          <w:color w:val="auto"/>
        </w:rPr>
      </w:pPr>
    </w:p>
    <w:p>
      <w:pPr>
        <w:ind w:left="1960" w:right="60" w:firstLine="640"/>
        <w:spacing w:after="0" w:line="269" w:lineRule="auto"/>
        <w:tabs>
          <w:tab w:leader="none" w:pos="3037" w:val="left"/>
        </w:tabs>
        <w:numPr>
          <w:ilvl w:val="2"/>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a bank (as defined for the purpose of section 879 of the ITA 2007) making an advance to any U.K. Borrower; or</w:t>
      </w:r>
    </w:p>
    <w:p>
      <w:pPr>
        <w:spacing w:after="0" w:line="172" w:lineRule="exact"/>
        <w:rPr>
          <w:rFonts w:ascii="Times New Roman" w:cs="Times New Roman" w:eastAsia="Times New Roman" w:hAnsi="Times New Roman"/>
          <w:sz w:val="20"/>
          <w:szCs w:val="20"/>
          <w:color w:val="auto"/>
        </w:rPr>
      </w:pPr>
    </w:p>
    <w:p>
      <w:pPr>
        <w:ind w:left="1960" w:right="240" w:firstLine="640"/>
        <w:spacing w:after="0" w:line="283" w:lineRule="auto"/>
        <w:tabs>
          <w:tab w:leader="none" w:pos="3037" w:val="left"/>
        </w:tabs>
        <w:numPr>
          <w:ilvl w:val="2"/>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 advance made to any U.K. Borrower by a person that was a bank (as defined for the purpose of section 879 of the ITA 2007) at the time that that advance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60"/>
          </w:cols>
          <w:pgMar w:left="320" w:top="1413" w:right="419" w:bottom="1440" w:gutter="0" w:footer="0" w:header="0"/>
        </w:sectPr>
      </w:pPr>
    </w:p>
    <w:bookmarkStart w:id="215" w:name="page216"/>
    <w:bookmarkEnd w:id="215"/>
    <w:p>
      <w:pPr>
        <w:ind w:left="1300" w:right="80"/>
        <w:spacing w:after="0" w:line="261" w:lineRule="auto"/>
        <w:rPr>
          <w:sz w:val="20"/>
          <w:szCs w:val="20"/>
          <w:color w:val="auto"/>
        </w:rPr>
      </w:pPr>
      <w:r>
        <w:rPr>
          <w:rFonts w:ascii="Times New Roman" w:cs="Times New Roman" w:eastAsia="Times New Roman" w:hAnsi="Times New Roman"/>
          <w:sz w:val="20"/>
          <w:szCs w:val="20"/>
          <w:color w:val="auto"/>
        </w:rPr>
        <w:t>and which is within the charge to United Kingdom corporation tax as respects any payments of interest made in respect of the advance or, in the case of a bank making an advance, would be within such charge as respects such payments apart from section 18A of the CTA 2009; or</w:t>
      </w:r>
    </w:p>
    <w:p>
      <w:pPr>
        <w:spacing w:after="0" w:line="181" w:lineRule="exact"/>
        <w:rPr>
          <w:sz w:val="20"/>
          <w:szCs w:val="20"/>
          <w:color w:val="auto"/>
        </w:rPr>
      </w:pPr>
    </w:p>
    <w:p>
      <w:pPr>
        <w:ind w:left="2420" w:hanging="468"/>
        <w:spacing w:after="0"/>
        <w:tabs>
          <w:tab w:leader="none" w:pos="242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w:t>
      </w:r>
    </w:p>
    <w:p>
      <w:pPr>
        <w:spacing w:after="0" w:line="215"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2"/>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 or</w:t>
      </w:r>
    </w:p>
    <w:p>
      <w:pPr>
        <w:spacing w:after="0" w:line="229"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2"/>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229" w:lineRule="exact"/>
        <w:rPr>
          <w:rFonts w:ascii="Times New Roman" w:cs="Times New Roman" w:eastAsia="Times New Roman" w:hAnsi="Times New Roman"/>
          <w:sz w:val="20"/>
          <w:szCs w:val="20"/>
          <w:color w:val="auto"/>
        </w:rPr>
      </w:pPr>
    </w:p>
    <w:p>
      <w:pPr>
        <w:ind w:left="3900" w:hanging="652"/>
        <w:spacing w:after="0"/>
        <w:tabs>
          <w:tab w:leader="none" w:pos="3900" w:val="left"/>
        </w:tabs>
        <w:numPr>
          <w:ilvl w:val="3"/>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 company resident in the United Kingdom for United Kingdom tax purposes; or</w:t>
      </w:r>
    </w:p>
    <w:p>
      <w:pPr>
        <w:spacing w:after="0" w:line="215" w:lineRule="exact"/>
        <w:rPr>
          <w:rFonts w:ascii="Times New Roman" w:cs="Times New Roman" w:eastAsia="Times New Roman" w:hAnsi="Times New Roman"/>
          <w:sz w:val="20"/>
          <w:szCs w:val="20"/>
          <w:color w:val="auto"/>
        </w:rPr>
      </w:pPr>
    </w:p>
    <w:p>
      <w:pPr>
        <w:ind w:left="2600" w:right="500" w:firstLine="648"/>
        <w:spacing w:after="0" w:line="258" w:lineRule="auto"/>
        <w:tabs>
          <w:tab w:leader="none" w:pos="3896" w:val="left"/>
        </w:tabs>
        <w:numPr>
          <w:ilvl w:val="3"/>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a company not so resident in the United Kingdom which carries on a trade in the United Kingdom through a permanent establishment and which brings into account in computing its chargeable profits (for the purposes of section 19 of the CTA 2009) the whole of any share of interest payable in respect of that advance that falls to it by reason of part 17 of the CTA 2009; or</w:t>
      </w:r>
    </w:p>
    <w:p>
      <w:pPr>
        <w:spacing w:after="0" w:line="185" w:lineRule="exact"/>
        <w:rPr>
          <w:rFonts w:ascii="Times New Roman" w:cs="Times New Roman" w:eastAsia="Times New Roman" w:hAnsi="Times New Roman"/>
          <w:sz w:val="20"/>
          <w:szCs w:val="20"/>
          <w:color w:val="auto"/>
        </w:rPr>
      </w:pPr>
    </w:p>
    <w:p>
      <w:pPr>
        <w:jc w:val="both"/>
        <w:ind w:left="1960" w:right="400" w:firstLine="640"/>
        <w:spacing w:after="0" w:line="281" w:lineRule="auto"/>
        <w:tabs>
          <w:tab w:leader="none" w:pos="3037" w:val="left"/>
        </w:tabs>
        <w:numPr>
          <w:ilvl w:val="2"/>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company not so resident in the United Kingdom which carries on a trade in the United Kingdom through a permanent establishment and which brings into account interest payable in respect of that advance in computing the chargeable profits (for the purposes of section 19 of the CTA 2009) of that company; or</w:t>
      </w:r>
    </w:p>
    <w:p>
      <w:pPr>
        <w:spacing w:after="0" w:line="150" w:lineRule="exact"/>
        <w:rPr>
          <w:rFonts w:ascii="Times New Roman" w:cs="Times New Roman" w:eastAsia="Times New Roman" w:hAnsi="Times New Roman"/>
          <w:sz w:val="19"/>
          <w:szCs w:val="19"/>
          <w:color w:val="auto"/>
        </w:rPr>
      </w:pPr>
    </w:p>
    <w:p>
      <w:pPr>
        <w:ind w:left="2420" w:hanging="468"/>
        <w:spacing w:after="0"/>
        <w:tabs>
          <w:tab w:leader="none" w:pos="242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or</w:t>
      </w:r>
    </w:p>
    <w:p>
      <w:pPr>
        <w:spacing w:after="0" w:line="229" w:lineRule="exact"/>
        <w:rPr>
          <w:rFonts w:ascii="Times New Roman" w:cs="Times New Roman" w:eastAsia="Times New Roman" w:hAnsi="Times New Roman"/>
          <w:sz w:val="20"/>
          <w:szCs w:val="20"/>
          <w:color w:val="auto"/>
        </w:rPr>
      </w:pPr>
    </w:p>
    <w:p>
      <w:pPr>
        <w:ind w:left="1300" w:hanging="446"/>
        <w:spacing w:after="0"/>
        <w:tabs>
          <w:tab w:leader="none" w:pos="13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building society (as defined for the purpose of Section 880 of the ITA 2007).</w:t>
      </w:r>
    </w:p>
    <w:p>
      <w:pPr>
        <w:spacing w:after="0" w:line="22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Tax Confirmation</w:t>
      </w:r>
      <w:r>
        <w:rPr>
          <w:rFonts w:ascii="Times New Roman" w:cs="Times New Roman" w:eastAsia="Times New Roman" w:hAnsi="Times New Roman"/>
          <w:sz w:val="20"/>
          <w:szCs w:val="20"/>
          <w:color w:val="auto"/>
        </w:rPr>
        <w:t>” means a confirmation by a Lender that the person beneficially entitled to interest payable to that Lender in respect of an advance to any U.K. Borrower is either:</w:t>
      </w:r>
    </w:p>
    <w:p>
      <w:pPr>
        <w:spacing w:after="0" w:line="65" w:lineRule="exact"/>
        <w:rPr>
          <w:sz w:val="20"/>
          <w:szCs w:val="20"/>
          <w:color w:val="auto"/>
        </w:rPr>
      </w:pPr>
    </w:p>
    <w:p>
      <w:pPr>
        <w:ind w:left="1240" w:hanging="386"/>
        <w:spacing w:after="0"/>
        <w:tabs>
          <w:tab w:leader="none" w:pos="12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 or</w:t>
      </w:r>
    </w:p>
    <w:p>
      <w:pPr>
        <w:spacing w:after="0" w:line="215" w:lineRule="exact"/>
        <w:rPr>
          <w:rFonts w:ascii="Times New Roman" w:cs="Times New Roman" w:eastAsia="Times New Roman" w:hAnsi="Times New Roman"/>
          <w:sz w:val="20"/>
          <w:szCs w:val="20"/>
          <w:color w:val="auto"/>
        </w:rPr>
      </w:pPr>
    </w:p>
    <w:p>
      <w:pPr>
        <w:ind w:left="1300" w:hanging="446"/>
        <w:spacing w:after="0"/>
        <w:tabs>
          <w:tab w:leader="none" w:pos="130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229"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so resident in the United Kingdom; or</w:t>
      </w:r>
    </w:p>
    <w:p>
      <w:pPr>
        <w:spacing w:after="0" w:line="215" w:lineRule="exact"/>
        <w:rPr>
          <w:rFonts w:ascii="Times New Roman" w:cs="Times New Roman" w:eastAsia="Times New Roman" w:hAnsi="Times New Roman"/>
          <w:sz w:val="20"/>
          <w:szCs w:val="20"/>
          <w:color w:val="auto"/>
        </w:rPr>
      </w:pPr>
    </w:p>
    <w:p>
      <w:pPr>
        <w:ind w:left="1300" w:firstLine="652"/>
        <w:spacing w:after="0" w:line="258" w:lineRule="auto"/>
        <w:tabs>
          <w:tab w:leader="none" w:pos="241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(for the purposes of section 19 of the CTA 2009) the whole of any share of interest payable in respect of that advance that falls to it by reason of part 17 of the CTA 2009; or</w:t>
      </w:r>
    </w:p>
    <w:p>
      <w:pPr>
        <w:spacing w:after="0" w:line="185" w:lineRule="exact"/>
        <w:rPr>
          <w:rFonts w:ascii="Times New Roman" w:cs="Times New Roman" w:eastAsia="Times New Roman" w:hAnsi="Times New Roman"/>
          <w:sz w:val="20"/>
          <w:szCs w:val="20"/>
          <w:color w:val="auto"/>
        </w:rPr>
      </w:pPr>
    </w:p>
    <w:p>
      <w:pPr>
        <w:ind w:left="660" w:right="160" w:firstLine="194"/>
        <w:spacing w:after="0" w:line="261" w:lineRule="auto"/>
        <w:tabs>
          <w:tab w:leader="none" w:pos="135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(for the purposes of section 19 of the CTA 2009) of that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16" w:name="page217"/>
    <w:bookmarkEnd w:id="216"/>
    <w:p>
      <w:pPr>
        <w:ind w:right="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Tax Deduction</w:t>
      </w:r>
      <w:r>
        <w:rPr>
          <w:rFonts w:ascii="Times New Roman" w:cs="Times New Roman" w:eastAsia="Times New Roman" w:hAnsi="Times New Roman"/>
          <w:sz w:val="20"/>
          <w:szCs w:val="20"/>
          <w:color w:val="auto"/>
        </w:rPr>
        <w:t>” means a deduction or withholding for, or on account of, Tax imposed by the United Kingdom from a payment under a Loan Document.</w:t>
      </w:r>
    </w:p>
    <w:p>
      <w:pPr>
        <w:spacing w:after="0" w:line="3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xml:space="preserve">” means the Benchmark Replacement excluding the Benchmark Replacement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Unadjusted Benchmark Replacement as so determined would be less than zero, the Unadjusted Benchmark Replacement will be deemed to be zero for the purposes of this Agreement.</w:t>
      </w:r>
    </w:p>
    <w:p>
      <w:pPr>
        <w:spacing w:after="0" w:line="73" w:lineRule="exact"/>
        <w:rPr>
          <w:sz w:val="20"/>
          <w:szCs w:val="20"/>
          <w:color w:val="auto"/>
        </w:rPr>
      </w:pPr>
    </w:p>
    <w:p>
      <w:pPr>
        <w:jc w:val="both"/>
        <w:ind w:right="1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means (a) any Subsidiary of the U.S. Borrower that at the time of determination is an Unrestricted Subsidiary (as designated by the U.S. Borrower, as provided below) and (b) any Subsidiary of an Unrestricted Subsidiary.</w:t>
      </w:r>
    </w:p>
    <w:p>
      <w:pPr>
        <w:spacing w:after="0" w:line="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 xml:space="preserve">So long as no Default has occurred and is continuing, the U.S. Borrower may designate any Restricted Subsidiary of the U.S. Borrower (other than any Foreign Borrower) (including any existing Restricted Subsidiary and any newly acquired or newly formed Subsidiary) to be an Unrestricted Subsidiary unless such Subsidiary or any of its Subsidiaries owns any Equity Interests or Indebtedness of, or owns or holds any Lien on, any property of, the U.S. Borrower or any Subsidiary of the U.S. Borrower (other than any Subsidiary of the Subsidiary to be so designated);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any Unrestricted Subsidiary must be an entity of which shares of the capital stock or other equity interests (including partnership interests) entitled to cast at least a majority of the votes that may be cast by all shares or equity interests having ordinary voting power for the election of directors or other governing body are owned, directly or indirectly, by the U.S. Borrower, (ii) such designation complies with Section 6.07 and (iii) each of (A) the Subsidiary to be so designated and (B) its subsidiaries has not at the time of designation, and does not thereafter, create, incur, issue, assume, guarantee or otherwise become directly or indirectly liable with respect to any Indebtedness pursuant to which the lender has recourse to any of the assets of the U.S. Borrower or any Restricted Subsidiary.</w:t>
      </w:r>
    </w:p>
    <w:p>
      <w:pPr>
        <w:spacing w:after="0" w:line="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 xml:space="preserve">The U.S. Borrower may designate any Unrestricted Subsidiary to be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after giving effect to such designation no Default shall have occurred and be continuing and either (x) the U.S. Borrower could incur at least $1.00 of additional Indebtedness pursuant to the Interest Coverage Ratio test described in Section 6.01(a) or (y) the Interest Coverage Ratio for the U.S. Borrower and its Restricted Subsidiaries would be greater than such ratio for the U.S. Borrower and its Restricted Subsidiaries immediately prior to such designation, in each case on a pro forma basis taking into account such designation.</w:t>
      </w:r>
    </w:p>
    <w:p>
      <w:pPr>
        <w:spacing w:after="0" w:line="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Any such designation by the U.S. Borrower shall be notified by the U.S. Borrower to the Agent by promptly delivering to the Agent a copy of any applicable Board Resolution giving effect to such designation and an Officers’ Certificate certifying that such designation complied with the foregoing provisions. Notwithstanding the foregoing, as of the Closing Date, all of the Subsidiaries of the U.S. Borrower will be Restricted Subsidiaries.</w:t>
      </w:r>
    </w:p>
    <w:p>
      <w:pPr>
        <w:spacing w:after="0" w:line="6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xml:space="preserve">” has the meaning assigned to such term in the preamble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 used in the context of determining the fair market value of an asset or liability under this Agreement, “U.S. Borrower” shall, unless otherwise expressly stated, be deemed to mean the Board of Directors of the U.S. Borrower when the fair market value of such asset or liability is equal to or in excess of $100.0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Borrower Guaranteed Obligations</w:t>
      </w:r>
      <w:r>
        <w:rPr>
          <w:rFonts w:ascii="Times New Roman" w:cs="Times New Roman" w:eastAsia="Times New Roman" w:hAnsi="Times New Roman"/>
          <w:sz w:val="20"/>
          <w:szCs w:val="20"/>
          <w:color w:val="auto"/>
        </w:rPr>
        <w:t>” has the meaning assigned to such term in Section 10.01(b).</w:t>
      </w:r>
    </w:p>
    <w:p>
      <w:pPr>
        <w:spacing w:after="0" w:line="10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has the meaning assigned to it in Section 9.18.</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Lending Office</w:t>
      </w:r>
      <w:r>
        <w:rPr>
          <w:rFonts w:ascii="Times New Roman" w:cs="Times New Roman" w:eastAsia="Times New Roman" w:hAnsi="Times New Roman"/>
          <w:sz w:val="20"/>
          <w:szCs w:val="20"/>
          <w:color w:val="auto"/>
        </w:rPr>
        <w:t>” means, with respect to any Lender, the office of such Lender specified as its “U.S. Lending Office” in its Administrative Questionnaire or such other office of such Lender as such Lender may from time to time specify to the U.S. Borrower and the Agent.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has the meaning assigned to such term in Section 2.15(g).</w:t>
      </w:r>
    </w:p>
    <w:p>
      <w:pPr>
        <w:spacing w:after="0" w:line="121"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Term A Commitment</w:t>
      </w:r>
      <w:r>
        <w:rPr>
          <w:rFonts w:ascii="Times New Roman" w:cs="Times New Roman" w:eastAsia="Times New Roman" w:hAnsi="Times New Roman"/>
          <w:sz w:val="19"/>
          <w:szCs w:val="19"/>
          <w:color w:val="auto"/>
        </w:rPr>
        <w:t>” means, with respect to each U.S. Term A Lender, the commitment of such Lender to make U.S. Term A Loans to the U.S. Borrower on the Amendment No. 15 Effective Date in the aggregate principal amount forth opposite such Lender’s name on the Commitments Schedule (for the avoidance of doubt, as supplemented pursuant to Amendment No. 15 on the Amendment No. 15 Effective Date) under the heading “U.S. Term A Commitment,” as adjusted to reflect each Assignment and Assumption executed by such Lender and as such amount may be increased or reduced pursuant to this Agreement, and “U.S. Term A Commitments” shall mean the aggregate U.S.</w:t>
      </w:r>
    </w:p>
    <w:p>
      <w:pPr>
        <w:spacing w:after="0" w:line="2" w:lineRule="exact"/>
        <w:rPr>
          <w:sz w:val="20"/>
          <w:szCs w:val="20"/>
          <w:color w:val="auto"/>
        </w:rPr>
      </w:pPr>
    </w:p>
    <w:p>
      <w:pPr>
        <w:ind w:right="1040"/>
        <w:spacing w:after="0" w:line="267" w:lineRule="auto"/>
        <w:rPr>
          <w:sz w:val="20"/>
          <w:szCs w:val="20"/>
          <w:color w:val="auto"/>
        </w:rPr>
      </w:pPr>
      <w:r>
        <w:rPr>
          <w:rFonts w:ascii="Times New Roman" w:cs="Times New Roman" w:eastAsia="Times New Roman" w:hAnsi="Times New Roman"/>
          <w:sz w:val="20"/>
          <w:szCs w:val="20"/>
          <w:color w:val="auto"/>
        </w:rPr>
        <w:t>Term A Commitments of all U.S. Term A Lenders, which amount, initially as of the Amendment No. 15 Effective Date, shall be $70,688,723.72.</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A Lender</w:t>
      </w:r>
      <w:r>
        <w:rPr>
          <w:rFonts w:ascii="Times New Roman" w:cs="Times New Roman" w:eastAsia="Times New Roman" w:hAnsi="Times New Roman"/>
          <w:sz w:val="20"/>
          <w:szCs w:val="20"/>
          <w:color w:val="auto"/>
        </w:rPr>
        <w:t>” means each Lender that has a U.S. Term A Loan or a U.S. Term A Commitment.</w:t>
      </w:r>
    </w:p>
    <w:p>
      <w:pPr>
        <w:spacing w:after="0" w:line="12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A Loan</w:t>
      </w:r>
      <w:r>
        <w:rPr>
          <w:rFonts w:ascii="Times New Roman" w:cs="Times New Roman" w:eastAsia="Times New Roman" w:hAnsi="Times New Roman"/>
          <w:sz w:val="20"/>
          <w:szCs w:val="20"/>
          <w:color w:val="auto"/>
        </w:rPr>
        <w:t>” means has the meaning assigned to such term in Section 2.01(b)(iv) and shall include all U.S. Term A Loans funded on the Amendment No. 15 Effective Date pursuant to the U.S. Term A Commitments.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A Loan Facility</w:t>
      </w:r>
      <w:r>
        <w:rPr>
          <w:rFonts w:ascii="Times New Roman" w:cs="Times New Roman" w:eastAsia="Times New Roman" w:hAnsi="Times New Roman"/>
          <w:sz w:val="20"/>
          <w:szCs w:val="20"/>
          <w:color w:val="auto"/>
        </w:rPr>
        <w:t>” means the provisions herein related to the U.S. Term A Commitments and the U.S. Term A Loans.</w:t>
      </w:r>
    </w:p>
    <w:p>
      <w:pPr>
        <w:spacing w:after="0" w:line="121"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A Loan Maturity Date</w:t>
      </w:r>
      <w:r>
        <w:rPr>
          <w:rFonts w:ascii="Times New Roman" w:cs="Times New Roman" w:eastAsia="Times New Roman" w:hAnsi="Times New Roman"/>
          <w:sz w:val="20"/>
          <w:szCs w:val="20"/>
          <w:color w:val="auto"/>
        </w:rPr>
        <w:t xml:space="preserve">” means the U.S. Term A Loan Scheduled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aggregate amount of Indebtedness outstanding under the U.S. Term B-7 Loans and the 2028 Senior Notes, and any Indebtedness constituting Refinancing Indebtedness or Permitted Refinancing Notes in respect thereof exceeds $500.0 million on the Springing Maturity Date, the U.S. Term A Loans will mature on the Springing Maturity Date (if earlier than the U.S. Term A Loan Scheduled Maturity 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A Loan Scheduled Maturity Date</w:t>
      </w:r>
      <w:r>
        <w:rPr>
          <w:rFonts w:ascii="Times New Roman" w:cs="Times New Roman" w:eastAsia="Times New Roman" w:hAnsi="Times New Roman"/>
          <w:sz w:val="20"/>
          <w:szCs w:val="20"/>
          <w:color w:val="auto"/>
        </w:rPr>
        <w:t>” means August 2, 2029.</w:t>
      </w:r>
    </w:p>
    <w:p>
      <w:pPr>
        <w:spacing w:after="0" w:line="10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A-1 Commitment</w:t>
      </w:r>
      <w:r>
        <w:rPr>
          <w:rFonts w:ascii="Times New Roman" w:cs="Times New Roman" w:eastAsia="Times New Roman" w:hAnsi="Times New Roman"/>
          <w:sz w:val="20"/>
          <w:szCs w:val="20"/>
          <w:color w:val="auto"/>
        </w:rPr>
        <w:t>” means, with respect to each U.S. Term A-1 Lender, the commitment of such Lender to make U.S. Term A-1 Loans to the Existing U.K. Borrower on the Amendment No. 15 Effective Date in the aggregate principal amount forth opposite such Lender’s name on the Commitments Schedule (for the avoidance of doubt, as supplemented pursuant to Amendment No. 15 on the Amendment No. 15 Effective Date) under the heading “U.S. Term A-1 Commitment,” as adjusted to reflect each Assignment and Assumption executed by such Lender and as such amount may be increased or reduced pursuant to this Agreement, and “U.S. Term A-1 Commitments” shall mean the aggregate U.S. Term A-1 Commitments of all U.S. Term A-1 Lenders, which amount, initially as of the Amendment No. 15 Effective Date, shall be $90,000,000.00.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A-1 Lender</w:t>
      </w:r>
      <w:r>
        <w:rPr>
          <w:rFonts w:ascii="Times New Roman" w:cs="Times New Roman" w:eastAsia="Times New Roman" w:hAnsi="Times New Roman"/>
          <w:sz w:val="20"/>
          <w:szCs w:val="20"/>
          <w:color w:val="auto"/>
        </w:rPr>
        <w:t>” means each Lender that has a U.S. Term A-1 Loan or a U.S. Term A-1 Commitment.</w:t>
      </w:r>
    </w:p>
    <w:p>
      <w:pPr>
        <w:spacing w:after="0" w:line="108"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A-1 Loan</w:t>
      </w:r>
      <w:r>
        <w:rPr>
          <w:rFonts w:ascii="Times New Roman" w:cs="Times New Roman" w:eastAsia="Times New Roman" w:hAnsi="Times New Roman"/>
          <w:sz w:val="20"/>
          <w:szCs w:val="20"/>
          <w:color w:val="auto"/>
        </w:rPr>
        <w:t>” means has the meaning assigned to such term in Section 2.01(b)(v) and shall include all U.S. Term A-1 Loans funded on the Amendment No. 15 Effective Date pursuant to the U.S. Term A-1 Commitments.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A-1 Loan Facility</w:t>
      </w:r>
      <w:r>
        <w:rPr>
          <w:rFonts w:ascii="Times New Roman" w:cs="Times New Roman" w:eastAsia="Times New Roman" w:hAnsi="Times New Roman"/>
          <w:sz w:val="20"/>
          <w:szCs w:val="20"/>
          <w:color w:val="auto"/>
        </w:rPr>
        <w:t>” means the provisions herein related to the U.S. Term A-1 Commitments and the U.S. Term A-1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18" w:name="page219"/>
    <w:bookmarkEnd w:id="218"/>
    <w:p>
      <w:pPr>
        <w:ind w:right="22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A-1 Loan Maturity Date</w:t>
      </w:r>
      <w:r>
        <w:rPr>
          <w:rFonts w:ascii="Times New Roman" w:cs="Times New Roman" w:eastAsia="Times New Roman" w:hAnsi="Times New Roman"/>
          <w:sz w:val="20"/>
          <w:szCs w:val="20"/>
          <w:color w:val="auto"/>
        </w:rPr>
        <w:t xml:space="preserve">” means the U.S. Term A-1 Loan Scheduled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aggregate amount of Indebtedness outstanding under the U.S. Term B-7 Loans and the 2028 Senior Notes, and any Indebtedness constituting Refinancing Indebtedness or Permitted Refinancing Notes in respect thereof exceeds $500.0 million on the Springing Maturity Date, the U.S. Term A-1 Loans will mature on the Springing Maturity Date (if earlier than the U.S. Term A-1 Loan Scheduled Maturity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A-1 Loan Scheduled Maturity Date</w:t>
      </w:r>
      <w:r>
        <w:rPr>
          <w:rFonts w:ascii="Times New Roman" w:cs="Times New Roman" w:eastAsia="Times New Roman" w:hAnsi="Times New Roman"/>
          <w:sz w:val="20"/>
          <w:szCs w:val="20"/>
          <w:color w:val="auto"/>
        </w:rPr>
        <w:t>” means August 2, 2029.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B-4 Lender</w:t>
      </w:r>
      <w:r>
        <w:rPr>
          <w:rFonts w:ascii="Times New Roman" w:cs="Times New Roman" w:eastAsia="Times New Roman" w:hAnsi="Times New Roman"/>
          <w:sz w:val="20"/>
          <w:szCs w:val="20"/>
          <w:color w:val="auto"/>
        </w:rPr>
        <w:t>” means each Lender that is a holder of U.S. Term B-4 Loans.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B-4 Loan</w:t>
      </w:r>
      <w:r>
        <w:rPr>
          <w:rFonts w:ascii="Times New Roman" w:cs="Times New Roman" w:eastAsia="Times New Roman" w:hAnsi="Times New Roman"/>
          <w:sz w:val="20"/>
          <w:szCs w:val="20"/>
          <w:color w:val="auto"/>
        </w:rPr>
        <w:t>” means each “U.S. Term B-4 Loan” outstanding under this Agreement on the Amendment No. 14 Effective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B-4 Loan Facility</w:t>
      </w:r>
      <w:r>
        <w:rPr>
          <w:rFonts w:ascii="Times New Roman" w:cs="Times New Roman" w:eastAsia="Times New Roman" w:hAnsi="Times New Roman"/>
          <w:sz w:val="20"/>
          <w:szCs w:val="20"/>
          <w:color w:val="auto"/>
        </w:rPr>
        <w:t>” means the provisions herein related to the U.S. Term B-4 Loans.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B-4 Loan Maturity Date</w:t>
      </w:r>
      <w:r>
        <w:rPr>
          <w:rFonts w:ascii="Times New Roman" w:cs="Times New Roman" w:eastAsia="Times New Roman" w:hAnsi="Times New Roman"/>
          <w:sz w:val="20"/>
          <w:szCs w:val="20"/>
          <w:color w:val="auto"/>
        </w:rPr>
        <w:t>” means January 15, 2027.</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B-5 Lender</w:t>
      </w:r>
      <w:r>
        <w:rPr>
          <w:rFonts w:ascii="Times New Roman" w:cs="Times New Roman" w:eastAsia="Times New Roman" w:hAnsi="Times New Roman"/>
          <w:sz w:val="20"/>
          <w:szCs w:val="20"/>
          <w:color w:val="auto"/>
        </w:rPr>
        <w:t>” means each Lender that is a holder of U.S. Term B-5 Loans.</w:t>
      </w:r>
    </w:p>
    <w:p>
      <w:pPr>
        <w:spacing w:after="0" w:line="121"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B-5 Loan</w:t>
      </w:r>
      <w:r>
        <w:rPr>
          <w:rFonts w:ascii="Times New Roman" w:cs="Times New Roman" w:eastAsia="Times New Roman" w:hAnsi="Times New Roman"/>
          <w:sz w:val="20"/>
          <w:szCs w:val="20"/>
          <w:color w:val="auto"/>
        </w:rPr>
        <w:t>” means each “U.S. Term B-5 Loan” outstanding under this Agreement immediately prior to the Amendment No. 14 Effective Date.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B-6 Lender</w:t>
      </w:r>
      <w:r>
        <w:rPr>
          <w:rFonts w:ascii="Times New Roman" w:cs="Times New Roman" w:eastAsia="Times New Roman" w:hAnsi="Times New Roman"/>
          <w:sz w:val="20"/>
          <w:szCs w:val="20"/>
          <w:color w:val="auto"/>
        </w:rPr>
        <w:t>” means each Lender that has a U.S. Term B-6 Loan.</w:t>
      </w:r>
    </w:p>
    <w:p>
      <w:pPr>
        <w:spacing w:after="0" w:line="121"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B-6 Loan</w:t>
      </w:r>
      <w:r>
        <w:rPr>
          <w:rFonts w:ascii="Times New Roman" w:cs="Times New Roman" w:eastAsia="Times New Roman" w:hAnsi="Times New Roman"/>
          <w:sz w:val="20"/>
          <w:szCs w:val="20"/>
          <w:color w:val="auto"/>
        </w:rPr>
        <w:t>” means each “U.S. Term B-6 Loan” outstanding under this Agreement immediately prior to the Amendment No. 14 Effective Date.</w:t>
      </w:r>
    </w:p>
    <w:p>
      <w:pPr>
        <w:spacing w:after="0" w:line="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B-7 Commitment</w:t>
      </w:r>
      <w:r>
        <w:rPr>
          <w:rFonts w:ascii="Times New Roman" w:cs="Times New Roman" w:eastAsia="Times New Roman" w:hAnsi="Times New Roman"/>
          <w:sz w:val="20"/>
          <w:szCs w:val="20"/>
          <w:color w:val="auto"/>
        </w:rPr>
        <w:t>” means, (i) with respect to the Additional U.S. Term Lender, its Additional U.S. Term B-7 Commitment, (ii) with respect to each Converting U.S. Term B-7 Lender, its commitment to make a U.S. Term B-7 Loan on the Amendment No. 14 Effective Date in an aggregate amount equal to its Converted U.S. Term B-7 Loan and (iii) with respect to any other U.S. Term B-7 Lender, its commitment to make a U.S. Term B-7 Loan in an aggregate principal amount as reflected on each Assignment and Assumption executed by such Lender and as such amount may be increased or reduced pursuant to this Agreement, and “</w:t>
      </w:r>
      <w:r>
        <w:rPr>
          <w:rFonts w:ascii="Times New Roman" w:cs="Times New Roman" w:eastAsia="Times New Roman" w:hAnsi="Times New Roman"/>
          <w:sz w:val="20"/>
          <w:szCs w:val="20"/>
          <w:u w:val="single" w:color="auto"/>
          <w:color w:val="auto"/>
        </w:rPr>
        <w:t>U.S. Term B-7 Commitments</w:t>
      </w:r>
      <w:r>
        <w:rPr>
          <w:rFonts w:ascii="Times New Roman" w:cs="Times New Roman" w:eastAsia="Times New Roman" w:hAnsi="Times New Roman"/>
          <w:sz w:val="20"/>
          <w:szCs w:val="20"/>
          <w:color w:val="auto"/>
        </w:rPr>
        <w:t>” shall mean the aggregate U.S. Term B-7 Commitments of all U.S. Term B-7 Lenders, which amount, initially as of the Amendment No. 14 Effective Date, shall be $730,458,023.44.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B-7 Lender</w:t>
      </w:r>
      <w:r>
        <w:rPr>
          <w:rFonts w:ascii="Times New Roman" w:cs="Times New Roman" w:eastAsia="Times New Roman" w:hAnsi="Times New Roman"/>
          <w:sz w:val="20"/>
          <w:szCs w:val="20"/>
          <w:color w:val="auto"/>
        </w:rPr>
        <w:t>” means each Lender that has a U.S. Term B-7 Commitment or a U.S. Term B-7 Loan.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B-7 Loan</w:t>
      </w:r>
      <w:r>
        <w:rPr>
          <w:rFonts w:ascii="Times New Roman" w:cs="Times New Roman" w:eastAsia="Times New Roman" w:hAnsi="Times New Roman"/>
          <w:sz w:val="20"/>
          <w:szCs w:val="20"/>
          <w:color w:val="auto"/>
        </w:rPr>
        <w:t>” has the meaning assigned to such term in Section 2.01(b)(vii).</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B-7 Loan Maturity Date</w:t>
      </w:r>
      <w:r>
        <w:rPr>
          <w:rFonts w:ascii="Times New Roman" w:cs="Times New Roman" w:eastAsia="Times New Roman" w:hAnsi="Times New Roman"/>
          <w:sz w:val="20"/>
          <w:szCs w:val="20"/>
          <w:color w:val="auto"/>
        </w:rPr>
        <w:t>” means April 6, 2028.</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B-8 Commitment</w:t>
      </w:r>
      <w:r>
        <w:rPr>
          <w:rFonts w:ascii="Times New Roman" w:cs="Times New Roman" w:eastAsia="Times New Roman" w:hAnsi="Times New Roman"/>
          <w:sz w:val="20"/>
          <w:szCs w:val="20"/>
          <w:color w:val="auto"/>
        </w:rPr>
        <w:t>” means, (i) with respect to the Additional U.S. Term Lender, its Additional U.S. Term B-8 Commitment, (ii) with respect to each Converting U.S. Term B-8 Lender, its commitment to make a U.S. Term B-8 Loan on the Amendment No. 14 Effective Date in an aggregate amount equal to its Converted U.S. Term B-8 Loan and (iii) with respect to all other U.S. Term B-8 Lenders, its commitment to make a U.S. Term B-8 Loan in an aggregate principal amount as reflected on each Assignment and Assumption executed by such Lender and as such amount may be increased or reduced pursuant to this Agreement, and “</w:t>
      </w:r>
      <w:r>
        <w:rPr>
          <w:rFonts w:ascii="Times New Roman" w:cs="Times New Roman" w:eastAsia="Times New Roman" w:hAnsi="Times New Roman"/>
          <w:sz w:val="20"/>
          <w:szCs w:val="20"/>
          <w:u w:val="single" w:color="auto"/>
          <w:color w:val="auto"/>
        </w:rPr>
        <w:t>U.S. Term B-8 Commitments</w:t>
      </w:r>
      <w:r>
        <w:rPr>
          <w:rFonts w:ascii="Times New Roman" w:cs="Times New Roman" w:eastAsia="Times New Roman" w:hAnsi="Times New Roman"/>
          <w:sz w:val="20"/>
          <w:szCs w:val="20"/>
          <w:color w:val="auto"/>
        </w:rPr>
        <w:t>” shall mean the aggregate U.S. Term B-8 Commitments of all U.S. Term B-8 Lenders, which amount, initially as of the Amendment No. 14 Effective Date, shall be $1,094,500,000.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B-8 Lender</w:t>
      </w:r>
      <w:r>
        <w:rPr>
          <w:rFonts w:ascii="Times New Roman" w:cs="Times New Roman" w:eastAsia="Times New Roman" w:hAnsi="Times New Roman"/>
          <w:sz w:val="20"/>
          <w:szCs w:val="20"/>
          <w:color w:val="auto"/>
        </w:rPr>
        <w:t>” means each Lender that has a U.S. Term B-8 Commitment or a U.S. Term B-8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B-8 Loan</w:t>
      </w:r>
      <w:r>
        <w:rPr>
          <w:rFonts w:ascii="Times New Roman" w:cs="Times New Roman" w:eastAsia="Times New Roman" w:hAnsi="Times New Roman"/>
          <w:sz w:val="20"/>
          <w:szCs w:val="20"/>
          <w:color w:val="auto"/>
        </w:rPr>
        <w:t>” has the meaning assigned to such term in Section 2.01(b)(viii).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B-8 Loan Maturity Date</w:t>
      </w:r>
      <w:r>
        <w:rPr>
          <w:rFonts w:ascii="Times New Roman" w:cs="Times New Roman" w:eastAsia="Times New Roman" w:hAnsi="Times New Roman"/>
          <w:sz w:val="20"/>
          <w:szCs w:val="20"/>
          <w:color w:val="auto"/>
        </w:rPr>
        <w:t>” means June 22, 2030.</w:t>
      </w:r>
    </w:p>
    <w:p>
      <w:pPr>
        <w:spacing w:after="0" w:line="10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 L. No. 107-56 (signed into law October 26, 2001)), as amended from time to time.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 means:</w:t>
      </w:r>
    </w:p>
    <w:p>
      <w:pPr>
        <w:spacing w:after="0" w:line="121" w:lineRule="exact"/>
        <w:rPr>
          <w:sz w:val="20"/>
          <w:szCs w:val="20"/>
          <w:color w:val="auto"/>
        </w:rPr>
      </w:pPr>
    </w:p>
    <w:p>
      <w:pPr>
        <w:ind w:right="600" w:firstLine="8"/>
        <w:spacing w:after="0" w:line="283" w:lineRule="auto"/>
        <w:tabs>
          <w:tab w:leader="none" w:pos="46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 imposed in compliance with the Council Directive of 28 November 2006 on the common system of value added tax (EC Directive 2006/112); and</w:t>
      </w:r>
    </w:p>
    <w:p>
      <w:pPr>
        <w:spacing w:after="0" w:line="38" w:lineRule="exact"/>
        <w:rPr>
          <w:rFonts w:ascii="Times New Roman" w:cs="Times New Roman" w:eastAsia="Times New Roman" w:hAnsi="Times New Roman"/>
          <w:sz w:val="20"/>
          <w:szCs w:val="20"/>
          <w:color w:val="auto"/>
        </w:rPr>
      </w:pPr>
    </w:p>
    <w:p>
      <w:pPr>
        <w:ind w:right="60" w:firstLine="8"/>
        <w:spacing w:after="0" w:line="283" w:lineRule="auto"/>
        <w:tabs>
          <w:tab w:leader="none" w:pos="47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tax of a similar nature, whether imposed in a member state of the European Union in substitution for, or levied in addition to, such tax referred to in paragraph (a) above, or imposed elsewhere.</w:t>
      </w:r>
    </w:p>
    <w:p>
      <w:pPr>
        <w:spacing w:after="0" w:line="38"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of any Person as of any date means the Capital Stock of such Person that is at the time entitled to vote in the election of the Board of Directors of such Person.</w:t>
      </w:r>
    </w:p>
    <w:p>
      <w:pPr>
        <w:spacing w:after="0" w:line="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xml:space="preserve">” means, when applied to any Indebtedness, Disqualified Stock or Preferred Stock, as the case may be, at any date, the quotient obtained by </w:t>
      </w:r>
      <w:r>
        <w:rPr>
          <w:rFonts w:ascii="Times New Roman" w:cs="Times New Roman" w:eastAsia="Times New Roman" w:hAnsi="Times New Roman"/>
          <w:sz w:val="20"/>
          <w:szCs w:val="20"/>
          <w:u w:val="single" w:color="auto"/>
          <w:color w:val="auto"/>
        </w:rPr>
        <w:t>dividing</w:t>
      </w:r>
      <w:r>
        <w:rPr>
          <w:rFonts w:ascii="Times New Roman" w:cs="Times New Roman" w:eastAsia="Times New Roman" w:hAnsi="Times New Roman"/>
          <w:sz w:val="20"/>
          <w:szCs w:val="20"/>
          <w:color w:val="auto"/>
        </w:rPr>
        <w:t xml:space="preserve"> (1)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 (2) the sum of all such payments.</w:t>
      </w:r>
    </w:p>
    <w:p>
      <w:pPr>
        <w:spacing w:after="0" w:line="7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 Subsidiary</w:t>
      </w:r>
      <w:r>
        <w:rPr>
          <w:rFonts w:ascii="Times New Roman" w:cs="Times New Roman" w:eastAsia="Times New Roman" w:hAnsi="Times New Roman"/>
          <w:sz w:val="20"/>
          <w:szCs w:val="20"/>
          <w:color w:val="auto"/>
        </w:rPr>
        <w:t>” of any Person means a Restricted Subsidiary of such Person, 100% of the outstanding Capital Stock or other ownership interests of which (other than directors’ qualifying shares) shall at the time be owned by such Person or by one or more Wholly-Owned Subsidiaries of such Person.</w:t>
      </w:r>
    </w:p>
    <w:p>
      <w:pPr>
        <w:spacing w:after="0" w:line="73"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6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(i) prior to the 2024 Refinancing Amendments Effective Date,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(ii) from and after the 2024 Refinancing Amendments Effective Date, (a) in relation to any Bail-In Legislation from time to time, the powers described as such in relation to that Bail-In Legislation in the EU Bail-In Legislation Schedule; any powers under the Bail-In Legislation to cancel, reduce, modify or change the form of a liability of any EEA Financial Institution established in the United Kingdom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(b) in relation to any other applicable Bail-In Legislation, (A)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20" w:name="page221"/>
    <w:bookmarkEnd w:id="220"/>
    <w:p>
      <w:pPr>
        <w:ind w:right="780"/>
        <w:spacing w:after="0" w:line="283" w:lineRule="auto"/>
        <w:rPr>
          <w:sz w:val="20"/>
          <w:szCs w:val="20"/>
          <w:color w:val="auto"/>
        </w:rPr>
      </w:pPr>
      <w:r>
        <w:rPr>
          <w:rFonts w:ascii="Times New Roman" w:cs="Times New Roman" w:eastAsia="Times New Roman" w:hAnsi="Times New Roman"/>
          <w:sz w:val="20"/>
          <w:szCs w:val="20"/>
          <w:color w:val="auto"/>
        </w:rPr>
        <w:t>Bail-In Legislation that are related to or ancillary to any of those powers and (B) any similar or analogous powers under that Bail-In Legislation.</w:t>
      </w:r>
    </w:p>
    <w:p>
      <w:pPr>
        <w:spacing w:after="0" w:line="3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I.2</w:t>
      </w:r>
      <w:r>
        <w:rPr>
          <w:sz w:val="20"/>
          <w:szCs w:val="20"/>
          <w:color w:val="auto"/>
        </w:rPr>
        <w:tab/>
      </w:r>
      <w:r>
        <w:rPr>
          <w:rFonts w:ascii="Times New Roman" w:cs="Times New Roman" w:eastAsia="Times New Roman" w:hAnsi="Times New Roman"/>
          <w:sz w:val="19"/>
          <w:szCs w:val="19"/>
          <w:u w:val="single" w:color="auto"/>
          <w:color w:val="auto"/>
        </w:rPr>
        <w:t>Classification of Loans and Borrowings</w:t>
      </w:r>
    </w:p>
    <w:p>
      <w:pPr>
        <w:spacing w:after="0" w:line="225" w:lineRule="exact"/>
        <w:rPr>
          <w:sz w:val="20"/>
          <w:szCs w:val="20"/>
          <w:color w:val="auto"/>
        </w:rPr>
      </w:pPr>
    </w:p>
    <w:p>
      <w:pPr>
        <w:jc w:val="right"/>
        <w:ind w:left="340" w:hanging="298"/>
        <w:spacing w:after="0" w:line="270" w:lineRule="auto"/>
        <w:tabs>
          <w:tab w:leader="none" w:pos="141"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Loans may be classified and referred to by Class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 “2024 Tranche Revolving Loan”) or by Type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 “Eurocurrency Rate Loan”) or by Class and Type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 “Eurocurrency Rate 2024 Tranche Revolving Loan”). Borrowings also may be</w:t>
      </w:r>
    </w:p>
    <w:p>
      <w:pPr>
        <w:jc w:val="right"/>
        <w:ind w:left="160"/>
        <w:spacing w:after="0" w:line="267" w:lineRule="auto"/>
        <w:rPr>
          <w:sz w:val="20"/>
          <w:szCs w:val="20"/>
          <w:color w:val="auto"/>
        </w:rPr>
      </w:pPr>
      <w:r>
        <w:rPr>
          <w:rFonts w:ascii="Times New Roman" w:cs="Times New Roman" w:eastAsia="Times New Roman" w:hAnsi="Times New Roman"/>
          <w:sz w:val="20"/>
          <w:szCs w:val="20"/>
          <w:color w:val="auto"/>
        </w:rPr>
        <w:t>classified and referred to by Class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“2024 Tranche Revolving Borrowing”) or by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“Eurocurrency Rate Borrowing”) or by Class and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“Eurocurrency Rate 2024 Tranche Revolving Borrowing”).</w:t>
      </w:r>
    </w:p>
    <w:p>
      <w:pPr>
        <w:spacing w:after="0" w:line="5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I.3</w:t>
      </w:r>
      <w:r>
        <w:rPr>
          <w:sz w:val="20"/>
          <w:szCs w:val="20"/>
          <w:color w:val="auto"/>
        </w:rPr>
        <w:tab/>
      </w:r>
      <w:r>
        <w:rPr>
          <w:rFonts w:ascii="Times New Roman" w:cs="Times New Roman" w:eastAsia="Times New Roman" w:hAnsi="Times New Roman"/>
          <w:sz w:val="19"/>
          <w:szCs w:val="19"/>
          <w:u w:val="single" w:color="auto"/>
          <w:color w:val="auto"/>
        </w:rPr>
        <w:t>Conversion of Currencies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20" w:firstLine="1304"/>
        <w:spacing w:after="0" w:line="253" w:lineRule="auto"/>
        <w:tabs>
          <w:tab w:leader="none" w:pos="193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Dollar Equivalents</w:t>
      </w:r>
      <w:r>
        <w:rPr>
          <w:rFonts w:ascii="Times New Roman" w:cs="Times New Roman" w:eastAsia="Times New Roman" w:hAnsi="Times New Roman"/>
          <w:sz w:val="20"/>
          <w:szCs w:val="20"/>
          <w:color w:val="auto"/>
        </w:rPr>
        <w:t>. The Agent shall determine the Dollar Equivalent of any amount as required hereby, and a determination thereof by the Agent shall be presumed correct absent manifest error. The Agent may, but shall not be obligated to, rely on any determination made by any Loan Party in any document delivered to the Agent. The Agent shall determine or redetermine the Dollar Equivalent of each Loan and each Letter of Credit on each Determination Date and, unless otherwise specified herein, the Agent may determine or redetermine the Dollar Equivalent of any amount hereunder on any other date in its reasonable discretion. For purposes of any calculation of whether the requisite percentage of Lenders have consented to any amendment, waiver or modification of any Loan Document, the Agent may, in consultation with the U.S. Borrower, set a record date for determining the Dollar Equivalent amount of any Loan or Commitment so long as such record date is within 30 days of the effective date of such amendment, waiver or modification.</w:t>
      </w:r>
    </w:p>
    <w:p>
      <w:pPr>
        <w:spacing w:after="0" w:line="180" w:lineRule="exact"/>
        <w:rPr>
          <w:rFonts w:ascii="Times New Roman" w:cs="Times New Roman" w:eastAsia="Times New Roman" w:hAnsi="Times New Roman"/>
          <w:sz w:val="20"/>
          <w:szCs w:val="20"/>
          <w:color w:val="auto"/>
        </w:rPr>
      </w:pPr>
    </w:p>
    <w:p>
      <w:pPr>
        <w:ind w:right="240" w:firstLine="1304"/>
        <w:spacing w:after="0" w:line="281" w:lineRule="auto"/>
        <w:tabs>
          <w:tab w:leader="none" w:pos="1932"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Rounding-Off</w:t>
      </w:r>
      <w:r>
        <w:rPr>
          <w:rFonts w:ascii="Times New Roman" w:cs="Times New Roman" w:eastAsia="Times New Roman" w:hAnsi="Times New Roman"/>
          <w:sz w:val="19"/>
          <w:szCs w:val="19"/>
          <w:color w:val="auto"/>
        </w:rPr>
        <w:t>. The Agent may set up appropriate rounding off mechanisms or otherwise round 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64" w:lineRule="exact"/>
        <w:rPr>
          <w:rFonts w:ascii="Times New Roman" w:cs="Times New Roman" w:eastAsia="Times New Roman" w:hAnsi="Times New Roman"/>
          <w:sz w:val="19"/>
          <w:szCs w:val="19"/>
          <w:color w:val="auto"/>
        </w:rPr>
      </w:pPr>
    </w:p>
    <w:p>
      <w:pPr>
        <w:ind w:right="520" w:firstLine="1304"/>
        <w:spacing w:after="0" w:line="261" w:lineRule="auto"/>
        <w:tabs>
          <w:tab w:leader="none" w:pos="193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Negative Covenants, Etc</w:t>
      </w:r>
      <w:r>
        <w:rPr>
          <w:rFonts w:ascii="Times New Roman" w:cs="Times New Roman" w:eastAsia="Times New Roman" w:hAnsi="Times New Roman"/>
          <w:sz w:val="20"/>
          <w:szCs w:val="20"/>
          <w:color w:val="auto"/>
        </w:rPr>
        <w:t>. The Borrowers shall not be deemed to have violated any of the covenants set forth in Article VI (other than Section 6.10) solely as a result of currency fluctuations following the date any action is taken if such action was permitted on the date on which it was taken.</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I.4</w:t>
      </w:r>
      <w:r>
        <w:rPr>
          <w:sz w:val="20"/>
          <w:szCs w:val="20"/>
          <w:color w:val="auto"/>
        </w:rPr>
        <w:tab/>
      </w:r>
      <w:r>
        <w:rPr>
          <w:rFonts w:ascii="Times New Roman" w:cs="Times New Roman" w:eastAsia="Times New Roman" w:hAnsi="Times New Roman"/>
          <w:sz w:val="19"/>
          <w:szCs w:val="19"/>
          <w:u w:val="single" w:color="auto"/>
          <w:color w:val="auto"/>
        </w:rPr>
        <w:t>Terms Generally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20" w:firstLine="1304"/>
        <w:spacing w:after="0" w:line="252" w:lineRule="auto"/>
        <w:tabs>
          <w:tab w:leader="none" w:pos="193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21" w:name="page222"/>
    <w:bookmarkEnd w:id="221"/>
    <w:p>
      <w:pPr>
        <w:ind w:right="100" w:firstLine="8"/>
        <w:spacing w:after="0" w:line="253" w:lineRule="auto"/>
        <w:tabs>
          <w:tab w:leader="none" w:pos="28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except as otherwise indicated,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92" w:lineRule="exact"/>
        <w:rPr>
          <w:rFonts w:ascii="Times New Roman" w:cs="Times New Roman" w:eastAsia="Times New Roman" w:hAnsi="Times New Roman"/>
          <w:sz w:val="20"/>
          <w:szCs w:val="20"/>
          <w:color w:val="auto"/>
        </w:rPr>
      </w:pPr>
    </w:p>
    <w:p>
      <w:pPr>
        <w:ind w:right="60" w:firstLine="1304"/>
        <w:spacing w:after="0" w:line="262" w:lineRule="auto"/>
        <w:tabs>
          <w:tab w:leader="none" w:pos="1932"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2024 Refinancing Amendments Effective Date, for purposes of determining compliance at any time with Sections 6.01, 6.02, 6.04, 6.06 and 6.07, in the event that any Indebtedness, Lien, Restricted Payment, Restricted Debt Payment, Investment or Disposition or, in each case, portion thereof, as applicable, at any time meets the criteria of more than one of the categories of transactions or items permitted pursuant to (i) in the case of any such Indebtedness, any clause of Section 6.01 (other than Section 6.01(b)(ii) (in the case of Indebtedness incurred on the Closing Date) and any Indebtedness initially incurred in reliance on the Maximum Incremental Amount), (ii) in the case of any such Lien, Section 6.02 and the definition of “Permitted Liens” (other than clause (a)(ii) of the definition of “Permitted Liens”), (iii) in the case of any such Restricted Payment or Restricted Debt Payment, Section 6.04, (iv) in the case of any such Investment, Section 6.06, and (v) in the case of any such Disposition, Section 6.07 (each of the foregoing, a “</w:t>
      </w:r>
      <w:r>
        <w:rPr>
          <w:rFonts w:ascii="Times New Roman" w:cs="Times New Roman" w:eastAsia="Times New Roman" w:hAnsi="Times New Roman"/>
          <w:sz w:val="19"/>
          <w:szCs w:val="19"/>
          <w:u w:val="single" w:color="auto"/>
          <w:color w:val="auto"/>
        </w:rPr>
        <w:t>Reclassifiable Item</w:t>
      </w:r>
      <w:r>
        <w:rPr>
          <w:rFonts w:ascii="Times New Roman" w:cs="Times New Roman" w:eastAsia="Times New Roman" w:hAnsi="Times New Roman"/>
          <w:sz w:val="19"/>
          <w:szCs w:val="19"/>
          <w:color w:val="auto"/>
        </w:rPr>
        <w:t xml:space="preserve">”), the U.S. Borrower, in its sole discretion, may, from time to time, divide, classify or reclassify such Reclassifiable Item (or portion thereof) under one or more clauses of each such Section (but, for avoidance of doubt, not across Sections) and will only be required to include such Reclassifiable Item (or portion thereof) in any one category;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delivery of any financial statements pursuant to Section</w:t>
      </w:r>
    </w:p>
    <w:p>
      <w:pPr>
        <w:spacing w:after="0" w:line="3" w:lineRule="exact"/>
        <w:rPr>
          <w:rFonts w:ascii="Times New Roman" w:cs="Times New Roman" w:eastAsia="Times New Roman" w:hAnsi="Times New Roman"/>
          <w:sz w:val="19"/>
          <w:szCs w:val="19"/>
          <w:color w:val="auto"/>
        </w:rPr>
      </w:pPr>
    </w:p>
    <w:p>
      <w:pPr>
        <w:ind w:right="20"/>
        <w:spacing w:after="0" w:line="24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5.01(a) or (b) following the initial incurrence or making of any such Reclassifiable Item, if such Reclassifiable Item could, based on such financial statements, have been incurred or made in reliance on any “ratio-based” basket or exception (in the case of all other Reclassifiable Items), such Reclassifiable Item shall automatically be reclassified as having been incurred or made under such “ratio-based” basket or exception, as applicable (in each case, subject to any other applicable provision of such “ratio-based” basket or exception, as applicable). It is understood and agreed that any Indebtedness, Lien, Restricted Payment, Restricted Debt Payment, Investment, Disposition and/or Affiliate transaction need not be permitted solely by reference to one category of permitted Indebtedness, Lien, Restricted Payment, Restricted Debt Payment, Investment, Disposition and/or Affiliate transaction under Sections 6.01, 6.02, 6.04, 6.06, 6.07 or 6.09, respectively, but may instead be permitted in part under any combination thereof or under any other available exception.</w:t>
      </w:r>
    </w:p>
    <w:p>
      <w:pPr>
        <w:spacing w:after="0" w:line="19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I.5</w:t>
      </w:r>
      <w:r>
        <w:rPr>
          <w:sz w:val="20"/>
          <w:szCs w:val="20"/>
          <w:color w:val="auto"/>
        </w:rPr>
        <w:tab/>
      </w:r>
      <w:r>
        <w:rPr>
          <w:rFonts w:ascii="Times New Roman" w:cs="Times New Roman" w:eastAsia="Times New Roman" w:hAnsi="Times New Roman"/>
          <w:sz w:val="19"/>
          <w:szCs w:val="19"/>
          <w:u w:val="single" w:color="auto"/>
          <w:color w:val="auto"/>
        </w:rPr>
        <w:t>Certain Calculations and Tests</w:t>
      </w:r>
    </w:p>
    <w:p>
      <w:pPr>
        <w:spacing w:after="0" w:line="216" w:lineRule="exact"/>
        <w:rPr>
          <w:sz w:val="20"/>
          <w:szCs w:val="20"/>
          <w:color w:val="auto"/>
        </w:rPr>
      </w:pPr>
    </w:p>
    <w:p>
      <w:pPr>
        <w:ind w:firstLine="1304"/>
        <w:spacing w:after="0" w:line="253" w:lineRule="auto"/>
        <w:tabs>
          <w:tab w:leader="none" w:pos="139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the permissibility of any action, change, transaction or event that requires a calculation of any financial ratio or test hereunder (including any Consolidated Leverage Ratio test, any Consolidated Secured Debt Ratio test, and/or Interest Coverage Ratio test, the amount of EBITDA and/or Total Assets), such financial ratio or test shall be calculated (subject to Section 1.10) at the time such action is taken,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I.6</w:t>
      </w:r>
      <w:r>
        <w:rPr>
          <w:sz w:val="20"/>
          <w:szCs w:val="20"/>
          <w:color w:val="auto"/>
        </w:rPr>
        <w:tab/>
      </w:r>
      <w:r>
        <w:rPr>
          <w:rFonts w:ascii="Times New Roman" w:cs="Times New Roman" w:eastAsia="Times New Roman" w:hAnsi="Times New Roman"/>
          <w:sz w:val="19"/>
          <w:szCs w:val="19"/>
          <w:u w:val="single" w:color="auto"/>
          <w:color w:val="auto"/>
        </w:rPr>
        <w:t>Change of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22" w:name="page223"/>
    <w:bookmarkEnd w:id="222"/>
    <w:p>
      <w:pPr>
        <w:ind w:right="240" w:firstLine="8"/>
        <w:spacing w:after="0" w:line="261" w:lineRule="auto"/>
        <w:tabs>
          <w:tab w:leader="none" w:pos="99"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Agent may from time to time specify with the U.S. Borrower’s consent to appropriately reflect a change in currency of any country and any relevant market conventions or practices relating to such change in currency.</w:t>
      </w:r>
    </w:p>
    <w:p>
      <w:pPr>
        <w:spacing w:after="0" w:line="7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I.7</w:t>
      </w:r>
      <w:r>
        <w:rPr>
          <w:sz w:val="20"/>
          <w:szCs w:val="20"/>
          <w:color w:val="auto"/>
        </w:rPr>
        <w:tab/>
      </w:r>
      <w:r>
        <w:rPr>
          <w:rFonts w:ascii="Times New Roman" w:cs="Times New Roman" w:eastAsia="Times New Roman" w:hAnsi="Times New Roman"/>
          <w:sz w:val="19"/>
          <w:szCs w:val="19"/>
          <w:u w:val="single" w:color="auto"/>
          <w:color w:val="auto"/>
        </w:rPr>
        <w:t>Funding Through Applicable Lending Offices</w:t>
      </w:r>
    </w:p>
    <w:p>
      <w:pPr>
        <w:spacing w:after="0" w:line="216" w:lineRule="exact"/>
        <w:rPr>
          <w:sz w:val="20"/>
          <w:szCs w:val="20"/>
          <w:color w:val="auto"/>
        </w:rPr>
      </w:pPr>
    </w:p>
    <w:p>
      <w:pPr>
        <w:ind w:firstLine="8"/>
        <w:spacing w:after="0" w:line="251" w:lineRule="auto"/>
        <w:tabs>
          <w:tab w:leader="none" w:pos="99"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by notice to the Agent and the U.S. Borrower, designate an Affiliate of such Lender as its Applicable Lending Office with respect to any Loans to be made by such Lender to any Borrower (and, for the avoidance of doubt, a Lender may designate different Applicable Lending Offices to make Loans to the U.S. Borrower, on the one hand, and any Foreign Borrower, on the other hand, under the same Revolving Facility) or make any Loan available to any Borrower by causing any foreign or domestic branch or Affiliate of such Lender to make such Loans. In the event that a Lender designates an Affiliate of such Lender as its Applicable Lending Office for Loans to any Borrower under any Facility or makes any Loan available to any Borrower by causing any foreign or domestic branch or Affiliate of such Lender to make such Loans, then all Loans and reimbursement obligations to be funded by such Lender under such Facility to such Borrower shall be funded by such Applicable Lending Office or foreign or domestic branch or Affiliate, as applicable, and all payments of interest, fees, principal and other amounts payable to such Lender under such Facility shall be payable to such Applicable Lending Office or foreign or domestic branch or Affiliate, as applicable. Except as provided in the immediately preceding sentence, no designation by any Lender of an Affiliate as its Applicable Lending Office or making any Loan available to any Borrower by causing any foreign or domestic branch or Affiliate of such Lender to make such Loans shall alter the obligation of the applicable Borrower to pay any principal, interest, fees or other amounts hereunder.</w:t>
      </w:r>
    </w:p>
    <w:p>
      <w:pPr>
        <w:spacing w:after="0" w:line="7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I.8</w:t>
      </w:r>
      <w:r>
        <w:rPr>
          <w:sz w:val="20"/>
          <w:szCs w:val="20"/>
          <w:color w:val="auto"/>
        </w:rPr>
        <w:tab/>
      </w:r>
      <w:r>
        <w:rPr>
          <w:rFonts w:ascii="Times New Roman" w:cs="Times New Roman" w:eastAsia="Times New Roman" w:hAnsi="Times New Roman"/>
          <w:sz w:val="19"/>
          <w:szCs w:val="19"/>
          <w:u w:val="single" w:color="auto"/>
          <w:color w:val="auto"/>
        </w:rPr>
        <w:t>Accounting Terms; GAAP</w:t>
      </w:r>
    </w:p>
    <w:p>
      <w:pPr>
        <w:spacing w:after="0" w:line="229" w:lineRule="exact"/>
        <w:rPr>
          <w:sz w:val="20"/>
          <w:szCs w:val="20"/>
          <w:color w:val="auto"/>
        </w:rPr>
      </w:pPr>
    </w:p>
    <w:p>
      <w:pPr>
        <w:ind w:right="80" w:firstLine="8"/>
        <w:spacing w:after="0" w:line="249" w:lineRule="auto"/>
        <w:tabs>
          <w:tab w:leader="none" w:pos="99"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U.S. Borrower notifies the Agent that the U.S. Borrower requests an amendment to any provision hereof to eliminate the effect of any change occurring after the date hereof in GAAP or in the application thereof on the operation of such provision (or if the Agent notifies the U.S.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(i)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the U.S. Borrower or any Subsidiary at “fair value,” as defined therein and (ii) the accounting for any lease (and whether the obligations thereunder shall constitute “Capitalized Lease Obligations”) shall be based on GAAP as in effect on the Closing Date and without giving effect to any subsequent changes in GAAP (or the required implementation of any previously promulgated changes in GAAP) relating to the treatment of a lease as an operating lease or capitalized lease.</w:t>
      </w:r>
    </w:p>
    <w:p>
      <w:pPr>
        <w:spacing w:after="0" w:line="8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I.9</w:t>
      </w:r>
      <w:r>
        <w:rPr>
          <w:sz w:val="20"/>
          <w:szCs w:val="20"/>
          <w:color w:val="auto"/>
        </w:rPr>
        <w:tab/>
      </w:r>
      <w:r>
        <w:rPr>
          <w:rFonts w:ascii="Times New Roman" w:cs="Times New Roman" w:eastAsia="Times New Roman" w:hAnsi="Times New Roman"/>
          <w:sz w:val="19"/>
          <w:szCs w:val="19"/>
          <w:u w:val="single" w:color="auto"/>
          <w:color w:val="auto"/>
        </w:rPr>
        <w:t>Additional Available Currencies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23" w:name="page224"/>
    <w:bookmarkEnd w:id="223"/>
    <w:p>
      <w:pPr>
        <w:ind w:firstLine="1304"/>
        <w:spacing w:after="0" w:line="253" w:lineRule="auto"/>
        <w:tabs>
          <w:tab w:leader="none" w:pos="193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U.S. Borrower may from time to time request that Eurocurrency Rate Revolving Loans be made and/or Letters of Credit be issued under any Revolving Facility in a currency other than those specifically listed in the definition of “Available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requested currency is a lawful currency (other than Dollars) that is readily available and freely transferable and convertible into Dollars. In the case of any such request with respect to the making of Eurocurrency Rate Revolving Loans, such request shall be subject to the reasonable approval of the Agent and the Revolving Lenders under the applicable Revolving Facility; and in the case of any such request with respect to the issuance of Letters of Credit, such request shall be subject to the reasonable approval of the Agent and each Issuing Bank that is requested to issue Letters of Credit in such currency.</w:t>
      </w:r>
    </w:p>
    <w:p>
      <w:pPr>
        <w:spacing w:after="0" w:line="179" w:lineRule="exact"/>
        <w:rPr>
          <w:rFonts w:ascii="Times New Roman" w:cs="Times New Roman" w:eastAsia="Times New Roman" w:hAnsi="Times New Roman"/>
          <w:sz w:val="20"/>
          <w:szCs w:val="20"/>
          <w:color w:val="auto"/>
        </w:rPr>
      </w:pPr>
    </w:p>
    <w:p>
      <w:pPr>
        <w:ind w:right="20" w:firstLine="1304"/>
        <w:spacing w:after="0" w:line="252" w:lineRule="auto"/>
        <w:tabs>
          <w:tab w:leader="none" w:pos="193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Agent not later than 11:00 a.m., fifteen (15) Business Days prior to the date of the desired Revolving Loan or issuance of any Letter of Credit in the applicable currency (or such other time or date as may be agreed by the Agent and, in the case of any such request pertaining to Letters of Credit, each applicable Issuing Bank, in its or their sole discretion). In the case of any such request pertaining to Eurocurrency Rate Loans under any Revolving Facility, the Agent shall promptly notify each Revolving Lender under such Revolving Facility thereof; and in the case of any such request pertaining to Letters of Credit, the Agent shall promptly notify each Issuing Bank that is requested to issue Letters of Credit in such currency thereof. Each Revolving Lender (in the case of any such request pertaining to Eurocurrency Rate Loans) under the applicable Revolving Facility or each applicable Issuing Bank (in the case of a request pertaining to Letters of Credit to be issued by such Issuing Bank) shall notify the Agent, not later than 11:00 a.m., five (5) Business Days after receipt of such request whether it consents, in its sole discretion, to the making of Eurocurrency Rate Loans or the issuance of Letters of Credit, as the case may be, in such requested currency.</w:t>
      </w:r>
    </w:p>
    <w:p>
      <w:pPr>
        <w:spacing w:after="0" w:line="177" w:lineRule="exact"/>
        <w:rPr>
          <w:rFonts w:ascii="Times New Roman" w:cs="Times New Roman" w:eastAsia="Times New Roman" w:hAnsi="Times New Roman"/>
          <w:sz w:val="20"/>
          <w:szCs w:val="20"/>
          <w:color w:val="auto"/>
        </w:rPr>
      </w:pPr>
    </w:p>
    <w:p>
      <w:pPr>
        <w:ind w:right="40" w:firstLine="1304"/>
        <w:spacing w:after="0" w:line="266" w:lineRule="auto"/>
        <w:tabs>
          <w:tab w:leader="none" w:pos="1934"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a Lender or an Issuing Bank, as the case may be, to respond to such request within the time period specified in the preceding sentence shall be deemed to be a refusal by such Lender or such Issuing Bank, as the case may be, to permit Eurocurrency Rate Loans to be made or Letters of Credit to be issued in such requested currency. If the Agent and all the Revolving Lenders under the applicable Revolving Facility consent to making Eurocurrency Rate Loans in such requested currency, the Agent shall so notify the U.S. Borrower and such currency shall thereupon be deemed for all purposes to be an Available Currency hereunder under such Revolving Facility for purposes of any Eurocurrency Rate Revolving Loans; and if the Agent and an Issuing Bank consent to the issuance of Letters of Credit in such requested currency, the Agent shall so notify the U.S. Borrower and such currency shall thereupon be deemed for all purposes to be an Available Currency hereunder for purposes of any Letter of Credit issuances by such Issuing Bank. If the Agent shall fail to obtain consent to any request for an additional currency under this Section 1.09, the Agent shall promptly so notify the U.S. Borrower.</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I.10 </w:t>
      </w:r>
      <w:r>
        <w:rPr>
          <w:rFonts w:ascii="Times New Roman" w:cs="Times New Roman" w:eastAsia="Times New Roman" w:hAnsi="Times New Roman"/>
          <w:sz w:val="20"/>
          <w:szCs w:val="20"/>
          <w:u w:val="single" w:color="auto"/>
          <w:color w:val="auto"/>
        </w:rPr>
        <w:t>Limited Condition Acquisitions</w:t>
      </w:r>
    </w:p>
    <w:p>
      <w:pPr>
        <w:spacing w:after="0" w:line="229" w:lineRule="exact"/>
        <w:rPr>
          <w:sz w:val="20"/>
          <w:szCs w:val="20"/>
          <w:color w:val="auto"/>
        </w:rPr>
      </w:pPr>
    </w:p>
    <w:p>
      <w:pPr>
        <w:ind w:left="100" w:hanging="92"/>
        <w:spacing w:after="0"/>
        <w:tabs>
          <w:tab w:leader="none" w:pos="1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it relates to any action being taken solely in connection with a Limited Condition Acquisition, for purposes of:</w:t>
      </w:r>
    </w:p>
    <w:p>
      <w:pPr>
        <w:spacing w:after="0" w:line="121" w:lineRule="exact"/>
        <w:rPr>
          <w:rFonts w:ascii="Times New Roman" w:cs="Times New Roman" w:eastAsia="Times New Roman" w:hAnsi="Times New Roman"/>
          <w:sz w:val="20"/>
          <w:szCs w:val="20"/>
          <w:color w:val="auto"/>
        </w:rPr>
      </w:pPr>
    </w:p>
    <w:p>
      <w:pPr>
        <w:ind w:left="660" w:right="160" w:firstLine="903"/>
        <w:spacing w:after="0" w:line="269" w:lineRule="auto"/>
        <w:tabs>
          <w:tab w:leader="none" w:pos="1943"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compliance with any provision of this Agreement (other than determining whether an Event of Default has occurred under Section 6.10) which requires the calculation of any financial ratio or financial test,</w:t>
      </w:r>
    </w:p>
    <w:p>
      <w:pPr>
        <w:spacing w:after="0" w:line="172" w:lineRule="exact"/>
        <w:rPr>
          <w:rFonts w:ascii="Times New Roman" w:cs="Times New Roman" w:eastAsia="Times New Roman" w:hAnsi="Times New Roman"/>
          <w:sz w:val="20"/>
          <w:szCs w:val="20"/>
          <w:color w:val="auto"/>
        </w:rPr>
      </w:pPr>
    </w:p>
    <w:p>
      <w:pPr>
        <w:ind w:left="660" w:right="80" w:firstLine="903"/>
        <w:spacing w:after="0" w:line="269" w:lineRule="auto"/>
        <w:tabs>
          <w:tab w:leader="none" w:pos="194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testing availability under baskets set forth in this Agreement (including baskets determined by reference to EBITDA or Total Assets)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24" w:name="page225"/>
    <w:bookmarkEnd w:id="224"/>
    <w:p>
      <w:pPr>
        <w:ind w:left="660" w:right="120" w:firstLine="903"/>
        <w:spacing w:after="0" w:line="310" w:lineRule="auto"/>
        <w:tabs>
          <w:tab w:leader="none" w:pos="1945"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testing whether a Default or Event of Default has occurred and, with respect to any New Term Loan to finance such Limited Condition Acquisition, testing whether any representation or warranty in any Loan Document is correct as of such date,</w:t>
      </w:r>
    </w:p>
    <w:p>
      <w:pPr>
        <w:spacing w:after="0" w:line="1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in each case, at the option of the U.S. Borrower (the U.S. Borrower’s election to exercise such option in connection with any Limited Condition Transaction, an “</w:t>
      </w:r>
      <w:r>
        <w:rPr>
          <w:rFonts w:ascii="Times New Roman" w:cs="Times New Roman" w:eastAsia="Times New Roman" w:hAnsi="Times New Roman"/>
          <w:sz w:val="19"/>
          <w:szCs w:val="19"/>
          <w:u w:val="single" w:color="auto"/>
          <w:color w:val="auto"/>
        </w:rPr>
        <w:t>LCT Election</w:t>
      </w:r>
      <w:r>
        <w:rPr>
          <w:rFonts w:ascii="Times New Roman" w:cs="Times New Roman" w:eastAsia="Times New Roman" w:hAnsi="Times New Roman"/>
          <w:sz w:val="19"/>
          <w:szCs w:val="19"/>
          <w:color w:val="auto"/>
        </w:rPr>
        <w:t>”), the date of determination of whether any such action is permitted hereunder, any such Default or Event of Default exists and any such representation or warranty is correct shall be deemed to be the date the definitive agreements for such Limited Condition Acquisition are entered into (the “</w:t>
      </w:r>
      <w:r>
        <w:rPr>
          <w:rFonts w:ascii="Times New Roman" w:cs="Times New Roman" w:eastAsia="Times New Roman" w:hAnsi="Times New Roman"/>
          <w:sz w:val="19"/>
          <w:szCs w:val="19"/>
          <w:u w:val="single" w:color="auto"/>
          <w:color w:val="auto"/>
        </w:rPr>
        <w:t>LCT Test Date</w:t>
      </w:r>
      <w:r>
        <w:rPr>
          <w:rFonts w:ascii="Times New Roman" w:cs="Times New Roman" w:eastAsia="Times New Roman" w:hAnsi="Times New Roman"/>
          <w:sz w:val="19"/>
          <w:szCs w:val="19"/>
          <w:color w:val="auto"/>
        </w:rPr>
        <w:t xml:space="preserve">”), and if, after giving pro forma effect to the Limited Condition Acquisition (and the other transactions to be entered into in connection therewith, including any incurrence of Indebtedness and the use of proceeds thereof, as if they had occurred on the first day of the most recently ended Test Period prior to the LCT Test Date), the U.S. Borrower or the applicable Restricted Subsidiary would have been permitted to take such action on the relevant LCT Test Date in compliance with such ratio, test or basket, such ratio, test or basket shall be deemed to have been complied with or if no such Default or Event of Default shall exist on such LCT Test Date or such representation or warranty is correct as of such LCT Test Date then such condition shall be deemed satisfied on the date of consummation of such LCT Test Date for purposes of clause (iii) above;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financial statements for one or more subsequent fiscal periods shall have become available, the U.S. Borrower may elect, in its sole discretion, to redetermine all such ratios, tests or baskets on the basis of such financial statements, in which case, such date of redetermination shall thereafter be deemed to be the applicable LCT Test Date. For the avoidance of doubt, if the U.S.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EBITDA or Total Assets of the Borrower or the Person subject to such Limited Condition Acquisition, at or prior to the consummation of the relevant transaction or any Default or Event of Default has occurred and is continuing or any such representation or warranty in any Loan Document is not correct on the date of such Limited Condition Acquisition, such baskets, tests or ratios or requirement will not be deemed to have failed to have been complied with as a result of such circumstance; however, if any ratios improve or baskets increase as a result of such fluctuations, such improved ratios or baskets may be utilized. If the U.S. Borrower has made an LCT Election for any Limited Condition Acquisition, then in connection with any calculation of any ratio, test or basket availability with respect to any transaction permitted hereunder (each, a “</w:t>
      </w:r>
      <w:r>
        <w:rPr>
          <w:rFonts w:ascii="Times New Roman" w:cs="Times New Roman" w:eastAsia="Times New Roman" w:hAnsi="Times New Roman"/>
          <w:sz w:val="19"/>
          <w:szCs w:val="19"/>
          <w:u w:val="single" w:color="auto"/>
          <w:color w:val="auto"/>
        </w:rPr>
        <w:t>Subsequent Transaction</w:t>
      </w:r>
      <w:r>
        <w:rPr>
          <w:rFonts w:ascii="Times New Roman" w:cs="Times New Roman" w:eastAsia="Times New Roman" w:hAnsi="Times New Roman"/>
          <w:sz w:val="19"/>
          <w:szCs w:val="19"/>
          <w:color w:val="auto"/>
        </w:rPr>
        <w:t>”) following the relevant LCT Test Date and prior to the earlier of the date on which such Limited Condition Acquisition is consummated or the date that the definitive agreement for such Limited Condition Acquisition is terminated or expires without consummation of such Limited Condition Acquisition, for purposes of determining whether such Subsequent Transaction is permitted under this Agreement, any such ratio, test or basket shall be required to be satisfied on a pro forma basis assuming such Limited Condition Acquisition and other transactions in connection therewith (including any incurrence of Indebtedness and the use of proceeds thereof) have been consummated.</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I.11 </w:t>
      </w:r>
      <w:r>
        <w:rPr>
          <w:rFonts w:ascii="Times New Roman" w:cs="Times New Roman" w:eastAsia="Times New Roman" w:hAnsi="Times New Roman"/>
          <w:sz w:val="20"/>
          <w:szCs w:val="20"/>
          <w:u w:val="single" w:color="auto"/>
          <w:color w:val="auto"/>
        </w:rPr>
        <w:t>Luxembourg Terms</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 In this Agreement, where it relates to a company incorporated under the laws of Luxembourg, a reference to:</w:t>
      </w:r>
    </w:p>
    <w:p>
      <w:pPr>
        <w:spacing w:after="0" w:line="225" w:lineRule="exact"/>
        <w:rPr>
          <w:sz w:val="20"/>
          <w:szCs w:val="20"/>
          <w:color w:val="auto"/>
        </w:rPr>
      </w:pPr>
    </w:p>
    <w:p>
      <w:pPr>
        <w:ind w:left="660" w:right="400" w:firstLine="644"/>
        <w:spacing w:after="0" w:line="263" w:lineRule="auto"/>
        <w:tabs>
          <w:tab w:leader="none" w:pos="195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“winding-up”, “administration” or “dissolution” includes, without limitation,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insolvency, voluntary or judicial liquidation (</w:t>
      </w:r>
      <w:r>
        <w:rPr>
          <w:rFonts w:ascii="Times New Roman" w:cs="Times New Roman" w:eastAsia="Times New Roman" w:hAnsi="Times New Roman"/>
          <w:sz w:val="20"/>
          <w:szCs w:val="20"/>
          <w:i w:val="1"/>
          <w:iCs w:val="1"/>
          <w:color w:val="auto"/>
        </w:rPr>
        <w:t>liquidation volontaire ou judiciaire</w:t>
      </w:r>
      <w:r>
        <w:rPr>
          <w:rFonts w:ascii="Times New Roman" w:cs="Times New Roman" w:eastAsia="Times New Roman" w:hAnsi="Times New Roman"/>
          <w:sz w:val="20"/>
          <w:szCs w:val="20"/>
          <w:color w:val="auto"/>
        </w:rPr>
        <w:t>),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general settlement with creditors, reorganisation or similar laws affecting the rights of creditors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25" w:name="page226"/>
    <w:bookmarkEnd w:id="225"/>
    <w:p>
      <w:pPr>
        <w:ind w:left="660" w:right="520" w:firstLine="644"/>
        <w:spacing w:after="0" w:line="287" w:lineRule="auto"/>
        <w:tabs>
          <w:tab w:leader="none" w:pos="1955"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“receiver”, “administrative receiver”, “administrator” or the like includes, without limitation, a </w:t>
      </w:r>
      <w:r>
        <w:rPr>
          <w:rFonts w:ascii="Times New Roman" w:cs="Times New Roman" w:eastAsia="Times New Roman" w:hAnsi="Times New Roman"/>
          <w:sz w:val="20"/>
          <w:szCs w:val="20"/>
          <w:i w:val="1"/>
          <w:iCs w:val="1"/>
          <w:color w:val="auto"/>
        </w:rPr>
        <w:t>juge délégué,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commissaire, juge-commissaire, liquidateur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curateur</w:t>
      </w:r>
      <w:r>
        <w:rPr>
          <w:rFonts w:ascii="Times New Roman" w:cs="Times New Roman" w:eastAsia="Times New Roman" w:hAnsi="Times New Roman"/>
          <w:sz w:val="20"/>
          <w:szCs w:val="20"/>
          <w:color w:val="auto"/>
        </w:rPr>
        <w:t>; and</w:t>
      </w:r>
    </w:p>
    <w:p>
      <w:pPr>
        <w:spacing w:after="0" w:line="138"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being “unable to pay its debts” includes that person being in a state of cessation of payments (</w:t>
      </w:r>
      <w:r>
        <w:rPr>
          <w:rFonts w:ascii="Times New Roman" w:cs="Times New Roman" w:eastAsia="Times New Roman" w:hAnsi="Times New Roman"/>
          <w:sz w:val="20"/>
          <w:szCs w:val="20"/>
          <w:i w:val="1"/>
          <w:iCs w:val="1"/>
          <w:color w:val="auto"/>
        </w:rPr>
        <w:t>cessation de</w:t>
      </w:r>
    </w:p>
    <w:p>
      <w:pPr>
        <w:spacing w:after="0" w:line="32"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paiements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I.12 </w:t>
      </w:r>
      <w:r>
        <w:rPr>
          <w:rFonts w:ascii="Times New Roman" w:cs="Times New Roman" w:eastAsia="Times New Roman" w:hAnsi="Times New Roman"/>
          <w:sz w:val="20"/>
          <w:szCs w:val="20"/>
          <w:u w:val="single" w:color="auto"/>
          <w:color w:val="auto"/>
        </w:rPr>
        <w:t>Interest Rates; Benchmark Notification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interest rate on a Loan denominated in Dollars or an Alternative Currency may be derived from an interest rate benchmark that may be discontinued or is, or may in the future become, the subject of regulatory reform. Upon the occurrence of a Benchmark Transition Event or a Term CORRA Reelection Event, Section 2.14(f)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any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I.13 </w:t>
      </w:r>
      <w:r>
        <w:rPr>
          <w:rFonts w:ascii="Times New Roman" w:cs="Times New Roman" w:eastAsia="Times New Roman" w:hAnsi="Times New Roman"/>
          <w:sz w:val="20"/>
          <w:szCs w:val="20"/>
          <w:u w:val="single" w:color="auto"/>
          <w:color w:val="auto"/>
        </w:rPr>
        <w:t>2024 Refinancing Amendments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Agreement, each of the 2024 Refinancing Amendments shall only become effective on the 2024 Refinancing Amendments Effective Date.</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I.14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09" w:right="359" w:bottom="1440" w:gutter="0" w:footer="0" w:header="0"/>
        </w:sectPr>
      </w:pPr>
    </w:p>
    <w:bookmarkStart w:id="226" w:name="page227"/>
    <w:bookmarkEnd w:id="226"/>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CREDITS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II.1 </w:t>
      </w:r>
      <w:r>
        <w:rPr>
          <w:rFonts w:ascii="Times New Roman" w:cs="Times New Roman" w:eastAsia="Times New Roman" w:hAnsi="Times New Roman"/>
          <w:sz w:val="20"/>
          <w:szCs w:val="20"/>
          <w:u w:val="single" w:color="auto"/>
          <w:color w:val="auto"/>
        </w:rPr>
        <w:t>Commitments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1940" w:hanging="636"/>
        <w:spacing w:after="0"/>
        <w:tabs>
          <w:tab w:leader="none" w:pos="19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Commitments.</w:t>
      </w:r>
    </w:p>
    <w:p>
      <w:pPr>
        <w:spacing w:after="0" w:line="22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On the terms and subject to the conditions contained in this Agreement, each Revolving Lender with 2024 Tranche Revolving Commitments severally agrees to make loans in any Available Currency to any Borrower (each a “</w:t>
      </w:r>
      <w:r>
        <w:rPr>
          <w:rFonts w:ascii="Times New Roman" w:cs="Times New Roman" w:eastAsia="Times New Roman" w:hAnsi="Times New Roman"/>
          <w:sz w:val="19"/>
          <w:szCs w:val="19"/>
          <w:u w:val="single" w:color="auto"/>
          <w:color w:val="auto"/>
        </w:rPr>
        <w:t>2024 Tranche Revolving Loan</w:t>
      </w:r>
      <w:r>
        <w:rPr>
          <w:rFonts w:ascii="Times New Roman" w:cs="Times New Roman" w:eastAsia="Times New Roman" w:hAnsi="Times New Roman"/>
          <w:sz w:val="19"/>
          <w:szCs w:val="19"/>
          <w:color w:val="auto"/>
        </w:rPr>
        <w:t xml:space="preserve">”) from time to time on any Business Day during the period from the Amendment No. 15 Effective Date until the Revolving Credit Termination Date with respect to the 2024 Tranche Revolving Commitments in an aggregate Dollar Equivalent amount at any time outstanding for all such Loans by such Revolving Lender that, when aggregated with such Lender’s LC Exposure under the 2024 Tranche Revolving Facility, shall not exceed such Revolving Lender’s Revolving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at no time shall any Revolving Lender be obligated to make a 2024 Tranche Revolving Loan in excess of such Revolving Lender’s Ratable Portion of the 2024 Tranche Revolving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at no time shall any Revolving Lender be obligated to make a 2024 Tranche Revolving Loan to any Foreign Borrower if the making of such a 2024 Tranche Revolving Loan would result in the Revolving Outstandings in respect of such Foreign Borrower exceeding such Foreign Borrower’s Revolving Sublimit. Within the limits of the 2024 Tranche Revolving Commitment of each Revolving Lender, amounts of 2024 Tranche Revolving Loans repaid may be reborrowed by the Borrowers under this Section 2.01(a).</w:t>
      </w:r>
    </w:p>
    <w:p>
      <w:pPr>
        <w:spacing w:after="0" w:line="168" w:lineRule="exact"/>
        <w:rPr>
          <w:sz w:val="20"/>
          <w:szCs w:val="20"/>
          <w:color w:val="auto"/>
        </w:rPr>
      </w:pPr>
    </w:p>
    <w:p>
      <w:pPr>
        <w:ind w:left="1940" w:hanging="636"/>
        <w:spacing w:after="0"/>
        <w:tabs>
          <w:tab w:leader="none" w:pos="194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 and Term Commitments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right="120" w:firstLine="1563"/>
        <w:spacing w:after="0" w:line="254" w:lineRule="auto"/>
        <w:tabs>
          <w:tab w:leader="none" w:pos="1931"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Canadian Term A-4 Commitments</w:t>
      </w:r>
      <w:r>
        <w:rPr>
          <w:rFonts w:ascii="Times New Roman" w:cs="Times New Roman" w:eastAsia="Times New Roman" w:hAnsi="Times New Roman"/>
          <w:sz w:val="20"/>
          <w:szCs w:val="20"/>
          <w:color w:val="auto"/>
        </w:rPr>
        <w:t>. On the terms and subject to the conditions contained in this Agreement, each Canadian Term A-4 Lender severally agrees to make a loan (each a “</w:t>
      </w:r>
      <w:r>
        <w:rPr>
          <w:rFonts w:ascii="Times New Roman" w:cs="Times New Roman" w:eastAsia="Times New Roman" w:hAnsi="Times New Roman"/>
          <w:sz w:val="20"/>
          <w:szCs w:val="20"/>
          <w:u w:val="single" w:color="auto"/>
          <w:color w:val="auto"/>
        </w:rPr>
        <w:t>Canadian Term A-4 Loan</w:t>
      </w:r>
      <w:r>
        <w:rPr>
          <w:rFonts w:ascii="Times New Roman" w:cs="Times New Roman" w:eastAsia="Times New Roman" w:hAnsi="Times New Roman"/>
          <w:sz w:val="20"/>
          <w:szCs w:val="20"/>
          <w:color w:val="auto"/>
        </w:rPr>
        <w:t>”) in Canadian Dollars to the Canadian Borrower on a single occasion on the Amendment No. 15 Effective Date in an amount equal to such Canadian Term A-4 Lender’s Canadian Term A-4 Commitment. Amounts of Canadian Term A-4 Loans repaid or prepaid may not be reborrowed.</w:t>
      </w:r>
    </w:p>
    <w:p>
      <w:pPr>
        <w:spacing w:after="0" w:line="187" w:lineRule="exact"/>
        <w:rPr>
          <w:rFonts w:ascii="Times New Roman" w:cs="Times New Roman" w:eastAsia="Times New Roman" w:hAnsi="Times New Roman"/>
          <w:sz w:val="20"/>
          <w:szCs w:val="20"/>
          <w:color w:val="auto"/>
        </w:rPr>
      </w:pPr>
    </w:p>
    <w:p>
      <w:pPr>
        <w:ind w:firstLine="1563"/>
        <w:spacing w:after="0" w:line="258" w:lineRule="auto"/>
        <w:tabs>
          <w:tab w:leader="none" w:pos="1932"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Euro Term A-3 Commitments</w:t>
      </w:r>
      <w:r>
        <w:rPr>
          <w:rFonts w:ascii="Times New Roman" w:cs="Times New Roman" w:eastAsia="Times New Roman" w:hAnsi="Times New Roman"/>
          <w:sz w:val="20"/>
          <w:szCs w:val="20"/>
          <w:color w:val="auto"/>
        </w:rPr>
        <w:t>. On the terms and subject to the conditions contained in this Agreement, each Euro Term A-3 Lender severally agrees to make a loan (each a “</w:t>
      </w:r>
      <w:r>
        <w:rPr>
          <w:rFonts w:ascii="Times New Roman" w:cs="Times New Roman" w:eastAsia="Times New Roman" w:hAnsi="Times New Roman"/>
          <w:sz w:val="20"/>
          <w:szCs w:val="20"/>
          <w:u w:val="single" w:color="auto"/>
          <w:color w:val="auto"/>
        </w:rPr>
        <w:t>Euro Term A-3 Loan</w:t>
      </w:r>
      <w:r>
        <w:rPr>
          <w:rFonts w:ascii="Times New Roman" w:cs="Times New Roman" w:eastAsia="Times New Roman" w:hAnsi="Times New Roman"/>
          <w:sz w:val="20"/>
          <w:szCs w:val="20"/>
          <w:color w:val="auto"/>
        </w:rPr>
        <w:t>”) in Euro to the Existing U.K. Borrower on a single occasion on the Amendment No. 15 Effective Date in an amount equal to such Euro Term A-3 Lender’s Euro Term A-3 Commitment. Amounts of Euro Term A-3 Loans repaid or prepaid may not be reborrowed.</w:t>
      </w:r>
    </w:p>
    <w:p>
      <w:pPr>
        <w:spacing w:after="0" w:line="172" w:lineRule="exact"/>
        <w:rPr>
          <w:rFonts w:ascii="Times New Roman" w:cs="Times New Roman" w:eastAsia="Times New Roman" w:hAnsi="Times New Roman"/>
          <w:sz w:val="20"/>
          <w:szCs w:val="20"/>
          <w:color w:val="auto"/>
        </w:rPr>
      </w:pPr>
    </w:p>
    <w:p>
      <w:pPr>
        <w:ind w:right="140" w:firstLine="1563"/>
        <w:spacing w:after="0" w:line="258" w:lineRule="auto"/>
        <w:tabs>
          <w:tab w:leader="none" w:pos="1933"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GBP Term A Commitments</w:t>
      </w:r>
      <w:r>
        <w:rPr>
          <w:rFonts w:ascii="Times New Roman" w:cs="Times New Roman" w:eastAsia="Times New Roman" w:hAnsi="Times New Roman"/>
          <w:sz w:val="20"/>
          <w:szCs w:val="20"/>
          <w:color w:val="auto"/>
        </w:rPr>
        <w:t>. On the terms and subject to the conditions contained in this Agreement, each GBP Term A Lender severally agrees to make a loan (each a “</w:t>
      </w:r>
      <w:r>
        <w:rPr>
          <w:rFonts w:ascii="Times New Roman" w:cs="Times New Roman" w:eastAsia="Times New Roman" w:hAnsi="Times New Roman"/>
          <w:sz w:val="20"/>
          <w:szCs w:val="20"/>
          <w:u w:val="single" w:color="auto"/>
          <w:color w:val="auto"/>
        </w:rPr>
        <w:t>GBP Term A Loan</w:t>
      </w:r>
      <w:r>
        <w:rPr>
          <w:rFonts w:ascii="Times New Roman" w:cs="Times New Roman" w:eastAsia="Times New Roman" w:hAnsi="Times New Roman"/>
          <w:sz w:val="20"/>
          <w:szCs w:val="20"/>
          <w:color w:val="auto"/>
        </w:rPr>
        <w:t>”) in Sterling to the Additional U.K. Borrower on a single occasion on the Amendment No. 15 Effective Date in an amount equal to such GBP Term A Lender’s GBP Term A Commitment. Amounts of GBP Term A Loans repaid or prepaid may not be reborrowed.</w:t>
      </w:r>
    </w:p>
    <w:p>
      <w:pPr>
        <w:spacing w:after="0" w:line="185" w:lineRule="exact"/>
        <w:rPr>
          <w:rFonts w:ascii="Times New Roman" w:cs="Times New Roman" w:eastAsia="Times New Roman" w:hAnsi="Times New Roman"/>
          <w:sz w:val="20"/>
          <w:szCs w:val="20"/>
          <w:color w:val="auto"/>
        </w:rPr>
      </w:pPr>
    </w:p>
    <w:p>
      <w:pPr>
        <w:ind w:right="60" w:firstLine="1563"/>
        <w:spacing w:after="0" w:line="261" w:lineRule="auto"/>
        <w:tabs>
          <w:tab w:leader="none" w:pos="1935"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 Term A Commitments</w:t>
      </w:r>
      <w:r>
        <w:rPr>
          <w:rFonts w:ascii="Times New Roman" w:cs="Times New Roman" w:eastAsia="Times New Roman" w:hAnsi="Times New Roman"/>
          <w:sz w:val="20"/>
          <w:szCs w:val="20"/>
          <w:color w:val="auto"/>
        </w:rPr>
        <w:t>. On the terms and subject to the conditions contained in this Agreement, each U.S. Term A Lender severally agrees to make a loan (each a “</w:t>
      </w:r>
      <w:r>
        <w:rPr>
          <w:rFonts w:ascii="Times New Roman" w:cs="Times New Roman" w:eastAsia="Times New Roman" w:hAnsi="Times New Roman"/>
          <w:sz w:val="20"/>
          <w:szCs w:val="20"/>
          <w:u w:val="single" w:color="auto"/>
          <w:color w:val="auto"/>
        </w:rPr>
        <w:t>U.S. Term A Loan</w:t>
      </w:r>
      <w:r>
        <w:rPr>
          <w:rFonts w:ascii="Times New Roman" w:cs="Times New Roman" w:eastAsia="Times New Roman" w:hAnsi="Times New Roman"/>
          <w:sz w:val="20"/>
          <w:szCs w:val="20"/>
          <w:color w:val="auto"/>
        </w:rPr>
        <w:t>”) in Dollars to the U.S. Borrower on a single occasion on the Amendment No. 15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09" w:right="359" w:bottom="1440" w:gutter="0" w:footer="0" w:header="0"/>
        </w:sectPr>
      </w:pPr>
    </w:p>
    <w:bookmarkStart w:id="227" w:name="page228"/>
    <w:bookmarkEnd w:id="227"/>
    <w:p>
      <w:pPr>
        <w:spacing w:after="0" w:line="283" w:lineRule="auto"/>
        <w:rPr>
          <w:sz w:val="20"/>
          <w:szCs w:val="20"/>
          <w:color w:val="auto"/>
        </w:rPr>
      </w:pPr>
      <w:r>
        <w:rPr>
          <w:rFonts w:ascii="Times New Roman" w:cs="Times New Roman" w:eastAsia="Times New Roman" w:hAnsi="Times New Roman"/>
          <w:sz w:val="20"/>
          <w:szCs w:val="20"/>
          <w:color w:val="auto"/>
        </w:rPr>
        <w:t>Date in an amount equal to such U.S. Term A Lender’s U.S. Term A Commitment. Amounts of U.S. Term A Loans repaid or prepaid may not be reborrowed.</w:t>
      </w:r>
    </w:p>
    <w:p>
      <w:pPr>
        <w:spacing w:after="0" w:line="146" w:lineRule="exact"/>
        <w:rPr>
          <w:sz w:val="20"/>
          <w:szCs w:val="20"/>
          <w:color w:val="auto"/>
        </w:rPr>
      </w:pPr>
    </w:p>
    <w:p>
      <w:pPr>
        <w:ind w:right="380" w:firstLine="1563"/>
        <w:spacing w:after="0" w:line="258" w:lineRule="auto"/>
        <w:tabs>
          <w:tab w:leader="none" w:pos="193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 Term A-1 Commitments</w:t>
      </w:r>
      <w:r>
        <w:rPr>
          <w:rFonts w:ascii="Times New Roman" w:cs="Times New Roman" w:eastAsia="Times New Roman" w:hAnsi="Times New Roman"/>
          <w:sz w:val="20"/>
          <w:szCs w:val="20"/>
          <w:color w:val="auto"/>
        </w:rPr>
        <w:t>. On the terms and subject to the conditions contained in this Agreement, each U.S. Term A-1 Lender severally agrees to make a loan (each a “</w:t>
      </w:r>
      <w:r>
        <w:rPr>
          <w:rFonts w:ascii="Times New Roman" w:cs="Times New Roman" w:eastAsia="Times New Roman" w:hAnsi="Times New Roman"/>
          <w:sz w:val="20"/>
          <w:szCs w:val="20"/>
          <w:u w:val="single" w:color="auto"/>
          <w:color w:val="auto"/>
        </w:rPr>
        <w:t>U.S. Term A-1 Loan</w:t>
      </w:r>
      <w:r>
        <w:rPr>
          <w:rFonts w:ascii="Times New Roman" w:cs="Times New Roman" w:eastAsia="Times New Roman" w:hAnsi="Times New Roman"/>
          <w:sz w:val="20"/>
          <w:szCs w:val="20"/>
          <w:color w:val="auto"/>
        </w:rPr>
        <w:t>”) in Dollars to the Existing U.K. Borrower on a single occasion on the Amendment No. 15 Effective Date in an amount equal to such U.S. Term A-1 Lender’s U.S. Term A-1 Commitment. Amounts of U.S. Term A-1 Loans repaid or prepaid may not be reborrowed.</w:t>
      </w:r>
    </w:p>
    <w:p>
      <w:pPr>
        <w:spacing w:after="0" w:line="185" w:lineRule="exact"/>
        <w:rPr>
          <w:rFonts w:ascii="Times New Roman" w:cs="Times New Roman" w:eastAsia="Times New Roman" w:hAnsi="Times New Roman"/>
          <w:sz w:val="20"/>
          <w:szCs w:val="20"/>
          <w:color w:val="auto"/>
        </w:rPr>
      </w:pPr>
    </w:p>
    <w:p>
      <w:pPr>
        <w:ind w:right="580" w:firstLine="1563"/>
        <w:spacing w:after="0" w:line="269" w:lineRule="auto"/>
        <w:tabs>
          <w:tab w:leader="none" w:pos="193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 Term B-4 Loans</w:t>
      </w:r>
      <w:r>
        <w:rPr>
          <w:rFonts w:ascii="Times New Roman" w:cs="Times New Roman" w:eastAsia="Times New Roman" w:hAnsi="Times New Roman"/>
          <w:sz w:val="20"/>
          <w:szCs w:val="20"/>
          <w:color w:val="auto"/>
        </w:rPr>
        <w:t>. The U.S. Term B-4 Loans shall continue to be outstanding under this Agreement on the Amendment No. 14 Effective Date. Amounts of U.S. Term B-4 Loans repaid or prepaid may not be reborrowed.</w:t>
      </w:r>
    </w:p>
    <w:p>
      <w:pPr>
        <w:spacing w:after="0" w:line="172" w:lineRule="exact"/>
        <w:rPr>
          <w:rFonts w:ascii="Times New Roman" w:cs="Times New Roman" w:eastAsia="Times New Roman" w:hAnsi="Times New Roman"/>
          <w:sz w:val="20"/>
          <w:szCs w:val="20"/>
          <w:color w:val="auto"/>
        </w:rPr>
      </w:pPr>
    </w:p>
    <w:p>
      <w:pPr>
        <w:ind w:right="60" w:firstLine="1563"/>
        <w:spacing w:after="0" w:line="258" w:lineRule="auto"/>
        <w:tabs>
          <w:tab w:leader="none" w:pos="193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 Term B-7 Commitments</w:t>
      </w:r>
      <w:r>
        <w:rPr>
          <w:rFonts w:ascii="Times New Roman" w:cs="Times New Roman" w:eastAsia="Times New Roman" w:hAnsi="Times New Roman"/>
          <w:sz w:val="20"/>
          <w:szCs w:val="20"/>
          <w:color w:val="auto"/>
        </w:rPr>
        <w:t>. On the terms and subject to the conditions contained in this Agreement, each U.S. Term B-7 Lender severally agrees to make a loan (each a “</w:t>
      </w:r>
      <w:r>
        <w:rPr>
          <w:rFonts w:ascii="Times New Roman" w:cs="Times New Roman" w:eastAsia="Times New Roman" w:hAnsi="Times New Roman"/>
          <w:sz w:val="20"/>
          <w:szCs w:val="20"/>
          <w:u w:val="single" w:color="auto"/>
          <w:color w:val="auto"/>
        </w:rPr>
        <w:t>U.S. Term B-7 Loan</w:t>
      </w:r>
      <w:r>
        <w:rPr>
          <w:rFonts w:ascii="Times New Roman" w:cs="Times New Roman" w:eastAsia="Times New Roman" w:hAnsi="Times New Roman"/>
          <w:sz w:val="20"/>
          <w:szCs w:val="20"/>
          <w:color w:val="auto"/>
        </w:rPr>
        <w:t>”) in Dollars to the U.S. Borrower on the Amendment No. 14 Effective Date, in an amount equal to such U.S. Term B-7 Lender’s U.S. Term B-7 Commitment. Amounts of U.S. Term B-7 Loans repaid or prepaid may not be reborrowed.</w:t>
      </w:r>
    </w:p>
    <w:p>
      <w:pPr>
        <w:spacing w:after="0" w:line="172" w:lineRule="exact"/>
        <w:rPr>
          <w:rFonts w:ascii="Times New Roman" w:cs="Times New Roman" w:eastAsia="Times New Roman" w:hAnsi="Times New Roman"/>
          <w:sz w:val="20"/>
          <w:szCs w:val="20"/>
          <w:color w:val="auto"/>
        </w:rPr>
      </w:pPr>
    </w:p>
    <w:p>
      <w:pPr>
        <w:ind w:right="140" w:firstLine="1563"/>
        <w:spacing w:after="0" w:line="258" w:lineRule="auto"/>
        <w:tabs>
          <w:tab w:leader="none" w:pos="258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 Term B-8 Commitments</w:t>
      </w:r>
      <w:r>
        <w:rPr>
          <w:rFonts w:ascii="Times New Roman" w:cs="Times New Roman" w:eastAsia="Times New Roman" w:hAnsi="Times New Roman"/>
          <w:sz w:val="20"/>
          <w:szCs w:val="20"/>
          <w:color w:val="auto"/>
        </w:rPr>
        <w:t>. On the terms and subject to the conditions contained in this Agreement, each U.S. Term B-8 Lender severally agrees to make a loan (each a “</w:t>
      </w:r>
      <w:r>
        <w:rPr>
          <w:rFonts w:ascii="Times New Roman" w:cs="Times New Roman" w:eastAsia="Times New Roman" w:hAnsi="Times New Roman"/>
          <w:sz w:val="20"/>
          <w:szCs w:val="20"/>
          <w:u w:val="single" w:color="auto"/>
          <w:color w:val="auto"/>
        </w:rPr>
        <w:t>U.S. Term B-8 Loan</w:t>
      </w:r>
      <w:r>
        <w:rPr>
          <w:rFonts w:ascii="Times New Roman" w:cs="Times New Roman" w:eastAsia="Times New Roman" w:hAnsi="Times New Roman"/>
          <w:sz w:val="20"/>
          <w:szCs w:val="20"/>
          <w:color w:val="auto"/>
        </w:rPr>
        <w:t>”) in Dollars to the U.S. Borrower on the Amendment No. 14 Effective Date, in an amount equal to such U.S. Term B-8 Lender’s U.S. Term B-8 Commitment. Amounts of U.S. Term B-8 Loans repaid or prepaid may not be reborrowed.</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II.2 </w:t>
      </w:r>
      <w:r>
        <w:rPr>
          <w:rFonts w:ascii="Times New Roman" w:cs="Times New Roman" w:eastAsia="Times New Roman" w:hAnsi="Times New Roman"/>
          <w:sz w:val="20"/>
          <w:szCs w:val="20"/>
          <w:u w:val="single" w:color="auto"/>
          <w:color w:val="auto"/>
        </w:rPr>
        <w:t>Loans and Borrowings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20" w:firstLine="1304"/>
        <w:spacing w:after="0" w:line="249" w:lineRule="auto"/>
        <w:tabs>
          <w:tab w:leader="none" w:pos="193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Borrowings</w:t>
      </w:r>
      <w:r>
        <w:rPr>
          <w:rFonts w:ascii="Times New Roman" w:cs="Times New Roman" w:eastAsia="Times New Roman" w:hAnsi="Times New Roman"/>
          <w:sz w:val="20"/>
          <w:szCs w:val="20"/>
          <w:color w:val="auto"/>
        </w:rPr>
        <w:t xml:space="preserve">. Each Borrowing under any Revolving Facility shall be made on notice, in the form of a Borrowing Request, given by the applicable Borrower to the Agent not later than (i) 1:00 p.m. (New York City time) on the same Business Day as the date of the proposed Borrowing, in the case of a Borrowing of Base Rate Loans, (ii) 11:00 a.m. (New York City time) on the same Business Day as the date of the proposed Borrowing, in the case of a Borrowing of Canadian Base Rate Loans, (iii) 1:00 p.m. (New York City time) three Business Days prior to the date of the proposed Borrowing, in the case of a Borrowing of Eurocurrency Rate Loans or Term CORRA Rate Loans, (iv) 1:00 p.m. (New York City time) three (3) Business Days prior to the date of the proposed Borrowing, in the case of a Borrowing of SONIA Rate Loans, and (v) 11:00 a.m. (New York City time) three Business Days prior to the requested date of Borrowing, in the case of Term Benchmark Loans. Each such notice shall be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and shall specify (A) the date of such proposed Borrowing, (B) the aggregate amount of such proposed Borrowing, (C) the Revolving Facility pursuant to which such Loan is to be made, (D) the Borrower to which such Revolving Loan is being made, (E) the currency in which such Loan is to be denominated, (F) in the case of any Borrowing in Euro whether any portion of the proposed Borrowing will be of Eurocurrency Rate Loans or, in the case of Dollars whether any portion of the proposed Borrowing will be of Term Benchmark Rate Loans, (G) in the case of Loans denominated in Canadian Dollars, whether any portion of the proposed Borrowing will be Term CORRA Rate Loans, (H) in the case of any Eurocurrency Rate Loan, the initial Eurocurrency Interest Period or Eurocurrency Interest Periods thereof, in the case of any Term CORRA Rate Loan, the initial Term CORRA Interest Period or Term CORRA Interest Periods, and in the case of any Term Benchmark Loan, the initial Term Benchmark Interest Period or Term Benchmark Interest Periods and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28" w:name="page229"/>
    <w:bookmarkEnd w:id="228"/>
    <w:p>
      <w:pPr>
        <w:ind w:right="20"/>
        <w:spacing w:after="0" w:line="252" w:lineRule="auto"/>
        <w:rPr>
          <w:sz w:val="20"/>
          <w:szCs w:val="20"/>
          <w:color w:val="auto"/>
        </w:rPr>
      </w:pPr>
      <w:r>
        <w:rPr>
          <w:rFonts w:ascii="Times New Roman" w:cs="Times New Roman" w:eastAsia="Times New Roman" w:hAnsi="Times New Roman"/>
          <w:sz w:val="20"/>
          <w:szCs w:val="20"/>
          <w:color w:val="auto"/>
        </w:rPr>
        <w:t>the account or accounts into which the proceeds of such Borrowing are to be deposited. Loans denominated in Dollars shall be made as Base Rate Loans or Term Benchmark Loans. Loans denominated in Canadian Dollars shall be made as Canadian Base Rate Loans unless the Borrowing Request specifies that all or a portion thereof shall be Term CORRA Rate Loans. If no Eurocurrency Interest Period is specified with respect to any requested Eurocurrency Rate Loan, then the applicable Borrower shall be deemed to have selected a Eurocurrency Interest Period of one month’s duration. If no Term CORRA Interest Period is specified with respect to any requested Term CORRA Rate Loan, then the applicable Borrower shall be deemed to have selected a Term CORRA Interest Period of one month’s duration. If no Term Benchmark Interest Period is specified with respect to any requested Term Benchmark Loan, then the applicable Borrower shall be deemed to have selected a Term Benchmark Interest Period of one month’s duration. Each Borrowing shall be in an aggregate amount of not less than the Minimum Currency Threshold.</w:t>
      </w:r>
    </w:p>
    <w:p>
      <w:pPr>
        <w:spacing w:after="0" w:line="176" w:lineRule="exact"/>
        <w:rPr>
          <w:sz w:val="20"/>
          <w:szCs w:val="20"/>
          <w:color w:val="auto"/>
        </w:rPr>
      </w:pPr>
    </w:p>
    <w:p>
      <w:pPr>
        <w:ind w:right="20" w:firstLine="1304"/>
        <w:spacing w:after="0" w:line="264" w:lineRule="auto"/>
        <w:tabs>
          <w:tab w:leader="none" w:pos="1932"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Loan Borrowings</w:t>
      </w:r>
      <w:r>
        <w:rPr>
          <w:rFonts w:ascii="Times New Roman" w:cs="Times New Roman" w:eastAsia="Times New Roman" w:hAnsi="Times New Roman"/>
          <w:sz w:val="19"/>
          <w:szCs w:val="19"/>
          <w:color w:val="auto"/>
        </w:rPr>
        <w:t>. All Term Loan Borrowings shall be made upon receipt of a Borrowing Request given by the U.S. Borrower (which each Foreign Borrower hereby authorizes the U.S. Borrower to provide) to the Agent not later than (x) 12:00 noon (New York City time) (i) one Business Day prior to the requested date of Borrowing, in the case of Base Rate Loans and (ii) three Business Days prior to the requested date of Borrowing, in the case of Eurocurrency Rate Loans or Term CORRA Rate Loans (or, in the case of any Borrowing on the Closing Date, at such later time as may be agreed by the Agent), (y) 11:00 a.m. (New York City time) three Business Days prior to the requested date of Borrowing, in the case of Term Benchmark Loans and (z) 1:00 p.m. (New York City time) three (3) Business Days prior to the date of Borrowing, in the case of SONIA Rate Loans. The Borrowing Request shall specify (A) the requested date of Borrowing, (B) the aggregate amount of each proposed Borrowing and the Term Loan Facility under which such Borrowing is to be made,</w:t>
      </w:r>
    </w:p>
    <w:p>
      <w:pPr>
        <w:spacing w:after="0" w:line="2" w:lineRule="exact"/>
        <w:rPr>
          <w:rFonts w:ascii="Times New Roman" w:cs="Times New Roman" w:eastAsia="Times New Roman" w:hAnsi="Times New Roman"/>
          <w:sz w:val="19"/>
          <w:szCs w:val="19"/>
          <w:color w:val="auto"/>
        </w:rPr>
      </w:pPr>
    </w:p>
    <w:p>
      <w:pPr>
        <w:ind w:left="320" w:hanging="312"/>
        <w:spacing w:after="0"/>
        <w:tabs>
          <w:tab w:leader="none" w:pos="32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Loans denominated in Dollars, whether any portion of the proposed Borrowing will be Term Benchmark Loans, (D) in the</w:t>
      </w:r>
    </w:p>
    <w:p>
      <w:pPr>
        <w:spacing w:after="0" w:line="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case of Loans denominated in Canadian Dollars, whether any portion of the proposed Borrowing will be Term CORRA Rate Loans, (E) in the case of any Eurocurrency Rate Loans, the initial Eurocurrency Interest Period or Eurocurrency Interest Periods for any Eurocurrency Rate Loans, in the case of any Term Benchmark Loans, the Term Benchmark Interest Period for any Term Benchmark Loans and in the case of any Term CORRA Rate Loan, the initial Term CORRA Interest Period or Term CORRA Interest Periods thereof and (F) the account or accounts into which the proceeds of such Term Loans are to be deposited. If no Eurocurrency Interest Period is specified with respect to any requested Eurocurrency Rate Loan, then the applicable Borrower shall be deemed to have selected a Eurocurrency Interest Period of one month’s duration. If no Term Benchmark Interest Period is specified with respect to any requested Term Benchmark Loan, then the applicable Borrower shall be deemed to have selected a Term Benchmark Interest Period of one month’s duration. If no Term CORRA Interest Period is specified with respect to a Term CORRA Rate Loan then the Canadian Borrower shall be deemed to have selected a Term CORRA Interest Period of one month. Each such Term Loan Borrowing shall be in an aggregate amount of not less than the Minimum Currency Threshold.</w:t>
      </w:r>
    </w:p>
    <w:p>
      <w:pPr>
        <w:spacing w:after="0" w:line="182" w:lineRule="exact"/>
        <w:rPr>
          <w:sz w:val="20"/>
          <w:szCs w:val="20"/>
          <w:color w:val="auto"/>
        </w:rPr>
      </w:pPr>
    </w:p>
    <w:p>
      <w:pPr>
        <w:ind w:right="120" w:firstLine="1304"/>
        <w:spacing w:after="0" w:line="269" w:lineRule="auto"/>
        <w:tabs>
          <w:tab w:leader="none" w:pos="1934"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shall give to each applicable Lender prompt notice of the Agent’s receipt of a Borrowing Request and, if Eurocurrency Rate Loans, Term Benchmark Loan or Term CORRA Rate Loans are properly requested in such Borrowing Request, the applicable interest rate determined pursuant to Section 2.11(a). Each applicable Lender shall, before 3:00 p.m. (New York City time) on the date of the proposed Borrowing, make available to the Agent at the Agent’s Office, in immediately available funds, such Lender’s Ratable Portion of such proposed Borrowing. If a Lender funds such Borrowing to the Agent, upon fulfillment (or due waiver in accordance with Section 9.02) on the requested date of Borrowing of the conditions set forth in Section 4.01 or Section 4.02,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0"/>
          <w:szCs w:val="20"/>
          <w:color w:val="auto"/>
        </w:rPr>
        <w:t>and after the Agent’s receipt of such funds, the Agent shall make such funds available to the applicable Borrower.</w:t>
      </w:r>
    </w:p>
    <w:p>
      <w:pPr>
        <w:spacing w:after="0" w:line="229" w:lineRule="exact"/>
        <w:rPr>
          <w:sz w:val="20"/>
          <w:szCs w:val="20"/>
          <w:color w:val="auto"/>
        </w:rPr>
      </w:pPr>
    </w:p>
    <w:p>
      <w:pPr>
        <w:ind w:firstLine="1304"/>
        <w:spacing w:after="0" w:line="249" w:lineRule="auto"/>
        <w:tabs>
          <w:tab w:leader="none" w:pos="193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Agent shall have received notice from a Lender prior to the date of any proposed Borrowing that such Lender will not make available to the Agent such Lender’s Ratable Portion of such Borrowing (or any portion thereof), the Agent may assume that such Lender has made such Ratable Portion available to the Agent on the date of such Borrowing in accordance with this Section 2.02 and the Agent may, in reliance upon such assumption, make available to the applicable Borrower on such date a corresponding amount. If and to the extent that such Lender shall not have so made such Ratable Portion available to the Agent, such Lender and the applicable Borrower severally agree to repay to the Agent forthwith on demand such corresponding amount together with interest thereon for each day from the date such amount is made available to the applicable Borrower until the date such amount is repaid to the Agent at (i) in the case of a Borrower, the interest rate applicable at the time to the Loans comprising such Borrowing and (ii) in the case of such Lender, the Interbank Rate for the first Business Day and thereafter at the interest rate applicable at the time to the Loans comprising such Borrowing. If such Lender shall repay to the Agent such corresponding amount, such amount so repaid shall constitute such Lender’s Loan as part of such Borrowing for purposes of this Agreement. If the applicable Borrower shall repay to the Agent such corresponding amount, such payment shall not relieve such Lender of any obligation it may have hereunder to such Borrower.</w:t>
      </w:r>
    </w:p>
    <w:p>
      <w:pPr>
        <w:spacing w:after="0" w:line="20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Lender to make on the date specified any Loan or any payment required by it (such Lender, during the period of such failure, being a “</w:t>
      </w:r>
      <w:r>
        <w:rPr>
          <w:rFonts w:ascii="Times New Roman" w:cs="Times New Roman" w:eastAsia="Times New Roman" w:hAnsi="Times New Roman"/>
          <w:sz w:val="20"/>
          <w:szCs w:val="20"/>
          <w:u w:val="single" w:color="auto"/>
          <w:color w:val="auto"/>
        </w:rPr>
        <w:t>Non-Funding Lender</w:t>
      </w:r>
      <w:r>
        <w:rPr>
          <w:rFonts w:ascii="Times New Roman" w:cs="Times New Roman" w:eastAsia="Times New Roman" w:hAnsi="Times New Roman"/>
          <w:sz w:val="20"/>
          <w:szCs w:val="20"/>
          <w:color w:val="auto"/>
        </w:rPr>
        <w:t>”), including any payment in respect of its participation in Letters of Credit, shall not relieve any other Lender of its obligations to make such Loan or payment on such date but no such other Lender shall be responsible for the failure of any Non-Funding Lender to make a Loan or payment required under this Agreement.</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SECTION II.3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II.4 </w:t>
      </w:r>
      <w:r>
        <w:rPr>
          <w:rFonts w:ascii="Times New Roman" w:cs="Times New Roman" w:eastAsia="Times New Roman" w:hAnsi="Times New Roman"/>
          <w:sz w:val="20"/>
          <w:szCs w:val="20"/>
          <w:u w:val="single" w:color="auto"/>
          <w:color w:val="auto"/>
        </w:rPr>
        <w:t>Letters of Credit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firstLine="1304"/>
        <w:spacing w:after="0" w:line="265" w:lineRule="auto"/>
        <w:tabs>
          <w:tab w:leader="none" w:pos="1934"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Subject to the terms and conditions set forth herein, any Borrower may request (and the applicable Issuing Bank shall issue) the issuance of standby Letters of Credit under any Revolving Facility with respect to which it is a Borrower at any time and from time to time from and after the Closing Date to but excluding the Revolving Credit Termination Date for the latest maturing Revolving Commitments under such Revolving Facility for the account of such Borrower or any Restricted Subsidiary, in a form reasonably acceptable to the Agent and the relevant Issuing Bank, as the case may be. Any Letter of Credit issued under any Revolving Facility may be denominated in any Available Currency selected by the applicable Borrower. In the event of any inconsistency between the terms and conditions of this Agreement and the terms and conditions of any form of letter of credit application or other agreement submitted by such Borrower to, or entered into by such Borrower with, an Issuing Bank, relating to any Letter of Credit, the terms and conditions of this Agreement shall control. Notwithstanding anything herein to the contrary, no Issuing Bank shall have any obligation hereunder to issue, renew, amend or extend any Letter of Credit the proceeds of which would be made available to any Person (i) to fund any activity or business of or with any Sanctioned Person, or in any country or territory that, at the time of such funding, is the subject of any Sanctions or (ii) in any manner that would result in a violation of any Sanctions by any party to this Agreement. Notwithstanding anything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30" w:name="page231"/>
    <w:bookmarkEnd w:id="230"/>
    <w:p>
      <w:pPr>
        <w:spacing w:after="0" w:line="258" w:lineRule="auto"/>
        <w:rPr>
          <w:sz w:val="20"/>
          <w:szCs w:val="20"/>
          <w:color w:val="auto"/>
        </w:rPr>
      </w:pPr>
      <w:r>
        <w:rPr>
          <w:rFonts w:ascii="Times New Roman" w:cs="Times New Roman" w:eastAsia="Times New Roman" w:hAnsi="Times New Roman"/>
          <w:sz w:val="20"/>
          <w:szCs w:val="20"/>
          <w:color w:val="auto"/>
        </w:rPr>
        <w:t>provided in this Agreement, (i) each Existing Letter of Credit shall be deemed issued under this Agreement from and after the Closing Date and (ii) each Letter of Credit that is outstanding on the Amendment No. 15 Effective Date issued by a Revolving Lender with a 2024 Tranche Revolving Commitment on the Amendment No. 15 Effective Date shall be deemed issued under the 2024 Tranche Revolving Facility upon the effectiveness of Amendment No. 15.</w:t>
      </w:r>
    </w:p>
    <w:p>
      <w:pPr>
        <w:spacing w:after="0" w:line="172" w:lineRule="exact"/>
        <w:rPr>
          <w:sz w:val="20"/>
          <w:szCs w:val="20"/>
          <w:color w:val="auto"/>
        </w:rPr>
      </w:pPr>
    </w:p>
    <w:p>
      <w:pPr>
        <w:ind w:right="20" w:firstLine="1304"/>
        <w:spacing w:after="0" w:line="249" w:lineRule="auto"/>
        <w:tabs>
          <w:tab w:leader="none" w:pos="193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Renewal, Extension; Certain Conditions</w:t>
      </w:r>
      <w:r>
        <w:rPr>
          <w:rFonts w:ascii="Times New Roman" w:cs="Times New Roman" w:eastAsia="Times New Roman" w:hAnsi="Times New Roman"/>
          <w:sz w:val="20"/>
          <w:szCs w:val="20"/>
          <w:color w:val="auto"/>
        </w:rPr>
        <w:t>. To request the issuance of a Letter of Credit (or the amendment, renewal or extension of an outstanding Letter of Credit), the requesting Borrower shall hand deliver or telecopy (or transmit by electronic communication, if arrangements for doing so have been approved by the applicable Issuing Bank) to the applicable Issuing Bank and the Agent (reasonably in advance of the requested date of issuance, amendment, renewal or extension) a notice requesting the issuance of a Letter of Credit, or identifying the Letter of Credit to be amended, renewed or extended, and specifying (A) the date of issuance, amendment, renewal or extension (which shall be a Business Day), (B) the date on which such Letter of Credit is to expire (which shall comply with Section 2.04(c), (C) the amount of such Letter of Credit, (D) the currency in which such Letter of Credit is to be denominated (which shall comply with Section 2.04(a)), (E) the Revolving Facility under which such Letter of Credit is to be issued, (F) the name and address of the beneficiary thereof and (G) such other information as shall be necessary to issue, amend, renew or extend such Letter of Credit. If requested by the applicable Issuing Bank, the requesting Borrower shall also submit a letter of credit application on such Issuing Bank’s standard form in connection with any request for a Letter of Credit. A Letter of Credit shall not be issued, amended, renewed or extended if (and upon issuance, amendment, renewal or extension of each Letter of Credit the requesting Borrower shall be deemed to represent and warrant that), after giving effect to such issuance, amendment, renewal or extension, (I) unless otherwise agreed by the applicable Issuing Bank in its sole discretion, (x) the aggregate undrawn Dollar Equivalent amount of all outstanding Letters of Credit issued by such Issuing Bank at such time plus (y) the aggregate amount of all LC Disbursements made by such Issuing Bank that have not yet been reimbursed by or on behalf of the Borrower at such time would exceed its Letter of Credit Commitment, (II) the Revolving Outstandings under the applicable Revolving Facility would exceed the Revolving Commitments under such Revolving Facility, (III) the Revolving Available Credit under the applicable Revolving Facility would be less than zero or (IV) the Revolving LC Exposure under all Revolving Facilities would exceed $500.0 million; it being understood that, for purposes of determining compliance with the foregoing clauses (I) through (IV), the Agent shall calculate the Dollar Equivalent with respect to any Letter of Credit requested to be denominated in any Alternative Currency on the date on which the requesting Borrower delivers a notice requesting such Letter of Credit and on each Determination Date, in each case in accordance with Section 1.03. Upon the issuance of any Letter of Credit or increase in the amount of a Letter of Credit, the U.S. Borrower shall promptly notify the Agent thereof. Additionally, no Issuing Bank shall be required to issue, amend, extend or renew any Letter of Credit (x) issued pursuant to any Revolving Facility if any Revolving Lender under such Revolving Facility is then a Defaulting Lender, unless such Issuing Bank shall be satisfied that the related exposure will be 100% covered by the Revolving Commitments of the non-Defaulting Lenders and/or cash collateral shall be provided by the Borrower in accordance with Section 2.20 and participating interests in any such newly issued Letter of Credit shall be allocated among non-Defaulting Lenders in a manner consistent with Section 2.20 (and Defaulting Lenders shall not participate therein), or (y) if the expiration date of such Letter of Credit is after the Scheduled Termination Date for such Revolving Facility unless the U.S. Borrower has entered into arrangements satisfactory to the Agent and the applicable Issuing Bank to eliminate the potential for such Issuing Bank to have uncovered exposure with respect to such Letter of Credit following such Scheduled Termination Date. Each Issuing Bank will also furnish to the Agent an activity report with respect to the Letters of Credit issued by it no later than five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0"/>
          <w:szCs w:val="20"/>
          <w:color w:val="auto"/>
        </w:rPr>
        <w:t>Business Days following the end of each calendar quarter and on any other date reasonably requested by the Agent.</w:t>
      </w:r>
    </w:p>
    <w:p>
      <w:pPr>
        <w:spacing w:after="0" w:line="229" w:lineRule="exact"/>
        <w:rPr>
          <w:sz w:val="20"/>
          <w:szCs w:val="20"/>
          <w:color w:val="auto"/>
        </w:rPr>
      </w:pPr>
    </w:p>
    <w:p>
      <w:pPr>
        <w:ind w:firstLine="1304"/>
        <w:spacing w:after="0" w:line="253" w:lineRule="auto"/>
        <w:tabs>
          <w:tab w:leader="none" w:pos="193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requesting Borrower and the applicable Issuing Bank so agree, any Letter of Credit may provide for the automatic renewal of such Letter of Credit for successive one year terms (subject to clause (ii)) and (ii) the date that is five Business Days prior to the Scheduled Termination Date for the Revolving Facility under which such Letter of Credit is issued.</w:t>
      </w:r>
    </w:p>
    <w:p>
      <w:pPr>
        <w:spacing w:after="0" w:line="19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563"/>
        <w:spacing w:after="0" w:line="250" w:lineRule="auto"/>
        <w:tabs>
          <w:tab w:leader="none" w:pos="1931"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issuance of a Letter of Credit (or an amendment to a Letter of Credit increasing the amount thereof) pursuant to any Revolving Facility and without any further action on the part of the applicable Issuing Bank issuing such Letter of Credit or the Revolving Lenders under such Revolving Facility, each Issuing Bank hereby grants to each Revolving Lender under such Revolving Facility, and each such Revolving Lender hereby acquires from each Issuing Bank, a participation in each such Letter of Credit equal to such Lender’s Ratable Portion of the aggregate amount available to be drawn under such Letter of Credit. In consideration and in furtherance of the foregoing, each Revolving Lender hereby absolutely and unconditionally agrees to pay to the Agent, for the account of the applicable Issuing Bank, such Revolving Lender’s Ratable Portion of each Revolving LC Disbursement made by such Issuing Bank with respect to any Letter of Credit issued pursuant to any Revolving Facility under which such Lender holds a Revolving Commitment and not reimbursed by a Borrower on the date due as provided in Section 2.04(e) or of any reimbursement payment required to be refunded to such Borrower. Each Revolving Lender acknowledges and agrees that its obligation to acquire participations pursuant to this Section 2.04(d) in respect of Letters of Credit issued pursuant to the Revolving Facility under which such Lender holds Revolving Commitments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18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right="220" w:firstLine="1563"/>
        <w:spacing w:after="0" w:line="264" w:lineRule="auto"/>
        <w:tabs>
          <w:tab w:leader="none" w:pos="1931"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 Issuing Bank shall make any LC Disbursement in respect of a Letter of Credit issued by it, the applicable Borrower shall reimburse such LC Disbursement by paying to the applicable Issuing Bank an amount equal to such LC Disbursement in Dollars based on the Dollar Equivalent amount thereof not later than the Business Day immediately following the day that such Borrower receives notice that an LC Disbursement has been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 long as no Default is continuing of which the Agent has been notified and subject to the availability of unused Revolving Commitments under the Revolving Facility, the Borrowers, each Issuing Bank, the Agent and the Lenders hereby agree that in the event an Issuing Bank makes any LC Disbursement under a Letter of Credit issued pursuant to a Revolving Facility and the applicable Borrower shall not have reimbursed such amount when due pursuant to this Section</w:t>
      </w:r>
    </w:p>
    <w:p>
      <w:pPr>
        <w:ind w:right="4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2.04(e)(i), such unreimbursed LC Disbursement and all obligations of such Borrower relating thereto shall be satisfied when due and payable by the borrowing of one or more Revolving Loans denominated in Dollars that are Base Rate Loans in an amount equal to the Dollar Equivalent of such unreimbursed LC Disbursement which the Borrowers hereby acknowledge are requested and the Revolving Lenders hereby agree to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prior to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32" w:name="page233"/>
    <w:bookmarkEnd w:id="232"/>
    <w:p>
      <w:pPr>
        <w:ind w:right="120"/>
        <w:spacing w:after="0" w:line="261" w:lineRule="auto"/>
        <w:rPr>
          <w:sz w:val="20"/>
          <w:szCs w:val="20"/>
          <w:color w:val="auto"/>
        </w:rPr>
      </w:pPr>
      <w:r>
        <w:rPr>
          <w:rFonts w:ascii="Times New Roman" w:cs="Times New Roman" w:eastAsia="Times New Roman" w:hAnsi="Times New Roman"/>
          <w:sz w:val="20"/>
          <w:szCs w:val="20"/>
          <w:color w:val="auto"/>
        </w:rPr>
        <w:t>Revolving Loans being made, the Agent may, but shall not be required to, confirm with the U.S. Borrower that the conditions set forth in Section 4.02 are met, and if the U.S. Borrower does not confirm that such condition shall be met then the Agent shall be under no obligation to cause such Revolving Loans to be made.</w:t>
      </w:r>
    </w:p>
    <w:p>
      <w:pPr>
        <w:spacing w:after="0" w:line="181" w:lineRule="exact"/>
        <w:rPr>
          <w:sz w:val="20"/>
          <w:szCs w:val="20"/>
          <w:color w:val="auto"/>
        </w:rPr>
      </w:pPr>
    </w:p>
    <w:p>
      <w:pPr>
        <w:ind w:right="20" w:firstLine="1563"/>
        <w:spacing w:after="0" w:line="249" w:lineRule="auto"/>
        <w:tabs>
          <w:tab w:leader="none" w:pos="1932"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Borrower fails to make any payment due under Section 2.04(e)(i) with respect to a Letter of Credit when due, the Agent shall notify each Revolving Lender under the applicable Revolving Facility of the applicable Revolving LC Disbursement, the payment then due from such Borrower in respect thereof and such Lender’s Ratable Portion thereof. Promptly following receipt of such notice, each Revolving Lender shall pay to the Agent its Ratable Portion of the payment then due from such Borrower in Dollars, in the same manner as provided in Section 2.02 with respect to Loans made by such Lender (and Section 2.02 shall apply,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to the payment obligations of the Revolving Lenders), and the Agent shall promptly pay to the Issuing Bank that has made the Revolving LC Disbursement the amounts so received by it from the Revolving Lenders. Promptly following receipt by the Agent of any payment from a Borrower pursuant to this paragraph, the Agent shall distribute such payment to the applicable Issuing Bank or, to the extent that Revolving Lenders have made payments pursuant to this paragraph to reimburse such Issuing Bank, then to such Revolving Lenders and the applicable Issuing Bank as their interests may appear. Any payment made by a Revolving Lender pursuant to this paragraph to reimburse an Issuing Bank for any LC Disbursement (other than the funding of Base Rate Revolving Loans as contemplated above) shall not constitute a Loan and shall not relieve the applicable Borrower of its obligation to reimburse such LC Disbursement.</w:t>
      </w:r>
    </w:p>
    <w:p>
      <w:pPr>
        <w:spacing w:after="0" w:line="201" w:lineRule="exact"/>
        <w:rPr>
          <w:rFonts w:ascii="Times New Roman" w:cs="Times New Roman" w:eastAsia="Times New Roman" w:hAnsi="Times New Roman"/>
          <w:sz w:val="20"/>
          <w:szCs w:val="20"/>
          <w:color w:val="auto"/>
        </w:rPr>
      </w:pPr>
    </w:p>
    <w:p>
      <w:pPr>
        <w:ind w:firstLine="1304"/>
        <w:spacing w:after="0" w:line="249" w:lineRule="auto"/>
        <w:tabs>
          <w:tab w:leader="none" w:pos="1939"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Each Borrower’s obligations to reimburse LC Disbursements as provided in Section 2.04(e)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(except as otherwise provided below), or (iv) any other event or circumstance whatsoever, whether or not similar to any of the foregoing, that might, but for the provisions of this Section 2.04, constitute a legal or equitable discharge of, or provide a right of setoff against, the Borrowers’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an Issuing Bank from liability to any Borrower to the extent of any direct damages (as opposed to special, indirect, consequential or punitive damages, claims in respect of which are hereby waived by each Borrower to the extent permitted by applicable law) suffered by any Borrower that are caused by such Issuing Bank’s gross negligence or willful misconduct (as finally determined by a court of competent jurisdiction). Neither the Agent, the Lenders,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an Issuing Bank from liability to any Borrower to the extent of any direct damages (as opposed to special, indirect, consequential or punitive damages, claims in respect of which are hereby waived by each Borrower to the extent permitted by applicable law) suffered by any Borrower that are caused by such Issuing Bank’s failure to exercise care when determining whether drafts and other documents presented under a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33" w:name="page234"/>
    <w:bookmarkEnd w:id="233"/>
    <w:p>
      <w:pPr>
        <w:ind w:right="120"/>
        <w:spacing w:after="0" w:line="253" w:lineRule="auto"/>
        <w:rPr>
          <w:sz w:val="20"/>
          <w:szCs w:val="20"/>
          <w:color w:val="auto"/>
        </w:rPr>
      </w:pPr>
      <w:r>
        <w:rPr>
          <w:rFonts w:ascii="Times New Roman" w:cs="Times New Roman" w:eastAsia="Times New Roman" w:hAnsi="Times New Roman"/>
          <w:sz w:val="20"/>
          <w:szCs w:val="20"/>
          <w:color w:val="auto"/>
        </w:rPr>
        <w:t>Credit comply with the terms thereof. In the absence of gross negligence or willful misconduct on the part of an Issuing Bank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2" w:lineRule="exact"/>
        <w:rPr>
          <w:sz w:val="20"/>
          <w:szCs w:val="20"/>
          <w:color w:val="auto"/>
        </w:rPr>
      </w:pPr>
    </w:p>
    <w:p>
      <w:pPr>
        <w:ind w:firstLine="1304"/>
        <w:spacing w:after="0" w:line="270" w:lineRule="auto"/>
        <w:tabs>
          <w:tab w:leader="none" w:pos="1932"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Disbursement Procedures</w:t>
      </w:r>
      <w:r>
        <w:rPr>
          <w:rFonts w:ascii="Times New Roman" w:cs="Times New Roman" w:eastAsia="Times New Roman" w:hAnsi="Times New Roman"/>
          <w:sz w:val="19"/>
          <w:szCs w:val="19"/>
          <w:color w:val="auto"/>
        </w:rPr>
        <w:t xml:space="preserve">. An Issuing Bank shall, promptly following its receipt thereof, subject to the terms of the applicable Letter of Credit, examine all documents purporting to represent a demand for payment under a Letter of Credit. An Issuing Bank shall promptly notify the Agent and the Agent shall notify the U.S. Borrower by telephone of such demand for payment and whether such Issuing Bank has made or will make an LC Disbursement thereunder;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failure to give or delay in giving such notice shall not relieve any Borrower of its obligation to reimburse the Issuing Bank and the Revolving Lenders with respect to any such LC Disbursement.</w:t>
      </w:r>
    </w:p>
    <w:p>
      <w:pPr>
        <w:spacing w:after="0" w:line="175" w:lineRule="exact"/>
        <w:rPr>
          <w:rFonts w:ascii="Times New Roman" w:cs="Times New Roman" w:eastAsia="Times New Roman" w:hAnsi="Times New Roman"/>
          <w:sz w:val="19"/>
          <w:szCs w:val="19"/>
          <w:color w:val="auto"/>
        </w:rPr>
      </w:pPr>
    </w:p>
    <w:p>
      <w:pPr>
        <w:ind w:right="60" w:firstLine="1304"/>
        <w:spacing w:after="0" w:line="250" w:lineRule="auto"/>
        <w:tabs>
          <w:tab w:leader="none" w:pos="193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Borrower (or any other account party) reimburses such LC Disbursement, at the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then applicable to Base Rate Revolving Loans under the applicable Revolving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Borrower fails to reimburse (or cause another account party to reimburse) such LC Disbursement when due pursuant to Section 2.04(e), then Section 2.11(c) shall apply from such due date until such reimbursement is made. Interest accrued pursuant to this paragraph shall be for the account of the Issuing Bank making such LC Disbursement except that interest accrued on and after the date of payment by any Revolving Lender pursuant to Section 2.04(e)(ii) to reimburse an Issuing Bank shall be for the account of such Lender to the extent of such payment.</w:t>
      </w:r>
    </w:p>
    <w:p>
      <w:pPr>
        <w:spacing w:after="0" w:line="19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Issuing Banks; Limitation on Obligations of Issuing Banks to Act in Such Capacities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160" w:firstLine="1563"/>
        <w:spacing w:after="0" w:line="267" w:lineRule="auto"/>
        <w:tabs>
          <w:tab w:leader="none" w:pos="1931"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Issuing Bank may be replaced at any time by written agreement among the U.S. Borrower, the Agent, the replaced Issuing Bank and the successor Issuing Bank. The Agent shall notify the Revolving Lenders of any such replacement of an Issuing Bank. At the time any such replacement shall become effective, each Borrower shall pay all unpaid fees accrued for the account of the replaced Issuing Bank pursuant to Section 2.10. From and after the effective date of any such replacement, (1) the successor Issuing Bank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have all the rights and obligations of an Issuing Bank under this Agreement with respect to Letters of Credit to be issued thereafter and</w:t>
      </w:r>
    </w:p>
    <w:p>
      <w:pPr>
        <w:spacing w:after="0" w:line="6" w:lineRule="exact"/>
        <w:rPr>
          <w:sz w:val="20"/>
          <w:szCs w:val="20"/>
          <w:color w:val="auto"/>
        </w:rPr>
      </w:pPr>
    </w:p>
    <w:p>
      <w:pPr>
        <w:ind w:right="260" w:firstLine="8"/>
        <w:spacing w:after="0" w:line="251" w:lineRule="auto"/>
        <w:tabs>
          <w:tab w:leader="none" w:pos="28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the Issuing Bank under this Agreement with respect to Letters of Credit issued by it prior to such replacement, but shall not be required to issue additional Letters of Credit or to amend or extend any previously issued Letters of Credit.</w:t>
      </w:r>
    </w:p>
    <w:p>
      <w:pPr>
        <w:spacing w:after="0" w:line="179" w:lineRule="exact"/>
        <w:rPr>
          <w:rFonts w:ascii="Times New Roman" w:cs="Times New Roman" w:eastAsia="Times New Roman" w:hAnsi="Times New Roman"/>
          <w:sz w:val="20"/>
          <w:szCs w:val="20"/>
          <w:color w:val="auto"/>
        </w:rPr>
      </w:pPr>
    </w:p>
    <w:p>
      <w:pPr>
        <w:ind w:right="140" w:firstLine="1563"/>
        <w:spacing w:after="0" w:line="268" w:lineRule="auto"/>
        <w:tabs>
          <w:tab w:leader="none" w:pos="1932"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each Issuing Bank shall have the right, by notice to the Borrower, to decline to act as an Issuing Bank for any New Revolving Facility established following the Closing Date with a Scheduled Termination Date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34" w:name="page235"/>
    <w:bookmarkEnd w:id="234"/>
    <w:p>
      <w:pPr>
        <w:ind w:right="160"/>
        <w:spacing w:after="0" w:line="261" w:lineRule="auto"/>
        <w:rPr>
          <w:sz w:val="20"/>
          <w:szCs w:val="20"/>
          <w:color w:val="auto"/>
        </w:rPr>
      </w:pPr>
      <w:r>
        <w:rPr>
          <w:rFonts w:ascii="Times New Roman" w:cs="Times New Roman" w:eastAsia="Times New Roman" w:hAnsi="Times New Roman"/>
          <w:sz w:val="20"/>
          <w:szCs w:val="20"/>
          <w:color w:val="auto"/>
        </w:rPr>
        <w:t>Scheduled Termination Date for the Revolving Facilities in effect on the Closing Date. In the event any Issuing Bank declines to act in such capacity, the Borrower may, with the consent of the replacement Issuing Bank, as applicable, appoint a financial institution reasonably satisfactory to the Agent to act in such capacity for such New Revolving Facility.</w:t>
      </w:r>
    </w:p>
    <w:p>
      <w:pPr>
        <w:spacing w:after="0" w:line="181" w:lineRule="exact"/>
        <w:rPr>
          <w:sz w:val="20"/>
          <w:szCs w:val="20"/>
          <w:color w:val="auto"/>
        </w:rPr>
      </w:pPr>
    </w:p>
    <w:p>
      <w:pPr>
        <w:ind w:firstLine="1304"/>
        <w:spacing w:after="0" w:line="249" w:lineRule="auto"/>
        <w:tabs>
          <w:tab w:leader="none" w:pos="1942"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 xml:space="preserve">. If any Event of Default shall occur and be continuing, on the Business Day that the U.S. Borrower receives notice from the Agent or the Required Revolving Lenders demanding the deposit of cash collateral pursuant to this paragraph or if a Borrower is required to cash collateralize Letters of Credit pursuant to Section 2.09(d), each Borrower shall deposit in one or more accounts which shall by established at such time by the Agent, in the name of the Agent and for the benefit of the Revolving Lenders, the Issuing Banks, an amount in cash in the currency in which the applicable Revolving LC Exposure is denominated equal to the Revolving LC Exposure as of such date plus any accrued and unpaid fees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 to deposit such cash collateral shall become immediately due and payable, without demand or other notice of any kind, upon the occurrence of any Event of Default described in Section 7.01(f) or (g) with respect to the U.S. Borrower. Each such deposit shall be held by the Agent as collateral for the payment and performance of the obligations of the Borrowers under this Agreement with respect to such LC Exposure and shall be invested in short term cash equivalents selected by the Agent in its sole discretion (it being understood that the Agent shall in no event be liable for the selection of such cash equivalents or for investment losses with respect thereto, including losses incurred as a result of the liquidation of such cash equivalents prior to stated maturity). The Agent shall have exclusive dominion and control, including the exclusive right of withdrawal, over such account. Other than any interest earned on the investment of such deposits, which investments shall be made with the Agent’s consent and at the Borrowers’ risk and expense, such deposits shall not bear interest. Interest or profits, if any, on such investments shall accumulate in such account. Moneys in such account shall be applied by the Agent to reimburse each Issuing Bank for LC Disbursements for which it has not been reimbursed and, to the extent not so applied, shall be held for the satisfaction of the reimbursement obligations of Borrowers for the LC Exposure, as applicable, at such time. If any Borrower is required to provide an amount of cash collateral hereunder as a result of the occurrence of an Event of Default, such amount (to the extent not applied as aforesaid) shall be returned to such Borrower promptly and in any event within three Business Days after all Events of Default have been cured or waived. If any Borrower is required to provide an amount of cash collateral hereunder, such amount (to the extent not applied as aforesaid) shall be returned to such Borrower as and to the extent that, after giving effect to such return, no Default shall have occurred and be continuing.</w:t>
      </w:r>
    </w:p>
    <w:p>
      <w:pPr>
        <w:spacing w:after="0" w:line="186" w:lineRule="exact"/>
        <w:rPr>
          <w:rFonts w:ascii="Times New Roman" w:cs="Times New Roman" w:eastAsia="Times New Roman" w:hAnsi="Times New Roman"/>
          <w:sz w:val="20"/>
          <w:szCs w:val="20"/>
          <w:color w:val="auto"/>
        </w:rPr>
      </w:pPr>
    </w:p>
    <w:p>
      <w:pPr>
        <w:ind w:right="80" w:firstLine="1304"/>
        <w:spacing w:after="0" w:line="252" w:lineRule="auto"/>
        <w:tabs>
          <w:tab w:leader="none" w:pos="1932"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The parties acknowledge and agree that (a) the entity acting as Issuing Bank, in its capacity as such, may, without the consent of any party hereto, assign to an Affiliate all right, title and interest of (the “</w:t>
      </w:r>
      <w:r>
        <w:rPr>
          <w:rFonts w:ascii="Times New Roman" w:cs="Times New Roman" w:eastAsia="Times New Roman" w:hAnsi="Times New Roman"/>
          <w:sz w:val="20"/>
          <w:szCs w:val="20"/>
          <w:u w:val="single" w:color="auto"/>
          <w:color w:val="auto"/>
        </w:rPr>
        <w:t>Affiliate Assigned Rights</w:t>
      </w:r>
      <w:r>
        <w:rPr>
          <w:rFonts w:ascii="Times New Roman" w:cs="Times New Roman" w:eastAsia="Times New Roman" w:hAnsi="Times New Roman"/>
          <w:sz w:val="20"/>
          <w:szCs w:val="20"/>
          <w:color w:val="auto"/>
        </w:rPr>
        <w:t>”) in, to and under any and all obligations of the Borrowers under Section 2.04(e) to reimburse the Issuing Bank for Revolving LC Disbursements (the “</w:t>
      </w:r>
      <w:r>
        <w:rPr>
          <w:rFonts w:ascii="Times New Roman" w:cs="Times New Roman" w:eastAsia="Times New Roman" w:hAnsi="Times New Roman"/>
          <w:sz w:val="20"/>
          <w:szCs w:val="20"/>
          <w:u w:val="single" w:color="auto"/>
          <w:color w:val="auto"/>
        </w:rPr>
        <w:t>Reimbursement Obligations</w:t>
      </w:r>
      <w:r>
        <w:rPr>
          <w:rFonts w:ascii="Times New Roman" w:cs="Times New Roman" w:eastAsia="Times New Roman" w:hAnsi="Times New Roman"/>
          <w:sz w:val="20"/>
          <w:szCs w:val="20"/>
          <w:color w:val="auto"/>
        </w:rPr>
        <w:t>”), (b) in respect of all such Reimbursement Obligations constituting Affiliate Assigned Rights, for all purposes of this Agreement such Affiliate shall be deemed the “Issuing Bank,” (c) the obligations of the Revolving Lenders and Borrowers to the Issuing Bank shall, in the case of the Affiliate Assigned Rights, inure to the benefit of the Affiliate acquiring or having acquired such Affiliate Assigned Rights and be enforceable by such Affiliate and/or by the Issuing Bank on behalf of such Affiliate and (d) all payments made by Borrowers and/or any Revolving Lender to such Affiliate acquiring or having acquired such Affiliate Assigned Rights shall discharge all such obligations otherwise owing to the Issuing Bank that has assigned such Affiliate Assigned Rights, to the extent so paid. The foregoing shall not otherwise affect the rights and obligations of the entities acting as Issuing Banks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35" w:name="page236"/>
    <w:bookmarkEnd w:id="235"/>
    <w:p>
      <w:pPr>
        <w:ind w:right="160" w:firstLine="1304"/>
        <w:spacing w:after="0" w:line="283" w:lineRule="auto"/>
        <w:tabs>
          <w:tab w:leader="none" w:pos="1942"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and UCP</w:t>
      </w:r>
      <w:r>
        <w:rPr>
          <w:rFonts w:ascii="Times New Roman" w:cs="Times New Roman" w:eastAsia="Times New Roman" w:hAnsi="Times New Roman"/>
          <w:sz w:val="20"/>
          <w:szCs w:val="20"/>
          <w:color w:val="auto"/>
        </w:rPr>
        <w:t>. Unless otherwise expressly agreed by the Issuing Bank and the applicable Borrower when a Letter of Credit is issued, the rules of the ISP shall apply to each Letter of Credit.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II.5 </w:t>
      </w:r>
      <w:r>
        <w:rPr>
          <w:rFonts w:ascii="Times New Roman" w:cs="Times New Roman" w:eastAsia="Times New Roman" w:hAnsi="Times New Roman"/>
          <w:sz w:val="20"/>
          <w:szCs w:val="20"/>
          <w:u w:val="single" w:color="auto"/>
          <w:color w:val="auto"/>
        </w:rPr>
        <w:t>Termination and Reduction of Commitments</w:t>
      </w:r>
    </w:p>
    <w:p>
      <w:pPr>
        <w:spacing w:after="0" w:line="229" w:lineRule="exact"/>
        <w:rPr>
          <w:sz w:val="20"/>
          <w:szCs w:val="20"/>
          <w:color w:val="auto"/>
        </w:rPr>
      </w:pPr>
    </w:p>
    <w:p>
      <w:pPr>
        <w:ind w:firstLine="8"/>
        <w:spacing w:after="0" w:line="250" w:lineRule="auto"/>
        <w:tabs>
          <w:tab w:leader="none" w:pos="99"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U.S. Borrower may, upon at least three Business Days’ prior notice to the Agent, terminate in whole or reduce in part the unused portions of the Revolving Commitments under any Revolving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each partial reduction shall be in an aggregate amount of not less than the Minimum Currency Threshold and (ii) any such reduction shall apply to proportionately and permanently reduce the Revolving Commitment of each of the Lenders under such Revolving Facility except that, notwithstanding the foregoing, in connection with the establishment on any date of any Replacement Revolving Commitments pursuant to Section 2.19, the Revolving Commitments of any one or more Lenders providing any such Replacement Revolving Commitments on such date may be reduced in whole or in part on such date on a non-pro rata basis with the other Lenders under the applicable Revolving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after giving effect to any such reduction and to the repayment of any Revolving Loans actually made on such date, the Revolving Outstandings of any Revolving Lender under such Revolving Facility does not exceed the Revolving Commitment thereof). To the extent not previously utilized, all Term Commitments in effect on the Closing Date shall terminate at 5:00 p.m. (New York City time) on the Closing Date.</w:t>
      </w:r>
    </w:p>
    <w:p>
      <w:pPr>
        <w:spacing w:after="0" w:line="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II.6 </w:t>
      </w:r>
      <w:r>
        <w:rPr>
          <w:rFonts w:ascii="Times New Roman" w:cs="Times New Roman" w:eastAsia="Times New Roman" w:hAnsi="Times New Roman"/>
          <w:sz w:val="20"/>
          <w:szCs w:val="20"/>
          <w:u w:val="single" w:color="auto"/>
          <w:color w:val="auto"/>
        </w:rPr>
        <w:t>Repayment of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220" w:firstLine="1304"/>
        <w:spacing w:after="0" w:line="261" w:lineRule="auto"/>
        <w:tabs>
          <w:tab w:leader="none" w:pos="193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promises to repay on the Scheduled Termination Date for any Revolving Facility, the entire unpaid principal amount of the Revolving Loans thereunder made to such Borrower under such Revolving Facility in the currency in which such Loans are denominated.</w:t>
      </w:r>
    </w:p>
    <w:p>
      <w:pPr>
        <w:spacing w:after="0" w:line="167" w:lineRule="exact"/>
        <w:rPr>
          <w:rFonts w:ascii="Times New Roman" w:cs="Times New Roman" w:eastAsia="Times New Roman" w:hAnsi="Times New Roman"/>
          <w:sz w:val="20"/>
          <w:szCs w:val="20"/>
          <w:color w:val="auto"/>
        </w:rPr>
      </w:pPr>
    </w:p>
    <w:p>
      <w:pPr>
        <w:ind w:firstLine="1304"/>
        <w:spacing w:after="0" w:line="253" w:lineRule="auto"/>
        <w:tabs>
          <w:tab w:leader="none" w:pos="1932"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on September 30, 2024, the Canadian Borrower promises to repay in Canadian Dollars the Canadian Term A-4 Loans (i) on the last day of each March, June, September and December prior to the Canadian Term A-4 Loan Maturity Date, in each case in an amount equal to 1.25% of the original principal amount of such Canadian Term A-4 Term Loans as of the Amendment No. 15 Effective Date (as such payments may be reduced from time to time as a result of the application of prepayments in accordance with Sections 2.08(b), 2.08(d) and 2.09(c)) and (ii) on the Canadian Term A-4 Loan Maturity Date, the remainder of the principal amount of the Canadian Term A-4 Loans outstanding on such date, together in each case with accrued and unpaid interest on the principal amount to but excluding the date of such payment.</w:t>
      </w:r>
    </w:p>
    <w:p>
      <w:pPr>
        <w:spacing w:after="0" w:line="179" w:lineRule="exact"/>
        <w:rPr>
          <w:rFonts w:ascii="Times New Roman" w:cs="Times New Roman" w:eastAsia="Times New Roman" w:hAnsi="Times New Roman"/>
          <w:sz w:val="20"/>
          <w:szCs w:val="20"/>
          <w:color w:val="auto"/>
        </w:rPr>
      </w:pPr>
    </w:p>
    <w:p>
      <w:pPr>
        <w:ind w:right="120" w:firstLine="1304"/>
        <w:spacing w:after="0" w:line="253" w:lineRule="auto"/>
        <w:tabs>
          <w:tab w:leader="none" w:pos="193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on September 30, 2024, the Existing U.K. Borrower promises to repay in Euro the Euro Term A-3 Loans (i) on the last day of each March, June, September and December prior to the Euro Term A-3 Loan Maturity Date, in each case in an amount equal to 1.25% of the original principal amount of such Euro Term A-3 Term Loans as of the Amendment No. 15 Effective Date (as such payments may be reduced from time to time as a result of the application of prepayments in accordance with Sections 2.08(b), 2.08(d) and 2.09(c)) and (ii) on the Euro Term A-3 Loan Maturity Date, the remainder of the principal amount of the Euro Term A-3 Loans outstanding on such date, together in each case with accrued and unpaid interest on the principal amount to but excluding the date of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36" w:name="page237"/>
    <w:bookmarkEnd w:id="236"/>
    <w:p>
      <w:pPr>
        <w:ind w:firstLine="1304"/>
        <w:spacing w:after="0" w:line="253" w:lineRule="auto"/>
        <w:tabs>
          <w:tab w:leader="none" w:pos="193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on September 30, 2024, the Additional U.K. Borrower promises to repay in Sterling the GBP Term A Loans (i) on the last day of each March, June, September and December prior to the GBP Term A Loan Maturity Date, in each case in an amount equal to 1.25% of the original principal amount of such GBP Term A Term Loans as of the Amendment No. 15 Effective Date (as such payments may be reduced from time to time as a result of the application of prepayments in accordance with Sections 2.08(b), 2.08(d) and 2.09(c) and (ii) on the GBP Term A Loan Maturity Date, the remainder of the principal amount of the GBP Term A Loans outstanding on such date, together in each case with accrued and unpaid interest on the principal amount to but excluding the date of such payment.</w:t>
      </w:r>
    </w:p>
    <w:p>
      <w:pPr>
        <w:spacing w:after="0" w:line="192" w:lineRule="exact"/>
        <w:rPr>
          <w:rFonts w:ascii="Times New Roman" w:cs="Times New Roman" w:eastAsia="Times New Roman" w:hAnsi="Times New Roman"/>
          <w:sz w:val="20"/>
          <w:szCs w:val="20"/>
          <w:color w:val="auto"/>
        </w:rPr>
      </w:pPr>
    </w:p>
    <w:p>
      <w:pPr>
        <w:ind w:right="40" w:firstLine="1304"/>
        <w:spacing w:after="0" w:line="253" w:lineRule="auto"/>
        <w:tabs>
          <w:tab w:leader="none" w:pos="193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on September 30, 2024, the U.S. Borrower promises to repay in Dollars the U.S. Term A Loans (i) on the last day of each March, June, September and December prior to the U.S. Term A Loan Maturity Date, in each case in an amount equal to 1.25% of the original principal amount of such U.S. Term A Term Loans as of the Amendment No. 15 Effective Date (as such payments may be reduced from time to time as a result of the application of prepayments in accordance with Sections 2.08(b), 2.08(d) and 2.09(c)) and (ii) on the U.S. Term A Loan Maturity Date, the remainder of the principal amount of the U.S. Term A Loans outstanding on such date, together in each case with accrued and unpaid interest on the principal amount to but excluding the date of such payment.</w:t>
      </w:r>
    </w:p>
    <w:p>
      <w:pPr>
        <w:spacing w:after="0" w:line="178" w:lineRule="exact"/>
        <w:rPr>
          <w:rFonts w:ascii="Times New Roman" w:cs="Times New Roman" w:eastAsia="Times New Roman" w:hAnsi="Times New Roman"/>
          <w:sz w:val="20"/>
          <w:szCs w:val="20"/>
          <w:color w:val="auto"/>
        </w:rPr>
      </w:pPr>
    </w:p>
    <w:p>
      <w:pPr>
        <w:ind w:right="160" w:firstLine="1304"/>
        <w:spacing w:after="0" w:line="253" w:lineRule="auto"/>
        <w:tabs>
          <w:tab w:leader="none" w:pos="1939"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on September 30, 2024, the Existing U.K. Borrower promises to repay in Dollars the U.S. Term A-1 Loans (i) on the last day of each March, June, September and December prior to the U.S. Term A-1 Loan Maturity Date, in each case in an amount equal to 1.25% of the original principal amount of such U.S. Term A-1 Term Loans as of the Amendment No. 15 Effective Date (as such payments may be reduced from time to time as a result of the application of prepayments in accordance with Sections 2.08(b), 2.08(d) and 2.09(c)) and (ii) on the U.S. Term A-1 Loan Maturity Date, the remainder of the principal amount of the U.S. Term A-1 Loans outstanding on such date, together in each case with accrued and unpaid interest on the principal amount to but excluding the date of such payment.</w:t>
      </w:r>
    </w:p>
    <w:p>
      <w:pPr>
        <w:spacing w:after="0" w:line="179" w:lineRule="exact"/>
        <w:rPr>
          <w:rFonts w:ascii="Times New Roman" w:cs="Times New Roman" w:eastAsia="Times New Roman" w:hAnsi="Times New Roman"/>
          <w:sz w:val="20"/>
          <w:szCs w:val="20"/>
          <w:color w:val="auto"/>
        </w:rPr>
      </w:pPr>
    </w:p>
    <w:p>
      <w:pPr>
        <w:jc w:val="both"/>
        <w:ind w:right="60" w:firstLine="1304"/>
        <w:spacing w:after="0" w:line="261" w:lineRule="auto"/>
        <w:tabs>
          <w:tab w:leader="none" w:pos="193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promises to repay in Dollars the U.S. Term B-4 Loans on each date set forth below in an amount equal to the product of (x) the Remaining Term Percentage of the U.S. Term B-4 Loans as of such date multiplied by (y) the amount set forth below opposite such date (subject to Sections 2.08(b), 2.08(d) and 2.09(c)):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37" w:name="page238"/>
    <w:bookmarkEnd w:id="237"/>
    <w:p>
      <w:pPr>
        <w:spacing w:after="0" w:line="3" w:lineRule="exact"/>
        <w:rPr>
          <w:sz w:val="20"/>
          <w:szCs w:val="20"/>
          <w:color w:val="auto"/>
        </w:rPr>
      </w:pPr>
    </w:p>
    <w:tbl>
      <w:tblPr>
        <w:tblLayout w:type="fixed"/>
        <w:tblInd w:w="1550" w:type="dxa"/>
        <w:tblCellMar>
          <w:top w:w="0" w:type="dxa"/>
          <w:left w:w="0" w:type="dxa"/>
          <w:bottom w:w="0" w:type="dxa"/>
          <w:right w:w="0" w:type="dxa"/>
        </w:tblCellMar>
      </w:tblPr>
      <w:tr>
        <w:trPr>
          <w:trHeight w:val="270"/>
        </w:trPr>
        <w:tc>
          <w:tcPr>
            <w:tcW w:w="3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Date</w:t>
            </w:r>
          </w:p>
        </w:tc>
        <w:tc>
          <w:tcPr>
            <w:tcW w:w="308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06/30/20</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09/30/20</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12/31/20</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03/31/21</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06/30/21</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09/30/21</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12/31/21</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03/31/22</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06/30/22</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09/30/22</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12/31/22</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03/31/23</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06/30/23</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09/30/23</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12/31/23</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03/31/24</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06/30/24</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09/30/24</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12/31/24</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03/31/25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03/31/26</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06/30/26</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09/30/26</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12/31/26</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$2,250,000</w:t>
            </w:r>
          </w:p>
        </w:tc>
      </w:tr>
      <w:tr>
        <w:trPr>
          <w:trHeight w:val="187"/>
        </w:trPr>
        <w:tc>
          <w:tcPr>
            <w:tcW w:w="310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U.S. Term B-4 Loan</w:t>
            </w:r>
          </w:p>
        </w:tc>
        <w:tc>
          <w:tcPr>
            <w:tcW w:w="30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$839,250,000</w:t>
            </w:r>
          </w:p>
        </w:tc>
      </w:tr>
      <w:tr>
        <w:trPr>
          <w:trHeight w:val="252"/>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Maturity Date</w:t>
            </w:r>
          </w:p>
        </w:tc>
        <w:tc>
          <w:tcPr>
            <w:tcW w:w="3080" w:type="dxa"/>
            <w:vAlign w:val="bottom"/>
            <w:tcBorders>
              <w:bottom w:val="single" w:sz="8" w:color="auto"/>
              <w:right w:val="single" w:sz="8" w:color="auto"/>
            </w:tcBorders>
          </w:tcPr>
          <w:p>
            <w:pPr>
              <w:spacing w:after="0"/>
              <w:rPr>
                <w:sz w:val="21"/>
                <w:szCs w:val="21"/>
                <w:color w:val="auto"/>
              </w:rPr>
            </w:pPr>
          </w:p>
        </w:tc>
      </w:tr>
    </w:tbl>
    <w:p>
      <w:pPr>
        <w:spacing w:after="0" w:line="315" w:lineRule="exact"/>
        <w:rPr>
          <w:sz w:val="20"/>
          <w:szCs w:val="20"/>
          <w:color w:val="auto"/>
        </w:rPr>
      </w:pPr>
    </w:p>
    <w:p>
      <w:pPr>
        <w:ind w:firstLine="8"/>
        <w:spacing w:after="0" w:line="269" w:lineRule="auto"/>
        <w:tabs>
          <w:tab w:leader="none" w:pos="10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U.S. Borrower shall repay the entire unpaid principal amount of the U.S. Term B-4 Loans on the U.S. Term B-4 Loan Maturity Date.</w:t>
      </w:r>
    </w:p>
    <w:p>
      <w:pPr>
        <w:spacing w:after="0" w:line="172" w:lineRule="exact"/>
        <w:rPr>
          <w:rFonts w:ascii="Times New Roman" w:cs="Times New Roman" w:eastAsia="Times New Roman" w:hAnsi="Times New Roman"/>
          <w:sz w:val="20"/>
          <w:szCs w:val="20"/>
          <w:color w:val="auto"/>
        </w:rPr>
      </w:pPr>
    </w:p>
    <w:p>
      <w:pPr>
        <w:ind w:right="20" w:firstLine="1304"/>
        <w:spacing w:after="0" w:line="269" w:lineRule="auto"/>
        <w:tabs>
          <w:tab w:leader="none" w:pos="1932"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shall repay in Dollars the entire unpaid principal amount of the U.S. Term B-7 Loans on the U.S. Term B-7 Loan Maturity Date.</w:t>
      </w:r>
    </w:p>
    <w:p>
      <w:pPr>
        <w:spacing w:after="0" w:line="172" w:lineRule="exact"/>
        <w:rPr>
          <w:rFonts w:ascii="Times New Roman" w:cs="Times New Roman" w:eastAsia="Times New Roman" w:hAnsi="Times New Roman"/>
          <w:sz w:val="20"/>
          <w:szCs w:val="20"/>
          <w:color w:val="auto"/>
        </w:rPr>
      </w:pPr>
    </w:p>
    <w:p>
      <w:pPr>
        <w:jc w:val="both"/>
        <w:ind w:right="20" w:firstLine="1304"/>
        <w:spacing w:after="0" w:line="261" w:lineRule="auto"/>
        <w:tabs>
          <w:tab w:leader="none" w:pos="1942"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promises to repay in Dollars the U.S. Term B-8 Loans on each date set forth below in an amount equal to the product of (x) the Remaining Term Percentage of the U.S. Term B-8 Loans as of such date multiplied by (y) the amount set forth below opposite such date (subject to Sections 2.08(b), 2.08(d) and 2.09(c)):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80"/>
          </w:cols>
          <w:pgMar w:left="320" w:top="1440" w:right="399" w:bottom="1440" w:gutter="0" w:footer="0" w:header="0"/>
        </w:sectPr>
      </w:pPr>
    </w:p>
    <w:bookmarkStart w:id="238" w:name="page239"/>
    <w:bookmarkEnd w:id="238"/>
    <w:p>
      <w:pPr>
        <w:spacing w:after="0" w:line="3" w:lineRule="exact"/>
        <w:rPr>
          <w:sz w:val="20"/>
          <w:szCs w:val="20"/>
          <w:color w:val="auto"/>
        </w:rPr>
      </w:pPr>
    </w:p>
    <w:tbl>
      <w:tblPr>
        <w:tblLayout w:type="fixed"/>
        <w:tblInd w:w="1550" w:type="dxa"/>
        <w:tblCellMar>
          <w:top w:w="0" w:type="dxa"/>
          <w:left w:w="0" w:type="dxa"/>
          <w:bottom w:w="0" w:type="dxa"/>
          <w:right w:w="0" w:type="dxa"/>
        </w:tblCellMar>
      </w:tblPr>
      <w:tr>
        <w:trPr>
          <w:trHeight w:val="270"/>
        </w:trPr>
        <w:tc>
          <w:tcPr>
            <w:tcW w:w="3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Date</w:t>
            </w:r>
          </w:p>
        </w:tc>
        <w:tc>
          <w:tcPr>
            <w:tcW w:w="308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03/31/24</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06/30/24</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09/30/24</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12/31/24</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03/31/25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03/31/26</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06/30/26</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09/30/26</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12/31/26</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03/31/27</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06/30/27</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09/30/27</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12/31/27</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03/31/28</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06/30/28</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09/30/28</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12/31/28</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03/31/29</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06/30/29</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09/30/29</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12/31/29</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250"/>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03/31/30</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$2,750,000</w:t>
            </w:r>
          </w:p>
        </w:tc>
      </w:tr>
      <w:tr>
        <w:trPr>
          <w:trHeight w:val="187"/>
        </w:trPr>
        <w:tc>
          <w:tcPr>
            <w:tcW w:w="310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U.S. Term B-8 Loan</w:t>
            </w:r>
          </w:p>
        </w:tc>
        <w:tc>
          <w:tcPr>
            <w:tcW w:w="30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7"/>
              </w:rPr>
              <w:t>$1,025,750,000</w:t>
            </w:r>
          </w:p>
        </w:tc>
      </w:tr>
      <w:tr>
        <w:trPr>
          <w:trHeight w:val="252"/>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Maturity Date</w:t>
            </w:r>
          </w:p>
        </w:tc>
        <w:tc>
          <w:tcPr>
            <w:tcW w:w="3080" w:type="dxa"/>
            <w:vAlign w:val="bottom"/>
            <w:tcBorders>
              <w:bottom w:val="single" w:sz="8" w:color="auto"/>
              <w:right w:val="single" w:sz="8" w:color="auto"/>
            </w:tcBorders>
          </w:tcPr>
          <w:p>
            <w:pPr>
              <w:spacing w:after="0"/>
              <w:rPr>
                <w:sz w:val="21"/>
                <w:szCs w:val="21"/>
                <w:color w:val="auto"/>
              </w:rPr>
            </w:pPr>
          </w:p>
        </w:tc>
      </w:tr>
    </w:tbl>
    <w:p>
      <w:pPr>
        <w:spacing w:after="0" w:line="315" w:lineRule="exact"/>
        <w:rPr>
          <w:sz w:val="20"/>
          <w:szCs w:val="20"/>
          <w:color w:val="auto"/>
        </w:rPr>
      </w:pPr>
    </w:p>
    <w:p>
      <w:pPr>
        <w:ind w:right="20" w:firstLine="8"/>
        <w:spacing w:after="0" w:line="269" w:lineRule="auto"/>
        <w:tabs>
          <w:tab w:leader="none" w:pos="10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U.S. Borrower shall repay the entire unpaid principal amount of the U.S. Term B-8 Loans on the U.S. Term B-8 Loan Maturity Date.</w:t>
      </w:r>
    </w:p>
    <w:p>
      <w:pPr>
        <w:spacing w:after="0" w:line="172" w:lineRule="exact"/>
        <w:rPr>
          <w:rFonts w:ascii="Times New Roman" w:cs="Times New Roman" w:eastAsia="Times New Roman" w:hAnsi="Times New Roman"/>
          <w:sz w:val="20"/>
          <w:szCs w:val="20"/>
          <w:color w:val="auto"/>
        </w:rPr>
      </w:pPr>
    </w:p>
    <w:p>
      <w:pPr>
        <w:ind w:firstLine="1304"/>
        <w:spacing w:after="0" w:line="269" w:lineRule="auto"/>
        <w:tabs>
          <w:tab w:leader="none" w:pos="1942"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Amendment No. 14 Effective Date, the U.S. Borrower shall repay all U.S. Term B-5 Loans and U.S. Term B-6 Loans that are not converted to U.S. Term B-7 Loans or U.S. Term B-8 Loans on the Amendment No. 14 Effective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II.7 </w:t>
      </w:r>
      <w:r>
        <w:rPr>
          <w:rFonts w:ascii="Times New Roman" w:cs="Times New Roman" w:eastAsia="Times New Roman" w:hAnsi="Times New Roman"/>
          <w:sz w:val="20"/>
          <w:szCs w:val="20"/>
          <w:u w:val="single" w:color="auto"/>
          <w:color w:val="auto"/>
        </w:rPr>
        <w:t>Evidence of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1304"/>
        <w:spacing w:after="0" w:line="261" w:lineRule="auto"/>
        <w:tabs>
          <w:tab w:leader="none" w:pos="193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81" w:lineRule="exact"/>
        <w:rPr>
          <w:rFonts w:ascii="Times New Roman" w:cs="Times New Roman" w:eastAsia="Times New Roman" w:hAnsi="Times New Roman"/>
          <w:sz w:val="20"/>
          <w:szCs w:val="20"/>
          <w:color w:val="auto"/>
        </w:rPr>
      </w:pPr>
    </w:p>
    <w:p>
      <w:pPr>
        <w:ind w:right="300" w:firstLine="1304"/>
        <w:spacing w:after="0" w:line="283" w:lineRule="auto"/>
        <w:tabs>
          <w:tab w:leader="none" w:pos="1932"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maintain accounts in which it shall record (i) the amount of each Loan made hereunder, the Type thereof and the Interest Period (if any) applicable to each Loan</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40" w:right="379" w:bottom="1440" w:gutter="0" w:footer="0" w:header="0"/>
          <w:type w:val="continuous"/>
        </w:sectPr>
      </w:pPr>
    </w:p>
    <w:bookmarkStart w:id="239" w:name="page240"/>
    <w:bookmarkEnd w:id="239"/>
    <w:p>
      <w:pPr>
        <w:ind w:right="260"/>
        <w:spacing w:after="0" w:line="261" w:lineRule="auto"/>
        <w:rPr>
          <w:sz w:val="20"/>
          <w:szCs w:val="20"/>
          <w:color w:val="auto"/>
        </w:rPr>
      </w:pPr>
      <w:r>
        <w:rPr>
          <w:rFonts w:ascii="Times New Roman" w:cs="Times New Roman" w:eastAsia="Times New Roman" w:hAnsi="Times New Roman"/>
          <w:sz w:val="20"/>
          <w:szCs w:val="20"/>
          <w:color w:val="auto"/>
        </w:rPr>
        <w:t>hereunder, (ii) the amount of any principal, interest and fees due and payable or to become due and payable from each Borrower to each Lender hereunder and (iii) the amount of any sum received by the Agent hereunder for the account of the Lenders and each Lender’s share thereof.</w:t>
      </w:r>
    </w:p>
    <w:p>
      <w:pPr>
        <w:spacing w:after="0" w:line="181" w:lineRule="exact"/>
        <w:rPr>
          <w:sz w:val="20"/>
          <w:szCs w:val="20"/>
          <w:color w:val="auto"/>
        </w:rPr>
      </w:pPr>
    </w:p>
    <w:p>
      <w:pPr>
        <w:ind w:right="40" w:firstLine="1304"/>
        <w:spacing w:after="0" w:line="258" w:lineRule="auto"/>
        <w:tabs>
          <w:tab w:leader="none" w:pos="193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accounts maintained pursuant to paragraph (a) or (b) of this Section 2.07 shall be prima facie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Agent to maintain such accounts or any error therein shall not in any manner affect the obligation of any Borrower to repay its Obligations in accordance with the terms of this Agreement.</w:t>
      </w:r>
    </w:p>
    <w:p>
      <w:pPr>
        <w:spacing w:after="0" w:line="172" w:lineRule="exact"/>
        <w:rPr>
          <w:rFonts w:ascii="Times New Roman" w:cs="Times New Roman" w:eastAsia="Times New Roman" w:hAnsi="Times New Roman"/>
          <w:sz w:val="20"/>
          <w:szCs w:val="20"/>
          <w:color w:val="auto"/>
        </w:rPr>
      </w:pPr>
    </w:p>
    <w:p>
      <w:pPr>
        <w:ind w:right="20" w:firstLine="1304"/>
        <w:spacing w:after="0" w:line="258" w:lineRule="auto"/>
        <w:tabs>
          <w:tab w:leader="none" w:pos="1932"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request that Loans made by it be evidenced by a promissory note. In such event, the applicable Borrower shall reasonably promptly prepare, execute and deliver to such Lender a Revolving Credit Note or Term Loan Note payable to such Lender and its registered assigns and in substantially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 xml:space="preserve"> hereto, as applicable, with appropriate insertions and deletions.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II.8 </w:t>
      </w:r>
      <w:r>
        <w:rPr>
          <w:rFonts w:ascii="Times New Roman" w:cs="Times New Roman" w:eastAsia="Times New Roman" w:hAnsi="Times New Roman"/>
          <w:sz w:val="20"/>
          <w:szCs w:val="20"/>
          <w:u w:val="single" w:color="auto"/>
          <w:color w:val="auto"/>
        </w:rPr>
        <w:t>Optional Prepayment of Loans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60" w:firstLine="1304"/>
        <w:spacing w:after="0" w:line="249" w:lineRule="auto"/>
        <w:tabs>
          <w:tab w:leader="none" w:pos="193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xml:space="preserve">. Each Borrower may upon prior notice to the Agent not later than (x) 1:00 p.m. (London time) in the case of Loans denominated in Euro or Sterling or (y) 11:00 a.m. (New York City time) in the case of Loans denominated in any other currency, in each case (i) at least three Business Days prior to the date of prepayment, in the case of any prepayment of Eurocurrency Rate Loans, Term Benchmark Loans or Term CORRA Rate Loans, (ii) at least five (5) Business Days prior to the date of prepayment, in the case of any prepayment of SONIA Rate Loans and (iii) on the date of prepayment in the case of Base Rate Loans and Canadian Base Rate Loans, prepay without premium or penalty the outstanding principal amount of any or all of its Revolving Loans under any Revolving Facility, in whole or in part at any time in the currencies in which such Loans are denominated;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any prepayment of any Eurocurrency Rate Loan, Term CORRA Rate Loan, Term Benchmark Loan or SONIA Rate Loan is made by a Borrower other than on the last day of an Interest Period for such Loan, such Borrower shall also pay all interest and fees accrued to the date of such prepayment on the principal amount prepaid and any amount owing pursuant to Section 2.14(e);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each partial prepayment shall be in an aggregate principal amount not less than the applicable Minimum Currency Threshold. Upon the giving of any notice of prepayment, the principal amount of Revolving Loans specified therein to be prepaid shall become due and payable on the date specified therein for such prepayment (except that any notice of prepayment in connection with the refinancing of all or any portion of the Facilities may be contingent upon the consummation of such refinancing).</w:t>
      </w:r>
    </w:p>
    <w:p>
      <w:pPr>
        <w:spacing w:after="0" w:line="196" w:lineRule="exact"/>
        <w:rPr>
          <w:rFonts w:ascii="Times New Roman" w:cs="Times New Roman" w:eastAsia="Times New Roman" w:hAnsi="Times New Roman"/>
          <w:sz w:val="20"/>
          <w:szCs w:val="20"/>
          <w:color w:val="auto"/>
        </w:rPr>
      </w:pPr>
    </w:p>
    <w:p>
      <w:pPr>
        <w:ind w:firstLine="1304"/>
        <w:spacing w:after="0" w:line="252" w:lineRule="auto"/>
        <w:tabs>
          <w:tab w:leader="none" w:pos="1932"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xml:space="preserve">. Any Borrower may, upon prior notice to the Agent not later than (x) 1:00 p.m. (London time) in the case of Loans denominated in Euro, Sterling or Yen or (y) 11:00 a.m. (New York City time) in the case of Loans denominated in any other currency, in each case (i) at least three Business Days prior to the date of prepayment, in the case of any prepayment of Eurocurrency Rate Loans, Term Benchmark Loan or Term CORRA Rate Loans and (ii) on the date of prepayment, in the case of any prepayment of Base Rate Loans, prepay without premium or penalty (except as set forth in clause (c) below) its Term Loans under any Term Loan Facility in the currency in which such Term Loans are denominated, in whole or in part, together with accrued interest to the date of such prepayment on the principal amount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prepayment of any Eurocurrency Rate Loan, Term Benchmark Loan or Term CORRA Rate Loan is made by a Borrower other than on the last day of an Interest Period for such Loan, such Borrower shall also pay any amounts owing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40" w:name="page241"/>
    <w:bookmarkEnd w:id="240"/>
    <w:p>
      <w:pPr>
        <w:ind w:right="60"/>
        <w:spacing w:after="0" w:line="253" w:lineRule="auto"/>
        <w:rPr>
          <w:sz w:val="20"/>
          <w:szCs w:val="20"/>
          <w:color w:val="auto"/>
        </w:rPr>
      </w:pPr>
      <w:r>
        <w:rPr>
          <w:rFonts w:ascii="Times New Roman" w:cs="Times New Roman" w:eastAsia="Times New Roman" w:hAnsi="Times New Roman"/>
          <w:sz w:val="20"/>
          <w:szCs w:val="20"/>
          <w:color w:val="auto"/>
        </w:rPr>
        <w:t xml:space="preserve">Section 2.14(e);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each partial prepayment shall be in an aggregate amount not less than the Minimum Currency Threshold and that any such partial prepayment shall be applied to reduce the remaining installments of the outstanding principal amount of the Term Loans under the applicable Term Loan Facility as directed by the U.S. Borrower. Upon the giving of any notice of prepayment, the principal amount of the Term Loans specified therein to be prepaid shall become due and payable on the date specified therein for such prepayment (except that any notice of prepayment in connection with the refinancing of all or any portion of the Facilities may be contingent upon the consummation of such refinancing).</w:t>
      </w:r>
    </w:p>
    <w:p>
      <w:pPr>
        <w:spacing w:after="0" w:line="192" w:lineRule="exact"/>
        <w:rPr>
          <w:sz w:val="20"/>
          <w:szCs w:val="20"/>
          <w:color w:val="auto"/>
        </w:rPr>
      </w:pPr>
    </w:p>
    <w:p>
      <w:pPr>
        <w:ind w:left="1940" w:hanging="636"/>
        <w:spacing w:after="0"/>
        <w:tabs>
          <w:tab w:leader="none" w:pos="194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 Premiums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40" w:firstLine="1563"/>
        <w:spacing w:after="0" w:line="253" w:lineRule="auto"/>
        <w:tabs>
          <w:tab w:leader="none" w:pos="1931"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within 6 months of the Amendment No. 14 Effective Date, (x) the U.S. Borrower makes any prepayment of U.S. Term B-7 Loans in connection with any Repricing Transaction, or (y) effects any amendment of this Agreement resulting in a Repricing Transaction with respect to the U.S. Term B-7 Loans, the U.S. Borrower shall pay to the Agent, for the account of each U.S. Term B-7 Lender (including any Lender that is required to assign its Loans pursuant to Section 9.02(e) in connection therewith but not its assignee), (I) in the case of clause (x), a prepayment premium of 1% of the amount of such Lender’s U.S. Term B-7 Loans being repaid in connection with such Repricing Transaction and (II) in the case of clause (y), a payment equal to 1% of the aggregate amount of such Lender’s U.S. Term B-7 Loans that are subject to such Repricing Transaction and outstanding immediately prior to such amendment.</w:t>
      </w:r>
    </w:p>
    <w:p>
      <w:pPr>
        <w:spacing w:after="0" w:line="179" w:lineRule="exact"/>
        <w:rPr>
          <w:rFonts w:ascii="Times New Roman" w:cs="Times New Roman" w:eastAsia="Times New Roman" w:hAnsi="Times New Roman"/>
          <w:sz w:val="20"/>
          <w:szCs w:val="20"/>
          <w:color w:val="auto"/>
        </w:rPr>
      </w:pPr>
    </w:p>
    <w:p>
      <w:pPr>
        <w:ind w:right="40" w:firstLine="1563"/>
        <w:spacing w:after="0" w:line="253" w:lineRule="auto"/>
        <w:tabs>
          <w:tab w:leader="none" w:pos="1932"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within 6 months of the Amendment No. 14 Effective Date, (x) the U.S. Borrower makes any prepayment of U.S. Term B-8 Loans in connection with any Repricing Transaction, or (y) effects any amendment of this Agreement resulting in a Repricing Transaction with respect to the U.S. Term B-8 Loans, the U.S. Borrower shall pay to the Agent, for the account of each U.S. Term B-8 Lender (including any Lender that is required to assign its Loans pursuant to Section 9.02(e) in connection therewith but not its assignee), (I) in the case of clause (x), a prepayment premium of 1% of the amount of such Lender’s U.S. Term B-8 Loans being repaid in connection with such Repricing Transaction and (II) in the case of clause (y), a payment equal to 1% of the aggregate amount of such Lender’s U.S. Term B-8 Loans that are subject to such Repricing Transaction and outstanding immediately prior to such amendment.</w:t>
      </w:r>
    </w:p>
    <w:p>
      <w:pPr>
        <w:spacing w:after="0" w:line="179" w:lineRule="exact"/>
        <w:rPr>
          <w:rFonts w:ascii="Times New Roman" w:cs="Times New Roman" w:eastAsia="Times New Roman" w:hAnsi="Times New Roman"/>
          <w:sz w:val="20"/>
          <w:szCs w:val="20"/>
          <w:color w:val="auto"/>
        </w:rPr>
      </w:pPr>
    </w:p>
    <w:p>
      <w:pPr>
        <w:ind w:firstLine="1304"/>
        <w:spacing w:after="0" w:line="266" w:lineRule="auto"/>
        <w:tabs>
          <w:tab w:leader="none" w:pos="1932"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any prepayment of Term Loans pursuant to Section 2.08(b), any Borrower may at any time prepay Term Loans of any Class of any Lender at such price or prices as may be mutually agreed by the Borrower and such Lender (which, for avoidance of doubt, may be a prepayment at a discount to par), pursuant to individually negotiated transactions with any Lender or offers to prepay that are open to all Lenders of Term Loans of any Class selected by such Borrower so long as (i) at the time of, and after giving effect to, any such prepayment pursuant to this Section 2.08(d), no Event of Default has occurred and is continuing, (ii) no proceeds of Revolving Loans are utilized to fund any such prepayment and (iii) such Borrower and each Lender whose Term Loans are to be prepaid pursuant to this Section 2.08(d) execute and deliver to the Agent an instrument identifying the amount of Term Loans of each Class of each such Lender to be so prepaid, the date of such prepayment and the prepayment price therefor. The principal amount of any Term Loans of any Class prepaid pursuant to this paragraph (d) shall reduce remaining scheduled amortization for such Class of Term Loans on a pro rata basis.</w:t>
      </w:r>
    </w:p>
    <w:p>
      <w:pPr>
        <w:spacing w:after="0" w:line="183" w:lineRule="exact"/>
        <w:rPr>
          <w:rFonts w:ascii="Times New Roman" w:cs="Times New Roman" w:eastAsia="Times New Roman" w:hAnsi="Times New Roman"/>
          <w:sz w:val="19"/>
          <w:szCs w:val="19"/>
          <w:color w:val="auto"/>
        </w:rPr>
      </w:pPr>
    </w:p>
    <w:p>
      <w:pPr>
        <w:ind w:right="80" w:firstLine="1304"/>
        <w:spacing w:after="0" w:line="269" w:lineRule="auto"/>
        <w:tabs>
          <w:tab w:leader="none" w:pos="193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in the event that on any date, an outstanding Term Loan of a Lender would otherwise be prepaid pursuant to Section 2.08(b),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41" w:name="page242"/>
    <w:bookmarkEnd w:id="241"/>
    <w:p>
      <w:pPr>
        <w:ind w:right="100"/>
        <w:spacing w:after="0" w:line="261" w:lineRule="auto"/>
        <w:rPr>
          <w:sz w:val="20"/>
          <w:szCs w:val="20"/>
          <w:color w:val="auto"/>
        </w:rPr>
      </w:pPr>
      <w:r>
        <w:rPr>
          <w:rFonts w:ascii="Times New Roman" w:cs="Times New Roman" w:eastAsia="Times New Roman" w:hAnsi="Times New Roman"/>
          <w:sz w:val="20"/>
          <w:szCs w:val="20"/>
          <w:color w:val="auto"/>
        </w:rPr>
        <w:t>2.08(d) or 2.09 from the proceeds of any new Term Loans to be established on such date, then, if agreed to by the Borrower and such Lender in writing delivered to the Agent, such outstanding Term Loan of such Lender may be converted on a “cashless roll” basis into a new Term Loan being established on such date.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II.9 </w:t>
      </w:r>
      <w:r>
        <w:rPr>
          <w:rFonts w:ascii="Times New Roman" w:cs="Times New Roman" w:eastAsia="Times New Roman" w:hAnsi="Times New Roman"/>
          <w:sz w:val="20"/>
          <w:szCs w:val="20"/>
          <w:u w:val="single" w:color="auto"/>
          <w:color w:val="auto"/>
        </w:rPr>
        <w:t>Mandatory Prepayment of Loans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1304"/>
        <w:spacing w:after="0" w:line="251" w:lineRule="auto"/>
        <w:tabs>
          <w:tab w:leader="none" w:pos="193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(d) below, no later than three Business Days after the earlier of (i) ninety (90) days after the end of each fiscal year of the U.S. Borrower, commencing with (x) prior to the 2024 Refinancing Amendments Effective Date, the fiscal year ending on or around September 30, 2017 (or solely with respect to the U.S. Term B-8 Loans, commencing with the fiscal year ending on or around September 30, 2024) and (y) from and after the 2024 Refinancing Amendments Effective Date, the fiscal year ending on or around September 30, 2025, and (ii) the date on which the financial statements with respect to such fiscal year are delivered pursuant to</w:t>
      </w:r>
    </w:p>
    <w:p>
      <w:pPr>
        <w:ind w:right="22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5.01(a) (the “</w:t>
      </w:r>
      <w:r>
        <w:rPr>
          <w:rFonts w:ascii="Times New Roman" w:cs="Times New Roman" w:eastAsia="Times New Roman" w:hAnsi="Times New Roman"/>
          <w:sz w:val="20"/>
          <w:szCs w:val="20"/>
          <w:u w:val="single" w:color="auto"/>
          <w:color w:val="auto"/>
        </w:rPr>
        <w:t>Excess Cash Flow Application Date</w:t>
      </w:r>
      <w:r>
        <w:rPr>
          <w:rFonts w:ascii="Times New Roman" w:cs="Times New Roman" w:eastAsia="Times New Roman" w:hAnsi="Times New Roman"/>
          <w:sz w:val="20"/>
          <w:szCs w:val="20"/>
          <w:color w:val="auto"/>
        </w:rPr>
        <w:t xml:space="preserve">”), the U.S. Borrower shall prepay (or cause the other Borrowers to prepay) outstanding Term Loans in an aggregate principal amount equal to the ECF Percentage for the Excess Cash Flow Period then ended;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prepayment shall be required for any Excess Cash Flow Period to the extent Excess Cash Flow for such Excess Cash Flow Period was less than (x) prior to the 2024 Refinancing Amendments Effective Date, $10.0 million and (y) from and after the 2024 Refinancing Amendments Effective Date, $100.0 million (and then only the excess over $100.0 million shall be required to prepay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amount of such prepayment shall be further reduced (without duplication of any amount that has reduced the amount of Loans required to be prepaid pursuant to this clause (a) in any other year) by an amount equal to the amount of Loans prepaid pursuant to Section 2.08 during the time period commencing at the beginning of the Excess Cash Flow Period with respect to which such prepayment is required and ending on the day preceding the Excess Cash Flow Application Date (other than a prepayment of Revolving Loans except to the extent accompanied by a corresponding reduction in the amount of the Revolving Commitments and, in the case of a prepayment of Term Loans pursuant to Section 2.08(d), limited to the amount of cash expended), other than prepayments funded with the proceeds of the incurrence of long-term Indebtedness (other than under any revolving credit facility).</w:t>
      </w:r>
    </w:p>
    <w:p>
      <w:pPr>
        <w:spacing w:after="0" w:line="197" w:lineRule="exact"/>
        <w:rPr>
          <w:rFonts w:ascii="Times New Roman" w:cs="Times New Roman" w:eastAsia="Times New Roman" w:hAnsi="Times New Roman"/>
          <w:sz w:val="20"/>
          <w:szCs w:val="20"/>
          <w:color w:val="auto"/>
        </w:rPr>
      </w:pPr>
    </w:p>
    <w:p>
      <w:pPr>
        <w:ind w:right="40" w:firstLine="1304"/>
        <w:spacing w:after="0" w:line="250" w:lineRule="auto"/>
        <w:tabs>
          <w:tab w:leader="none" w:pos="1932"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clause (d) below, on each occasion that a Prepayment Event occurs, the U.S. Borrower shall (or shall cause the other Borrowers to) within five Business Days after the occurrence of such Prepayment Event (or, in the case of Deferred Net Cash Proceeds, within five Business Days after the last day of the Reinvestment Period relating to such Prepayment Event), prepay, in accordance with clause (c) below, a principal amount of Term Loans (or, at the election of the U.S. Borrower in connection with a Debt Incurrence Prepayment Event, reduce an amount of Revolving Commitments) equal to (x) prior to the 2024 Refinancing Amendments Effective Date, 100% of the Net Cash Proceeds from such Prepayment Event and (y) from and after the 2024 Refinancing Amendments Effective Date, the Prepayment Event Percentage of the Net Cash Proceeds from such Prepayment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prepayment shall be required as a result of any Asset Sale Prepayment Event until the aggregate amount of Net Cash Proceeds from all Asset Sale Prepayment Events following the Closing Date that have not previously been applied to prepay Loans in accordance with this Section 2.09 exceeds $100.0 million and then only the excess over $100.0 million shall be required to be applied to prepay Loans;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with respect to the Net Cash Proceeds of an Asset Sale Prepayment Event or Casualty Event, the U.S. Borrower may use a portion of such Net Cash Proceeds to prepay or repurchase other Indebtedness (other than Loans) secured on a pari passu basis with the Obligations (and, in the case of any revolving Indebtedness, to correspondingly reduce commitments) to the extent the U.S.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0"/>
          <w:szCs w:val="20"/>
          <w:color w:val="auto"/>
        </w:rPr>
        <w:t>is required to prepay such other Indebtedness as a result of such Prepayment Event, in each case in an amount not to exceed the product of</w:t>
      </w:r>
    </w:p>
    <w:p>
      <w:pPr>
        <w:spacing w:after="0" w:line="28" w:lineRule="exact"/>
        <w:rPr>
          <w:sz w:val="20"/>
          <w:szCs w:val="20"/>
          <w:color w:val="auto"/>
        </w:rPr>
      </w:pPr>
    </w:p>
    <w:p>
      <w:pPr>
        <w:ind w:right="260" w:firstLine="8"/>
        <w:spacing w:after="0" w:line="253" w:lineRule="auto"/>
        <w:tabs>
          <w:tab w:leader="none" w:pos="28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such Net Cash Proceeds multiplied by (y) a fraction, the numerator of which is the outstanding principal amount of such other Indebtedness and the denominator of which is the sum of the outstanding principal amount of such other Indebtedness and the outstanding principal amount of Term Loans.</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shall deliver to the Agent, at the time of each prepayment required under Section 2.09(a) or (b),</w:t>
      </w:r>
    </w:p>
    <w:p>
      <w:pPr>
        <w:spacing w:after="0" w:line="28" w:lineRule="exact"/>
        <w:rPr>
          <w:rFonts w:ascii="Times New Roman" w:cs="Times New Roman" w:eastAsia="Times New Roman" w:hAnsi="Times New Roman"/>
          <w:sz w:val="20"/>
          <w:szCs w:val="20"/>
          <w:color w:val="auto"/>
        </w:rPr>
      </w:pPr>
    </w:p>
    <w:p>
      <w:pPr>
        <w:ind w:firstLine="8"/>
        <w:spacing w:after="0" w:line="249" w:lineRule="auto"/>
        <w:tabs>
          <w:tab w:leader="none" w:pos="23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Financial Officer of the U.S. Borrower setting forth in reasonable detail the calculation of the amount of such prepayment and (ii) to the extent practicable, at least three (3) Business Days prior written notice of such prepayment. Amounts required to be applied to the prepayment of Term Loans in accordance with clauses (a) and (b) above shall be applied pro rata to prepay Term Loans under the Term Loan Facilities (based on the Dollar Equivalent amount of Term Loans outstanding under each Term Facility on the date of prepayment) and shall be applied to scheduled amortization of such Term Loans as directed by the U.S.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the U.S. Borrower may elect in its sole discretion to apply the Net Cash Proceeds from any Debt Incurrence Prepayment Event to prepay any Class of Term Loans (or to reduce any Class of Revolving Commitments) selected by the U.S. Borrower. Each notice of prepayment shall specify the prepayment date, the Type of each Loan being prepaid and the principal amount of each Loan (or portion thereof) to be prepaid. Prepayments shall be accompanied by accrued interest as required by Section 2.11. All prepayments of Borrowings under this Section 2.09 shall be subject to Section 2.14 (and, in the case of a Repricing Transaction, Section 2.08(c)), but shall otherwise be without premium or penalty.</w:t>
      </w:r>
    </w:p>
    <w:p>
      <w:pPr>
        <w:spacing w:after="0" w:line="195" w:lineRule="exact"/>
        <w:rPr>
          <w:rFonts w:ascii="Times New Roman" w:cs="Times New Roman" w:eastAsia="Times New Roman" w:hAnsi="Times New Roman"/>
          <w:sz w:val="20"/>
          <w:szCs w:val="20"/>
          <w:color w:val="auto"/>
        </w:rPr>
      </w:pPr>
    </w:p>
    <w:p>
      <w:pPr>
        <w:ind w:firstLine="1304"/>
        <w:spacing w:after="0" w:line="249" w:lineRule="auto"/>
        <w:tabs>
          <w:tab w:leader="none" w:pos="1932"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the Agent notifies the U.S. Borrower that the aggregate Dollar Equivalent of Revolving Outstandings under any Revolving Facility exceeds the aggregate Revolving Commitments under such Revolving Facility at such time, each Borrower under such Revolving Facility shall forthwith prepay on a pro rata basis with any other Borrower under such Revolving Facility an amount of Revolving Loans made to such Borrower under such Revolving Facility then outstanding in an aggregate amount with respect to the Borrower(s) under such Revolving Facility equal to such excess;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the extent such excess results solely by reason of a change in exchange rates, no Borrower shall be required to make such prepayment unless the amount of such excess causes the Revolving Outstandings under such Revolving Facility to exceed 105% of the Revolving Commitments under such Revolving Facility. If any such excess remains after prepayment in full of the aggregate outstanding Revolving Loans under the applicable Revolving Facility, each applicable Borrower shall provide cash collateral on a pro rata basis with any other Borrower under such Revolving Facility for the Letters of Credit issued for the account of such Borrower under such Revolving Facility in the manner set forth in Section 2.04(j) in an aggregate amount with respect to the Borrower(s) under such Revolving Facility equal to such excess.</w:t>
      </w:r>
    </w:p>
    <w:p>
      <w:pPr>
        <w:spacing w:after="0" w:line="196" w:lineRule="exact"/>
        <w:rPr>
          <w:rFonts w:ascii="Times New Roman" w:cs="Times New Roman" w:eastAsia="Times New Roman" w:hAnsi="Times New Roman"/>
          <w:sz w:val="20"/>
          <w:szCs w:val="20"/>
          <w:color w:val="auto"/>
        </w:rPr>
      </w:pPr>
    </w:p>
    <w:p>
      <w:pPr>
        <w:ind w:right="20" w:firstLine="1304"/>
        <w:spacing w:after="0" w:line="251" w:lineRule="auto"/>
        <w:tabs>
          <w:tab w:leader="none" w:pos="1934"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provisions of this Section 2.09, (A) to the extent that any of or all the Net Cash Proceeds of any Asset Sale Prepayment Event by a Foreign Subsidiary giving rise to a prepayment pursuant to Section 2.09(b) (a “</w:t>
      </w:r>
      <w:r>
        <w:rPr>
          <w:rFonts w:ascii="Times New Roman" w:cs="Times New Roman" w:eastAsia="Times New Roman" w:hAnsi="Times New Roman"/>
          <w:sz w:val="20"/>
          <w:szCs w:val="20"/>
          <w:u w:val="single" w:color="auto"/>
          <w:color w:val="auto"/>
        </w:rPr>
        <w:t>Foreign Prepayment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Event</w:t>
      </w:r>
      <w:r>
        <w:rPr>
          <w:rFonts w:ascii="Times New Roman" w:cs="Times New Roman" w:eastAsia="Times New Roman" w:hAnsi="Times New Roman"/>
          <w:sz w:val="20"/>
          <w:szCs w:val="20"/>
          <w:color w:val="auto"/>
        </w:rPr>
        <w:t>”) or Excess Cash Flow are prohibited or delayed by any Requirement of Law from being repatriated to a Borrower with respect to Term Loans in an aggregate principal amount equal to the ECF Percentage for the Excess Cash Flow Period then ended, the portion of such Net Cash Proceeds or Excess Cash Flow so affected will not be required to be applied to repay Term Loans at the times provided in this Section 2.09, as the case may be, and such amounts may be retained by the applicable Foreign Subsidiary so long, but only so long, as the applicable Requirement of Law will not permit repatriation to a Borrower (the Borrowers hereby agreeing to cause the applicable Foreign Subsidiary to promptly take all actions reasonably required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43" w:name="page244"/>
    <w:bookmarkEnd w:id="243"/>
    <w:p>
      <w:pPr>
        <w:spacing w:after="0" w:line="249" w:lineRule="auto"/>
        <w:rPr>
          <w:sz w:val="20"/>
          <w:szCs w:val="20"/>
          <w:color w:val="auto"/>
        </w:rPr>
      </w:pPr>
      <w:r>
        <w:rPr>
          <w:rFonts w:ascii="Times New Roman" w:cs="Times New Roman" w:eastAsia="Times New Roman" w:hAnsi="Times New Roman"/>
          <w:sz w:val="20"/>
          <w:szCs w:val="20"/>
          <w:color w:val="auto"/>
        </w:rPr>
        <w:t xml:space="preserve">applicable Requirement of Law to permit such repatriation), and once such repatriation of any of such affected Net Cash Proceeds or Excess Cash Flow is permitted under the applicable Requirement of Law, such repatriation will be promptly effected and such repatriated Net Cash Proceeds or Excess Cash Flow will be promptly (and in any event not later than three Business Days after such repatriation) applied (net of additional taxes payable or reserved against as a result thereof) to the repayment of the Term Loans pursuant to Section 2.09 and (B) to the extent that and for so long as a Borrower has determined in good faith that repatriation of any of or all the Net Cash Proceeds of any Foreign Prepayment Event or Excess Cash Flow would have a material adverse tax consequence to the U.S. Borrower and its Subsidiaries (taking into account any foreign tax credit or benefit actually realized in connection with such repatriation) with respect to such Net Cash Proceeds or Excess Cash Flow, the Net Cash Proceeds or Excess Cash Flow so affected will not be required to be applied to repay Term Loans at the times provided in this Section 2.09, and such amounts may be retained by the applicable Foreign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 such Borrower determines in good faith that repatriation of any of or all the Net Cash Proceeds of any Foreign Prepayment Event or Excess Cash Flow would no longer have a material adverse tax consequence to the U.S. Borrower and its Subsidiaries (taking into account any foreign tax credit or benefit actually realized in connection with such repatriation) with respect to such Net Cash Proceeds or Excess Cash Flow, such Net Cash Proceeds or Excess Cash Flow shall be promptly (and in any event not later than three Business Days after such repatriation) applied (net of additional taxes payable or reserved against as a result thereof) to the repayment of the Term Loans pursuant to this Section 2.09.</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II.10 </w:t>
      </w:r>
      <w:r>
        <w:rPr>
          <w:rFonts w:ascii="Times New Roman" w:cs="Times New Roman" w:eastAsia="Times New Roman" w:hAnsi="Times New Roman"/>
          <w:sz w:val="20"/>
          <w:szCs w:val="20"/>
          <w:u w:val="single" w:color="auto"/>
          <w:color w:val="auto"/>
        </w:rPr>
        <w:t>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60" w:firstLine="1304"/>
        <w:spacing w:after="0" w:line="253" w:lineRule="auto"/>
        <w:tabs>
          <w:tab w:leader="none" w:pos="193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Fees</w:t>
      </w:r>
      <w:r>
        <w:rPr>
          <w:rFonts w:ascii="Times New Roman" w:cs="Times New Roman" w:eastAsia="Times New Roman" w:hAnsi="Times New Roman"/>
          <w:sz w:val="20"/>
          <w:szCs w:val="20"/>
          <w:color w:val="auto"/>
        </w:rPr>
        <w:t>. The U.S. Borrower, agrees to pay, in Dollars in immediately available funds, (i) to each Revolving Lender a commitment fee (a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on the Dollar Equivalent of the actual daily amount by which the Revolving Commitment of such Revolving Lender under the applicable Revolving Facility exceeds such Revolving Lender’s (A) outstanding principal amount of Revolving Loans under such Revolving Facility and (B) LC Exposure under such Revolving Facility, in each case, from the date hereof through the Revolving Credit Termination Date for such Revolving Facility at the Applicable Rate, payable in arrears (x) for the preceding calendar quarter, no later than the fifteenth day of each calendar quarter, commencing on the first such Business Day following the Closing Date and (y) on the Revolving Credit Termination Date for such Revolving Facility.</w:t>
      </w:r>
    </w:p>
    <w:p>
      <w:pPr>
        <w:spacing w:after="0" w:line="179" w:lineRule="exact"/>
        <w:rPr>
          <w:rFonts w:ascii="Times New Roman" w:cs="Times New Roman" w:eastAsia="Times New Roman" w:hAnsi="Times New Roman"/>
          <w:sz w:val="20"/>
          <w:szCs w:val="20"/>
          <w:color w:val="auto"/>
        </w:rPr>
      </w:pPr>
    </w:p>
    <w:p>
      <w:pPr>
        <w:ind w:right="860" w:firstLine="1304"/>
        <w:spacing w:after="0" w:line="283" w:lineRule="auto"/>
        <w:tabs>
          <w:tab w:leader="none" w:pos="1932"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Each Borrower agrees to pay, in immediately available funds, the following amounts denominated in Dollars with respect to Letters of Credit issued by any Issuing Bank at the request of such Borrower:</w:t>
      </w:r>
    </w:p>
    <w:p>
      <w:pPr>
        <w:spacing w:after="0" w:line="146" w:lineRule="exact"/>
        <w:rPr>
          <w:sz w:val="20"/>
          <w:szCs w:val="20"/>
          <w:color w:val="auto"/>
        </w:rPr>
      </w:pPr>
    </w:p>
    <w:p>
      <w:pPr>
        <w:ind w:left="1560"/>
        <w:spacing w:after="0"/>
        <w:tabs>
          <w:tab w:leader="none" w:pos="192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19"/>
          <w:szCs w:val="19"/>
          <w:color w:val="auto"/>
        </w:rPr>
        <w:t>to each Issuing Bank with respect to each Letter of Credit issued by such Issuing Bank, an issuance fee equal to</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0.125% </w:t>
      </w:r>
      <w:r>
        <w:rPr>
          <w:rFonts w:ascii="Times New Roman" w:cs="Times New Roman" w:eastAsia="Times New Roman" w:hAnsi="Times New Roman"/>
          <w:sz w:val="19"/>
          <w:szCs w:val="19"/>
          <w:u w:val="single" w:color="auto"/>
          <w:color w:val="auto"/>
        </w:rPr>
        <w:t>per annum</w:t>
      </w:r>
      <w:r>
        <w:rPr>
          <w:rFonts w:ascii="Times New Roman" w:cs="Times New Roman" w:eastAsia="Times New Roman" w:hAnsi="Times New Roman"/>
          <w:sz w:val="19"/>
          <w:szCs w:val="19"/>
          <w:color w:val="auto"/>
        </w:rPr>
        <w:t xml:space="preserve"> of the Dollar Equivalent of the maximum undrawn amount of such Letter of Credit, payable in arrears (A) for the</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preceding calendar quarter, no later than the fifteenth day of each calendar quarter, commencing on the first such Business Day</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following the issuance of such Letter of Credit and (B) on the Revolving Credit Termination Date for the Revolving Facility under</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which such Letter of Credit was issued;</w:t>
      </w:r>
    </w:p>
    <w:p>
      <w:pPr>
        <w:spacing w:after="0" w:line="200" w:lineRule="exact"/>
        <w:rPr>
          <w:sz w:val="20"/>
          <w:szCs w:val="20"/>
          <w:color w:val="auto"/>
        </w:rPr>
      </w:pPr>
    </w:p>
    <w:p>
      <w:pPr>
        <w:jc w:val="both"/>
        <w:ind w:left="660" w:right="180" w:firstLine="903"/>
        <w:spacing w:after="0" w:line="268" w:lineRule="auto"/>
        <w:tabs>
          <w:tab w:leader="none" w:pos="19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Agent for the ratable benefit of the Revolving Lenders under any Revolving Facility under which a Letter of Credit was issued, a fee (a “</w:t>
      </w:r>
      <w:r>
        <w:rPr>
          <w:rFonts w:ascii="Times New Roman" w:cs="Times New Roman" w:eastAsia="Times New Roman" w:hAnsi="Times New Roman"/>
          <w:sz w:val="20"/>
          <w:szCs w:val="20"/>
          <w:u w:val="single" w:color="auto"/>
          <w:color w:val="auto"/>
        </w:rPr>
        <w:t>Revolving LC Fee</w:t>
      </w:r>
      <w:r>
        <w:rPr>
          <w:rFonts w:ascii="Times New Roman" w:cs="Times New Roman" w:eastAsia="Times New Roman" w:hAnsi="Times New Roman"/>
          <w:sz w:val="20"/>
          <w:szCs w:val="20"/>
          <w:color w:val="auto"/>
        </w:rPr>
        <w:t xml:space="preserve">”) accruing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Applicable Rate for each Letter of Credit calculated on the Dollar Equivalent of the maximum undrawn face amount of such Letter of Credit, payable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44" w:name="page245"/>
    <w:bookmarkEnd w:id="244"/>
    <w:p>
      <w:pPr>
        <w:ind w:left="660" w:right="180"/>
        <w:spacing w:after="0" w:line="261" w:lineRule="auto"/>
        <w:rPr>
          <w:sz w:val="20"/>
          <w:szCs w:val="20"/>
          <w:color w:val="auto"/>
        </w:rPr>
      </w:pPr>
      <w:r>
        <w:rPr>
          <w:rFonts w:ascii="Times New Roman" w:cs="Times New Roman" w:eastAsia="Times New Roman" w:hAnsi="Times New Roman"/>
          <w:sz w:val="20"/>
          <w:szCs w:val="20"/>
          <w:color w:val="auto"/>
        </w:rPr>
        <w:t>arrears (A) no later than the tenth Business Day of each calendar quarter, commencing on the first such Business Day following the issuance of such Letter of Credit and (B) on the Revolving Credit Termination Date for the Revolving Facility under which such Letter of Credit was issued; and</w:t>
      </w:r>
    </w:p>
    <w:p>
      <w:pPr>
        <w:spacing w:after="0" w:line="181" w:lineRule="exact"/>
        <w:rPr>
          <w:sz w:val="20"/>
          <w:szCs w:val="20"/>
          <w:color w:val="auto"/>
        </w:rPr>
      </w:pPr>
    </w:p>
    <w:p>
      <w:pPr>
        <w:jc w:val="both"/>
        <w:ind w:left="660" w:right="120" w:firstLine="903"/>
        <w:spacing w:after="0" w:line="258" w:lineRule="auto"/>
        <w:tabs>
          <w:tab w:leader="none" w:pos="1945"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each Issuing Bank with respect to any Letter of Credit issued by it, with respect to the issuance, amendment or transfer of each Letter of Credit and each drawing made thereunder, documentary and processing charges in accordance with such Issuing Bank’s standard schedule for such charges in effect at the time of issuance, amendment, transfer or drawing, as the case may be.</w:t>
      </w:r>
    </w:p>
    <w:p>
      <w:pPr>
        <w:spacing w:after="0" w:line="172" w:lineRule="exact"/>
        <w:rPr>
          <w:rFonts w:ascii="Times New Roman" w:cs="Times New Roman" w:eastAsia="Times New Roman" w:hAnsi="Times New Roman"/>
          <w:sz w:val="20"/>
          <w:szCs w:val="20"/>
          <w:color w:val="auto"/>
        </w:rPr>
      </w:pPr>
    </w:p>
    <w:p>
      <w:pPr>
        <w:ind w:right="240" w:firstLine="1304"/>
        <w:spacing w:after="0" w:line="283" w:lineRule="auto"/>
        <w:tabs>
          <w:tab w:leader="none" w:pos="193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Fees</w:t>
      </w:r>
      <w:r>
        <w:rPr>
          <w:rFonts w:ascii="Times New Roman" w:cs="Times New Roman" w:eastAsia="Times New Roman" w:hAnsi="Times New Roman"/>
          <w:sz w:val="20"/>
          <w:szCs w:val="20"/>
          <w:color w:val="auto"/>
        </w:rPr>
        <w:t>. The U.S. Borrower shall pay to the Agent additional fees as have been separately agreed between the U.S. Borrower and the Agent.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II.11 </w:t>
      </w:r>
      <w:r>
        <w:rPr>
          <w:rFonts w:ascii="Times New Roman" w:cs="Times New Roman" w:eastAsia="Times New Roman" w:hAnsi="Times New Roman"/>
          <w:sz w:val="20"/>
          <w:szCs w:val="20"/>
          <w:u w:val="single" w:color="auto"/>
          <w:color w:val="auto"/>
        </w:rPr>
        <w:t>Interest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1940" w:hanging="636"/>
        <w:spacing w:after="0"/>
        <w:tabs>
          <w:tab w:leader="none" w:pos="194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Rate of Interest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100" w:firstLine="1563"/>
        <w:spacing w:after="0" w:line="258" w:lineRule="auto"/>
        <w:tabs>
          <w:tab w:leader="none" w:pos="1931"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in this Agreement at the option of the applicable Borrower, (A) all Loans denominated in Dollars shall be made as Base Rate Loans or Term Benchmark Loans, (B) all Loans denominated in Canadian Dollars shall be made as Canadian Base Rate Loans or Term CORRA Rate Loans, (C) all Loans denominated in Euros shall be made as Eurocurrency Rate Loans and (D) all Loans denominated in Sterling shall be made as SONIA Rate Loans.</w:t>
      </w:r>
    </w:p>
    <w:p>
      <w:pPr>
        <w:spacing w:after="0" w:line="185" w:lineRule="exact"/>
        <w:rPr>
          <w:rFonts w:ascii="Times New Roman" w:cs="Times New Roman" w:eastAsia="Times New Roman" w:hAnsi="Times New Roman"/>
          <w:sz w:val="20"/>
          <w:szCs w:val="20"/>
          <w:color w:val="auto"/>
        </w:rPr>
      </w:pPr>
    </w:p>
    <w:p>
      <w:pPr>
        <w:ind w:right="680" w:firstLine="1563"/>
        <w:spacing w:after="0" w:line="269" w:lineRule="auto"/>
        <w:tabs>
          <w:tab w:leader="none" w:pos="1932"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Loans shall bear interest on the unpaid principal amount thereof which shall accrue and be payable in the currency in which such Loan is denominated from the date such Loans are made as follows:</w:t>
      </w:r>
    </w:p>
    <w:p>
      <w:pPr>
        <w:spacing w:after="0" w:line="173" w:lineRule="exact"/>
        <w:rPr>
          <w:sz w:val="20"/>
          <w:szCs w:val="20"/>
          <w:color w:val="auto"/>
        </w:rPr>
      </w:pPr>
    </w:p>
    <w:p>
      <w:pPr>
        <w:ind w:left="660" w:right="160" w:firstLine="644"/>
        <w:spacing w:after="0" w:line="269" w:lineRule="auto"/>
        <w:tabs>
          <w:tab w:leader="none" w:pos="1947"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Base Rate Loan,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sum of (1) the Base Rate as in effect from time to time and (2) the Applicable Rate in effect from time to time;</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95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Canadian Base Rate Loan,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sum of (1) the Canadian Base Rate in effect from time to time and (2) the Applicable Rate in effect from time to time;</w:t>
      </w:r>
    </w:p>
    <w:p>
      <w:pPr>
        <w:spacing w:after="0" w:line="172" w:lineRule="exact"/>
        <w:rPr>
          <w:rFonts w:ascii="Times New Roman" w:cs="Times New Roman" w:eastAsia="Times New Roman" w:hAnsi="Times New Roman"/>
          <w:sz w:val="20"/>
          <w:szCs w:val="20"/>
          <w:color w:val="auto"/>
        </w:rPr>
      </w:pPr>
    </w:p>
    <w:p>
      <w:pPr>
        <w:ind w:left="660" w:right="540" w:firstLine="644"/>
        <w:spacing w:after="0" w:line="261" w:lineRule="auto"/>
        <w:tabs>
          <w:tab w:leader="none" w:pos="195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Eurocurrency Rate Loan,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sum of (A) the applicable Eurocurrency Rate determined for the applicable Eurocurrency Interest Period and (B) the Applicable Rate in effect from time to time during such Eurocurrency Interest Period;</w:t>
      </w:r>
    </w:p>
    <w:p>
      <w:pPr>
        <w:spacing w:after="0" w:line="181" w:lineRule="exact"/>
        <w:rPr>
          <w:rFonts w:ascii="Times New Roman" w:cs="Times New Roman" w:eastAsia="Times New Roman" w:hAnsi="Times New Roman"/>
          <w:sz w:val="20"/>
          <w:szCs w:val="20"/>
          <w:color w:val="auto"/>
        </w:rPr>
      </w:pPr>
    </w:p>
    <w:p>
      <w:pPr>
        <w:ind w:left="660" w:right="60" w:firstLine="644"/>
        <w:spacing w:after="0" w:line="261" w:lineRule="auto"/>
        <w:tabs>
          <w:tab w:leader="none" w:pos="1947"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Term CORRA Rate Loan,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sum of (A) the Term CORRA Rate determined for the applicable Term CORRA Interest Period and (B) the Applicable Rate in effect from time to time during such Term CORRA Interest Period;</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SONIA Rate Loan,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sum of (A) the SONIA Rate in effect from time to time and</w:t>
      </w:r>
    </w:p>
    <w:p>
      <w:pPr>
        <w:spacing w:after="0" w:line="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Rate in effect from time to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45" w:name="page246"/>
    <w:bookmarkEnd w:id="245"/>
    <w:p>
      <w:pPr>
        <w:ind w:left="660" w:firstLine="644"/>
        <w:spacing w:after="0" w:line="261" w:lineRule="auto"/>
        <w:tabs>
          <w:tab w:leader="none" w:pos="195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Term Benchmark Loan, at a rate per annum equal to the sum of (A) Adjusted Term SOFR Rate determined for the applicable Term Benchmark Interest Period and (B) the Applicable Rate in effect from time to time during such Term Benchmark Interest Period.</w:t>
      </w:r>
    </w:p>
    <w:p>
      <w:pPr>
        <w:spacing w:after="0" w:line="181" w:lineRule="exact"/>
        <w:rPr>
          <w:sz w:val="20"/>
          <w:szCs w:val="20"/>
          <w:color w:val="auto"/>
        </w:rPr>
      </w:pPr>
    </w:p>
    <w:p>
      <w:pPr>
        <w:ind w:right="20" w:firstLine="1304"/>
        <w:spacing w:after="0" w:line="264" w:lineRule="auto"/>
        <w:tabs>
          <w:tab w:leader="none" w:pos="1932"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Payments</w:t>
      </w:r>
      <w:r>
        <w:rPr>
          <w:rFonts w:ascii="Times New Roman" w:cs="Times New Roman" w:eastAsia="Times New Roman" w:hAnsi="Times New Roman"/>
          <w:sz w:val="19"/>
          <w:szCs w:val="19"/>
          <w:color w:val="auto"/>
        </w:rPr>
        <w:t>. (i) Interest accrued on each Base Rate Loan or Canadian Base Rate Loan shall be payable in arrears (A) for the preceding calendar quarter, no later than the fourth Business Day of each calendar quarter, commencing on the first such day following the making of such Base Rate Loan or Canadian Base Rate Loan, (B) in the case of Base Rate Loans that are Term Loans, upon the payment or prepayment thereof in full or in part and (C) if not previously paid in full, at maturity (whether by acceleration or otherwise) of such Base Rate Loan or Canadian Base Rate Loan, (ii) interest accrued on each Eurocurrency Rate Loan, each Term Benchmark Loan, and each Term CORRA Rate Loan shall be payable in arrears (A) on the last day of each Interest Period applicable to such Loan and, if such Interest Period has a duration of more than three months, on each date during such Interest Period occurring every three months from the first day of such Interest Period, (B) upon the payment or prepayment thereof in full or in part and (C) if not previously paid in full, at maturity (whether by acceleration or otherwise) of such Eurocurrency Rate Loan, Term Benchmark Loan or Term CORRA Rate Loan, as the case may be, (iii) interest accrued on each SONIA Rate Loan shall be payable in arrears (A) on the last day of SONIA Interest Period applicable to such Loan, (B) upon the payment or prepayment thereof in full or in part and (C) if not previously paid in full, at maturity (whether by acceleration or otherwise) of such SONIA Rate Loan and (iv) interest accrued on the amount of all other Obligations shall be payable on demand from and after the time such Obligation becomes due and payable (whether by acceleration or otherwise).</w:t>
      </w:r>
    </w:p>
    <w:p>
      <w:pPr>
        <w:spacing w:after="0" w:line="183" w:lineRule="exact"/>
        <w:rPr>
          <w:rFonts w:ascii="Times New Roman" w:cs="Times New Roman" w:eastAsia="Times New Roman" w:hAnsi="Times New Roman"/>
          <w:sz w:val="19"/>
          <w:szCs w:val="19"/>
          <w:color w:val="auto"/>
        </w:rPr>
      </w:pPr>
    </w:p>
    <w:p>
      <w:pPr>
        <w:ind w:right="20" w:firstLine="1304"/>
        <w:spacing w:after="0" w:line="251" w:lineRule="auto"/>
        <w:tabs>
          <w:tab w:leader="none" w:pos="193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Interest</w:t>
      </w:r>
      <w:r>
        <w:rPr>
          <w:rFonts w:ascii="Times New Roman" w:cs="Times New Roman" w:eastAsia="Times New Roman" w:hAnsi="Times New Roman"/>
          <w:sz w:val="20"/>
          <w:szCs w:val="20"/>
          <w:color w:val="auto"/>
        </w:rPr>
        <w:t xml:space="preserve">. If all or a portion of (i) the principal amount of any Loan or any LC Disbursement or (ii) any interest payable thereon, Commitment Fees or LC Fees shall not be paid when due (whether at the stated maturity, by acceleration or otherwise), such overdue amount shall bear interest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that is (x) in the case of overdue principal, the rate that would otherwise be applicable thereto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(y) in the case of any LC Disbursement, at the rate applicable under Section 2.04(h)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and (z) in the case of any overdue interest, Commitment Fees or LC Fees, to the extent permitted by applicable law, the rate described in Section 2.10 or Section 2.11(a), as applicable,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from and including the date of such non-payment to but excluding the date on which such amount is paid in full (after as well as before judgment).</w:t>
      </w:r>
    </w:p>
    <w:p>
      <w:pPr>
        <w:spacing w:after="0" w:line="19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Criminal Interest Rate/Interest Act (Canada)</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120" w:firstLine="1563"/>
        <w:spacing w:after="0" w:line="253" w:lineRule="auto"/>
        <w:tabs>
          <w:tab w:leader="none" w:pos="1931"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Interest Act (Canada), whenever any interest is calculated on the basis of a period of time other than a year of 365 or 366 days, as applicable, the annual rate of interest to which each rate of interest utilized pursuant to such calculation is equivalent to such rate so utilized multiplied by the actual number of days in the calendar year in which the same is to be ascertained and divided by the number of days used in such calculation. The principle of deemed reinvestment of interest will not apply to any interest calculation under the Loan Documents, and the rates of interest stipulated in this Agreement are intended to be nominal rates and not effective rates or yields.</w:t>
      </w:r>
    </w:p>
    <w:p>
      <w:pPr>
        <w:spacing w:after="0" w:line="192" w:lineRule="exact"/>
        <w:rPr>
          <w:rFonts w:ascii="Times New Roman" w:cs="Times New Roman" w:eastAsia="Times New Roman" w:hAnsi="Times New Roman"/>
          <w:sz w:val="20"/>
          <w:szCs w:val="20"/>
          <w:color w:val="auto"/>
        </w:rPr>
      </w:pPr>
    </w:p>
    <w:p>
      <w:pPr>
        <w:ind w:right="120" w:firstLine="1563"/>
        <w:spacing w:after="0" w:line="253" w:lineRule="auto"/>
        <w:tabs>
          <w:tab w:leader="none" w:pos="1932"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this Agreement or any of the other Loan Documents would obligate the Canadian Borrower to make any payment of interest or other amount payable to any Lender under any Loan Documents in an amount or calculated at a rate which would be prohibited by law or would result in a receipt by that Lender of interest at a criminal rate (as construed under the Criminal Code (Canada)), then notwithstanding that provision, that amount or rate shall be deemed to have been adjusted with retroactive effect to the maximum amount or rate of interest, as the case may be, as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46" w:name="page247"/>
    <w:bookmarkEnd w:id="246"/>
    <w:p>
      <w:pPr>
        <w:ind w:right="520"/>
        <w:spacing w:after="0" w:line="258" w:lineRule="auto"/>
        <w:rPr>
          <w:sz w:val="20"/>
          <w:szCs w:val="20"/>
          <w:color w:val="auto"/>
        </w:rPr>
      </w:pPr>
      <w:r>
        <w:rPr>
          <w:rFonts w:ascii="Times New Roman" w:cs="Times New Roman" w:eastAsia="Times New Roman" w:hAnsi="Times New Roman"/>
          <w:sz w:val="20"/>
          <w:szCs w:val="20"/>
          <w:color w:val="auto"/>
        </w:rPr>
        <w:t xml:space="preserve">not be so prohibited by law or result in a receipt by that Lender of interest at a criminal rate, the adjustment to be effected, to the extent necessary, (A)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by reducing the amount or rate of interest required to be paid to the affected Lender under this Section 2.11 and (B) thereafter, by reducing any fees, commissions, premiums and other amounts required to be paid to the affected Lender which would constitute interest for purposes of Section 347 of the Criminal Code (Canada).</w:t>
      </w:r>
    </w:p>
    <w:p>
      <w:pPr>
        <w:spacing w:after="0" w:line="172" w:lineRule="exact"/>
        <w:rPr>
          <w:sz w:val="20"/>
          <w:szCs w:val="20"/>
          <w:color w:val="auto"/>
        </w:rPr>
      </w:pPr>
    </w:p>
    <w:p>
      <w:pPr>
        <w:ind w:right="100" w:firstLine="1563"/>
        <w:spacing w:after="0" w:line="258" w:lineRule="auto"/>
        <w:tabs>
          <w:tab w:leader="none" w:pos="193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clause (d)(ii), and after giving effect to all adjustments contemplated thereby, if any Lender shall have received an amount in excess of the maximum permitted by the Criminal Code (Canada), then the Canadian Borrower shall be entitled, by notice in writing to the affected Lender, to obtain reimbursement from that Lender in an amount equal to the excess, and pending reimbursement, the amount of the excess shall be deemed to be an amount payable by that Lender to the Canadian Borrower.</w:t>
      </w:r>
    </w:p>
    <w:p>
      <w:pPr>
        <w:spacing w:after="0" w:line="185" w:lineRule="exact"/>
        <w:rPr>
          <w:rFonts w:ascii="Times New Roman" w:cs="Times New Roman" w:eastAsia="Times New Roman" w:hAnsi="Times New Roman"/>
          <w:sz w:val="20"/>
          <w:szCs w:val="20"/>
          <w:color w:val="auto"/>
        </w:rPr>
      </w:pPr>
    </w:p>
    <w:p>
      <w:pPr>
        <w:ind w:firstLine="1563"/>
        <w:spacing w:after="0" w:line="253" w:lineRule="auto"/>
        <w:tabs>
          <w:tab w:leader="none" w:pos="193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or rate of interest referred to in this Section 2.11(d) shall be determined in accordance with generally accepted actuarial practices and principles as an effective annual rate of interest over the term of the Agreement on the assumption that any charges, fees or expenses that fall within the meaning of interest (as defined in the Criminal Code (Canada)) shall be prorated over that period of time and, in the event of a dispute, a certificate of a Fellow of the Canadian Institute of Actuaries appointed by the Agent shall be conclusive for the purposes of that determination.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II.12 </w:t>
      </w:r>
      <w:r>
        <w:rPr>
          <w:rFonts w:ascii="Times New Roman" w:cs="Times New Roman" w:eastAsia="Times New Roman" w:hAnsi="Times New Roman"/>
          <w:sz w:val="20"/>
          <w:szCs w:val="20"/>
          <w:u w:val="single" w:color="auto"/>
          <w:color w:val="auto"/>
        </w:rPr>
        <w:t>Conversion/Continuation Options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60" w:firstLine="1304"/>
        <w:spacing w:after="0" w:line="250" w:lineRule="auto"/>
        <w:tabs>
          <w:tab w:leader="none" w:pos="193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Each Borrower may elect (x) at any time on any Business Day to convert Base Rate Loans or any portion thereof to Term Benchmark Loans or (y) at the end of any Term Benchmark Interest Period applicable to a Term Benchmark Loan, to convert such Loan into a Base Rate Loan, (ii) the U.S. Borrower or the Canadian Borrower may elect (x) at any time on any Business Day to convert Canadian Base Rate Loans to Term CORRA Rate Loans or (y) at the end of any Term CORRA Interest Period, to convert Term CORRA Rate Loans to Canadian Base Rate Loans, (iii) each applicable Borrower may elect at the end of any applicable Interest Period, to continue Eurocurrency Rate Loans, Term Benchmark Loans, Term CORRA Rate Loans or SONIA Rate Loans or any portion thereof for an additional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case of clauses (i) and (ii) above the aggregate amount of the Eurocurrency Rate Loans, Term Benchmark Loans, Term CORRA Rate Loans or SONIA Rate Loans, as the case may be, for each Interest Period shall not be less than the Minimum Currency Threshold. Each conversion or continuation shall be allocated among the Loans of each Lender in accordance with such Lender’s Ratable Portion. Each such election shall be in substantially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and shall be made by giving the Agent prior written notice by 12:00 noon (New York City time) at least three Business Days in advance (or, in the case of any SONIA Rate Loans, 1:00 p.m. (London time) at least five Business Days in advance) specifying (A) the amount and type of Loan being converted or continued, (B) in the case of a conversion to or a continuation of Eurocurrency Rate Loans, Term Benchmark Loan or Term CORRA Rate Loans, the applicable Interest Period and (C) in the case of a conversion, the date of such conversion.</w:t>
      </w:r>
    </w:p>
    <w:p>
      <w:pPr>
        <w:spacing w:after="0" w:line="183" w:lineRule="exact"/>
        <w:rPr>
          <w:rFonts w:ascii="Times New Roman" w:cs="Times New Roman" w:eastAsia="Times New Roman" w:hAnsi="Times New Roman"/>
          <w:sz w:val="20"/>
          <w:szCs w:val="20"/>
          <w:color w:val="auto"/>
        </w:rPr>
      </w:pPr>
    </w:p>
    <w:p>
      <w:pPr>
        <w:ind w:right="60" w:firstLine="1304"/>
        <w:spacing w:after="0" w:line="257" w:lineRule="auto"/>
        <w:tabs>
          <w:tab w:leader="none" w:pos="1932"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promptly notify each applicable Lender of its receipt of an Interest Election Request and of the options selected therein. Notwithstanding the foregoing, (i) Loans denominated in any currency other than Dollars may not be converted to Base Rate Loans, (ii) Loans denominated in any currency other than Canadian Dollars may not be converted to Canadian Base Rate Loans or Term CORRA Rate Loans, (iii) Loans denominated in Canadian Dollars may not be converted into Eurocurrency Rate Loans, (iv) no (A) conversion in whole or in part of Base Rate Loans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47" w:name="page248"/>
    <w:bookmarkEnd w:id="247"/>
    <w:p>
      <w:pPr>
        <w:spacing w:after="0" w:line="250" w:lineRule="auto"/>
        <w:rPr>
          <w:sz w:val="20"/>
          <w:szCs w:val="20"/>
          <w:color w:val="auto"/>
        </w:rPr>
      </w:pPr>
      <w:r>
        <w:rPr>
          <w:rFonts w:ascii="Times New Roman" w:cs="Times New Roman" w:eastAsia="Times New Roman" w:hAnsi="Times New Roman"/>
          <w:sz w:val="20"/>
          <w:szCs w:val="20"/>
          <w:color w:val="auto"/>
        </w:rPr>
        <w:t>Eurocurrency Rate Loans or Term Benchmark Loans or Canadian Base Rate Loans to Term CORRA Rate Loans, (B) continuation in whole or in part of Term Benchmark Loans or Term CORRA Rate Loans upon the expiration of any applicable Interest Period or (C) continuation of any Eurocurrency Rate Loan for a Eurocurrency Interest Period of other than one month’s duration, in each case, shall be permitted at any time at which (I) an Event of Default shall have occurred and be continuing and the Agent or the Required Lenders shall have determined not to permit such continuation or conversion or (II) the continuation of, or conversion into, a Eurocurrency Rate Loan, Term Benchmark Loan or Term CORRA Rate Loans would violate any provision of Section 2.14(b) and (v) no continuation or conversion of SONIA Rate Loans shall be permitted that would violate any provision of Section 2.14(b). If, within the time period required under the terms of this Section 2.12, the Agent does not receive an Interest Election Request from the applicable Borrower containing a permitted election to continue any Eurocurrency Rate Loans, Term Benchmark Loan, Term CORRA Rate Loans or SONIA Rate Loans for an additional Interest Period or to convert any such Loans, then, upon the expiration of the applicable Interest Period, Loans denominated in Dollars shall be automatically converted into Base Rate Loans, Loans denominated in Canadian Dollars shall be automatically converted into Canadian Base Rate Loans and Loans denominated in any currency other than Dollars or Canadian Dollars shall be automatically continued as Eurocurrency Rate Loans or SONIA Rate Loans, as applicable, with a Eurocurrency Interest Period or SONIA Interest Period, as applicable, of one month. Each Interest Election Request shall be irrevocable.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II.13 </w:t>
      </w:r>
      <w:r>
        <w:rPr>
          <w:rFonts w:ascii="Times New Roman" w:cs="Times New Roman" w:eastAsia="Times New Roman" w:hAnsi="Times New Roman"/>
          <w:sz w:val="20"/>
          <w:szCs w:val="20"/>
          <w:u w:val="single" w:color="auto"/>
          <w:color w:val="auto"/>
        </w:rPr>
        <w:t>Payments and Computations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40" w:firstLine="1304"/>
        <w:spacing w:after="0" w:line="249" w:lineRule="auto"/>
        <w:tabs>
          <w:tab w:leader="none" w:pos="193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shall make each payment hereunder (including fees and expenses) not later than (x) 1:00 p.m. (London time) in the case of Loans denominated in Euro or Sterling or (y) 1:00 p.m. (New York City time) in the case of Loans denominated in any other currency, in each case on the day when due, in the currency specified herein (or, if no such currency is specified, in Dollars), except as specified in the following sentence, to the Agent at the Agent’s Office for payments in such currency in immediately available funds without setoff or counterclaim. The Agent shall promptly thereafter cause to be distributed immediately available funds relating to the payment of principal, interest or fees to the Applicable Lending Offices of the applicable Lenders for such payments ratably in accordance with the amount of such principal, interest or fees due and owing to such Lenders on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(x) amounts payable pursuant to Section 2.14 or Section 2.15 shall be paid only to the affected Issuing Bank, Lender or Lenders and (y) amounts payable to the Issuing Banks in accordance with Section 2.10 shall be paid directly to such Issuing Banks. Payments received by the Agent after (x) 1:00 p.m. (London time) in the case of Loans denominated in Euro or Sterling or (y) 1:00 p.m. (New York City time) in the case of Loans denominated in any other currency, shall, at the option of the Agent, be deemed to be received on the next Business Day.</w:t>
      </w:r>
    </w:p>
    <w:p>
      <w:pPr>
        <w:spacing w:after="0" w:line="196" w:lineRule="exact"/>
        <w:rPr>
          <w:rFonts w:ascii="Times New Roman" w:cs="Times New Roman" w:eastAsia="Times New Roman" w:hAnsi="Times New Roman"/>
          <w:sz w:val="20"/>
          <w:szCs w:val="20"/>
          <w:color w:val="auto"/>
        </w:rPr>
      </w:pPr>
    </w:p>
    <w:p>
      <w:pPr>
        <w:ind w:firstLine="1304"/>
        <w:spacing w:after="0" w:line="253" w:lineRule="auto"/>
        <w:tabs>
          <w:tab w:leader="none" w:pos="1932"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computations of interest and of fees shall be made by the Agent on the basis of a year of 360 days (other than computations of interest (i) for Base Rate Loans calculated by reference to the Prime Rate, Canadian Base Rate Loans and Loans denominated in Sterling which shall be made by the Agent on the basis of a year of 365 or 366 days, as the case may be, and (ii) for Term CORRA Rate Loans which shall be made by the Agent on the basis of a year of 365 days), in each case, for the actual number of days (including the first day but excluding the last day) occurring in the period for which such interest and fees are payable. Each determination by the Agent of a rate of interest hereunder shall be conclusive and binding for all purposes, absent manifest error.</w:t>
      </w:r>
    </w:p>
    <w:p>
      <w:pPr>
        <w:spacing w:after="0" w:line="192" w:lineRule="exact"/>
        <w:rPr>
          <w:rFonts w:ascii="Times New Roman" w:cs="Times New Roman" w:eastAsia="Times New Roman" w:hAnsi="Times New Roman"/>
          <w:sz w:val="20"/>
          <w:szCs w:val="20"/>
          <w:color w:val="auto"/>
        </w:rPr>
      </w:pPr>
    </w:p>
    <w:p>
      <w:pPr>
        <w:ind w:right="180" w:firstLine="1304"/>
        <w:spacing w:after="0" w:line="269" w:lineRule="auto"/>
        <w:tabs>
          <w:tab w:leader="none" w:pos="193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each payment by a Borrower with respect to any Loan or Letter of Credit and each reimbursement of reimbursable expenses or indemnified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20"/>
          <w:szCs w:val="20"/>
          <w:color w:val="auto"/>
        </w:rPr>
        <w:t>shall be made in the currency in which such Loan was made, such Letter of Credit issued or such expense or liability was incurred.</w:t>
      </w:r>
    </w:p>
    <w:p>
      <w:pPr>
        <w:spacing w:after="0" w:line="229" w:lineRule="exact"/>
        <w:rPr>
          <w:sz w:val="20"/>
          <w:szCs w:val="20"/>
          <w:color w:val="auto"/>
        </w:rPr>
      </w:pPr>
    </w:p>
    <w:p>
      <w:pPr>
        <w:ind w:right="20" w:firstLine="1304"/>
        <w:spacing w:after="0" w:line="266" w:lineRule="auto"/>
        <w:tabs>
          <w:tab w:leader="none" w:pos="1932"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Whenever any payment hereunder shall be stated to be due on a day other than a Business Day, the due date for such payment shall be extended to the next succeeding Business Day, and such extension of time shall in such case be included in the computation of payment of interest or fees,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such extension would cause payment of interest on or principal of any Eurocurrency Rate Loan or Term Benchmark Loan to be made in the next calendar month, such payment shall be made on the immediately preceding Business Day. All repayments of any Revolving Loans or Term Loans that are denominated in Dollars or Canadian Dollars shall be applied as follows: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repay such Loans outstanding as Base Rate Loans or Canadian Base Rate Loans, as applicable,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to repay such Loans outstanding as Term Benchmark Loans or Term CORRA Rate Loans, with those Term Benchmark Loans or Term CORRA Rate Loans having earlier expiring Interest Periods being repaid prior to those having later expiring Interest Periods.</w:t>
      </w:r>
    </w:p>
    <w:p>
      <w:pPr>
        <w:spacing w:after="0" w:line="168" w:lineRule="exact"/>
        <w:rPr>
          <w:rFonts w:ascii="Times New Roman" w:cs="Times New Roman" w:eastAsia="Times New Roman" w:hAnsi="Times New Roman"/>
          <w:sz w:val="19"/>
          <w:szCs w:val="19"/>
          <w:color w:val="auto"/>
        </w:rPr>
      </w:pPr>
    </w:p>
    <w:p>
      <w:pPr>
        <w:ind w:right="140" w:firstLine="1304"/>
        <w:spacing w:after="0" w:line="269" w:lineRule="auto"/>
        <w:tabs>
          <w:tab w:leader="none" w:pos="1934"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Agent shall have received notice from any Borrower to the Lenders prior to the date on which any payment is due hereunder that such Borrower will not make such payment in full, the Agent may assume that such Borrower has made such payment in full to the Agent on such date and the Agent may, in reliance upon such assumption, cause to be distributed to each applicable Lender on such due date an amount equal to the amount then due such Lender. If and to the extent that such Borrower shall not have made such payment in full to the Agent, each applicable Lender shall repay to the Agent forthwith on demand such amount distributed to such Lender together with interest thereon (at the Interbank Rate for the first Business Day, and, thereafter, at the rate applicable to Base Rate Loans) for each day from the date such amount is distributed to such Lender until the date such Lender repays such amount to the Agent.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II.14 </w:t>
      </w:r>
      <w:r>
        <w:rPr>
          <w:rFonts w:ascii="Times New Roman" w:cs="Times New Roman" w:eastAsia="Times New Roman" w:hAnsi="Times New Roman"/>
          <w:sz w:val="20"/>
          <w:szCs w:val="20"/>
          <w:u w:val="single" w:color="auto"/>
          <w:color w:val="auto"/>
        </w:rPr>
        <w:t>Increased Costs; Change of Law, Etc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ind w:right="100" w:firstLine="1304"/>
        <w:spacing w:after="0" w:line="270" w:lineRule="auto"/>
        <w:tabs>
          <w:tab w:leader="none" w:pos="1934"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Determination of Interest Rate</w:t>
      </w:r>
      <w:r>
        <w:rPr>
          <w:rFonts w:ascii="Times New Roman" w:cs="Times New Roman" w:eastAsia="Times New Roman" w:hAnsi="Times New Roman"/>
          <w:sz w:val="19"/>
          <w:szCs w:val="19"/>
          <w:color w:val="auto"/>
        </w:rPr>
        <w:t>. Each of the (i) Eurocurrency Rate for each Eurocurrency Interest Period for Eurocurrency Rate Loans, (ii) the Term CORRA Rate for each Term CORRA Interest Period for Term CORRA Rate Loans, (iii) the SONIA Rate on any date, and (iv) the Adjusted Term SOFR Rate for each Term Benchmark Interest Period for Term Benchmark Loans shall be determined by the Agent pursuant to the procedures set forth in the definition of “Eurocurrency Rate” (and as may be further set forth in the definitions of “EURIBOR Rate,” if applicable), “Term CORRA Rate”, “SONIA Rate,” or “Adjusted Term SOFR Rate” as applicable.</w:t>
      </w:r>
    </w:p>
    <w:p>
      <w:pPr>
        <w:spacing w:after="0" w:line="175" w:lineRule="exact"/>
        <w:rPr>
          <w:rFonts w:ascii="Times New Roman" w:cs="Times New Roman" w:eastAsia="Times New Roman" w:hAnsi="Times New Roman"/>
          <w:sz w:val="19"/>
          <w:szCs w:val="19"/>
          <w:color w:val="auto"/>
        </w:rPr>
      </w:pPr>
    </w:p>
    <w:p>
      <w:pPr>
        <w:ind w:firstLine="1304"/>
        <w:spacing w:after="0" w:line="266" w:lineRule="auto"/>
        <w:tabs>
          <w:tab w:leader="none" w:pos="1932"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Rate Unascertainable, Inadequate or Unfair</w:t>
      </w:r>
      <w:r>
        <w:rPr>
          <w:rFonts w:ascii="Times New Roman" w:cs="Times New Roman" w:eastAsia="Times New Roman" w:hAnsi="Times New Roman"/>
          <w:sz w:val="19"/>
          <w:szCs w:val="19"/>
          <w:color w:val="auto"/>
        </w:rPr>
        <w:t xml:space="preserve">. In the event that (i) the Agent determines that adequate and fair means do not exist for ascertaining the applicable interest rates by reference to which the Eurocurrency Rate, Adjusted Term SOFR Rate, the Term CORRA Rate or the SONIA Rate then being determined is to be fixed;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Benchmark Transition Event shall have occurred at such time or (ii) the Required Class Lenders of the affected Facility notify the Agent that the Eurocurrency Rate, Adjusted Term SOFR Rate, the Term CORRA Rate or the SONIA Rate for any Interest Period will not adequately reflect the cost to the Lenders of making or maintaining such Loans in the applicable currency for such Interest Period, the Agent shall forthwith so notify the U.S. Borrower and the Lenders, whereupon (w) each affected Term Benchmark Loan shall automatically, on the last day of the current Interest Period for such Loan, convert into a Base Rate Loan and the obligations of the Lenders to make Term Benchmark Loans or to convert Base Rate Loans into Term Benchmark Loans shall be suspended until the Agent shall notify the U.S. Borrower that the Required Class Lenders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49" w:name="page250"/>
    <w:bookmarkEnd w:id="249"/>
    <w:p>
      <w:pPr>
        <w:spacing w:after="0" w:line="250" w:lineRule="auto"/>
        <w:rPr>
          <w:sz w:val="20"/>
          <w:szCs w:val="20"/>
          <w:color w:val="auto"/>
        </w:rPr>
      </w:pPr>
      <w:r>
        <w:rPr>
          <w:rFonts w:ascii="Times New Roman" w:cs="Times New Roman" w:eastAsia="Times New Roman" w:hAnsi="Times New Roman"/>
          <w:sz w:val="20"/>
          <w:szCs w:val="20"/>
          <w:color w:val="auto"/>
        </w:rPr>
        <w:t>the affected Facility have determined that the circumstances causing such suspension no longer exist, (x) each Term CORRA Rate Loan shall automatically, on the last day of the current Interest Period for such Loan, convert into a Canadian Base Rate Loan and the obligations of the Revolving Lenders to make Term CORRA Rate Loans or to convert Canadian Base Rate Loans into Term CORRA Rate Loans shall be suspended until the Agent shall notify the U.S. Borrower that the Required Class Lenders under the affected Facility have determined that the circumstances causing such suspension no longer exist, (y) each SONIA Rate Loan shall either be repaid or converted into a Term Benchmark Loan with a one month Interest Period at the earlier of the end of such SONIA Interest Period and the date on which any determination or notice is made pursuant to this Section 2.14(b) and no further Borrowings of Sterling Loans shall be permitted and any further requests for SONIA Rate Loans shall be ineffective and (z) each Eurocurrency Rate Loan, the affected Eurocurrency Rate Loans shall be made or continued, as the case may be, as Eurocurrency Rate Loans with an Interest Period of one month and the amount of interest payable in respect of any such Eurocurrency Rate Loan shall be determined in accordance with the following provisions:</w:t>
      </w:r>
    </w:p>
    <w:p>
      <w:pPr>
        <w:spacing w:after="0" w:line="196" w:lineRule="exact"/>
        <w:rPr>
          <w:sz w:val="20"/>
          <w:szCs w:val="20"/>
          <w:color w:val="auto"/>
        </w:rPr>
      </w:pPr>
    </w:p>
    <w:p>
      <w:pPr>
        <w:ind w:left="660" w:right="60" w:firstLine="903"/>
        <w:spacing w:after="0" w:line="270" w:lineRule="auto"/>
        <w:tabs>
          <w:tab w:leader="none" w:pos="1943"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Agent so requires, within five days of such notification the Agent and the applicable Borrower, as applicable, shall enter into negotiations with a view to agreeing on a substitute basis for determining the rate of interest (a “</w:t>
      </w:r>
      <w:r>
        <w:rPr>
          <w:rFonts w:ascii="Times New Roman" w:cs="Times New Roman" w:eastAsia="Times New Roman" w:hAnsi="Times New Roman"/>
          <w:sz w:val="19"/>
          <w:szCs w:val="19"/>
          <w:u w:val="single" w:color="auto"/>
          <w:color w:val="auto"/>
        </w:rPr>
        <w:t>Substitute Interest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Rate</w:t>
      </w:r>
      <w:r>
        <w:rPr>
          <w:rFonts w:ascii="Times New Roman" w:cs="Times New Roman" w:eastAsia="Times New Roman" w:hAnsi="Times New Roman"/>
          <w:sz w:val="19"/>
          <w:szCs w:val="19"/>
          <w:color w:val="auto"/>
        </w:rPr>
        <w:t xml:space="preserve">”) which may be applicable to affected Eurocurrency Rate Loans of such Borrower in the future and any such Substitute Interest Rate that is agreed shall take effect in accordance with its terms and be binding on each party 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Agent may not agree on any such Substitute Interest Rate without the prior consent of the Required Class Lenders under the affected Facility;</w:t>
      </w:r>
    </w:p>
    <w:p>
      <w:pPr>
        <w:spacing w:after="0" w:line="175" w:lineRule="exact"/>
        <w:rPr>
          <w:rFonts w:ascii="Times New Roman" w:cs="Times New Roman" w:eastAsia="Times New Roman" w:hAnsi="Times New Roman"/>
          <w:sz w:val="19"/>
          <w:szCs w:val="19"/>
          <w:color w:val="auto"/>
        </w:rPr>
      </w:pPr>
    </w:p>
    <w:p>
      <w:pPr>
        <w:ind w:left="660" w:right="60" w:firstLine="903"/>
        <w:spacing w:after="0" w:line="253" w:lineRule="auto"/>
        <w:tabs>
          <w:tab w:leader="none" w:pos="194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no Substitute Interest Rate is agreed pursuant to clause (i) above, any affected Eurocurrency Rate Loan shall bear interest during the subsequent Interest Period at the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otherwise applicable to Eurocurrency Rate Loans under such Facility, except that in the place of the Eurocurrency Rate, in respect of Eurocurrency Rate Loans denominated in any currency other than Dollars, the Agent shall use the cost to the applicable Lender (as conclusively certified by such Lender in a certificate to the Agent and the applicable Borrower and expressed as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and containing a general description of the source selected of funding such Loan from whatever source it shall reasonably select; and</w:t>
      </w:r>
    </w:p>
    <w:p>
      <w:pPr>
        <w:spacing w:after="0" w:line="178" w:lineRule="exact"/>
        <w:rPr>
          <w:rFonts w:ascii="Times New Roman" w:cs="Times New Roman" w:eastAsia="Times New Roman" w:hAnsi="Times New Roman"/>
          <w:sz w:val="20"/>
          <w:szCs w:val="20"/>
          <w:color w:val="auto"/>
        </w:rPr>
      </w:pPr>
    </w:p>
    <w:p>
      <w:pPr>
        <w:ind w:left="660" w:firstLine="903"/>
        <w:spacing w:after="0" w:line="258" w:lineRule="auto"/>
        <w:tabs>
          <w:tab w:leader="none" w:pos="1945"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Agent has required a Borrower to enter into negotiations pursuant to clause (i) above, the Agent may (acting on the instructions of the Required Class Lenders under the affected Facility) declare that no further Eurocurrency Rate Loans shall be converted, continued or made unless a Substitute Interest Rate has been agreed by the applicable Borrower and the Agent within 30 days of the Agent having so required negotiations.</w:t>
      </w:r>
    </w:p>
    <w:p>
      <w:pPr>
        <w:spacing w:after="0" w:line="18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Change in Law shall:</w:t>
      </w:r>
    </w:p>
    <w:p>
      <w:pPr>
        <w:spacing w:after="0" w:line="229" w:lineRule="exact"/>
        <w:rPr>
          <w:sz w:val="20"/>
          <w:szCs w:val="20"/>
          <w:color w:val="auto"/>
        </w:rPr>
      </w:pPr>
    </w:p>
    <w:p>
      <w:pPr>
        <w:ind w:left="660" w:right="240" w:firstLine="644"/>
        <w:spacing w:after="0" w:line="261" w:lineRule="auto"/>
        <w:tabs>
          <w:tab w:leader="none" w:pos="1947"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or similar requirement against assets of, deposits with or for the account of, or credit extended by, any Lender or Issuing Bank (except any such reserve requirement reflected in the Eurocurrency Rate);</w:t>
      </w:r>
    </w:p>
    <w:p>
      <w:pPr>
        <w:spacing w:after="0" w:line="181" w:lineRule="exact"/>
        <w:rPr>
          <w:rFonts w:ascii="Times New Roman" w:cs="Times New Roman" w:eastAsia="Times New Roman" w:hAnsi="Times New Roman"/>
          <w:sz w:val="20"/>
          <w:szCs w:val="20"/>
          <w:color w:val="auto"/>
        </w:rPr>
      </w:pPr>
    </w:p>
    <w:p>
      <w:pPr>
        <w:ind w:left="660" w:right="260" w:firstLine="644"/>
        <w:spacing w:after="0" w:line="261" w:lineRule="auto"/>
        <w:tabs>
          <w:tab w:leader="none" w:pos="195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(including any Issuing Bank) or the London interbank market any other condition affecting this Agreement or Eurocurrency Rate Loans, Term Benchmark Loans, Term CORRA Rate Loans or SONIA Rate Loans made by such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50" w:name="page251"/>
    <w:bookmarkEnd w:id="250"/>
    <w:p>
      <w:pPr>
        <w:jc w:val="both"/>
        <w:ind w:left="660" w:right="200" w:firstLine="644"/>
        <w:spacing w:after="0" w:line="261" w:lineRule="auto"/>
        <w:tabs>
          <w:tab w:leader="none" w:pos="195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Lender (including any Issuing Bank) to any Taxes (other than Indemnified Taxes indemnifiable under Section 2.15 or Excluded Taxes) on its Loans, Letters of Credit, Commitments, or other obligations, or its deposits, reserves, other liabilities or capital attributable thereto;</w:t>
      </w:r>
    </w:p>
    <w:p>
      <w:pPr>
        <w:spacing w:after="0" w:line="18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or maintaining any Loan or the cost to an Issuing Bank of issuing or maintaining Letters of Credit or to reduce the amount of any sum received or receivable by such Lender or Issuing Bank hereunder (whether of principal, interest or otherwise), then, following delivery of the certificate contemplated by paragraph (iii) of this clause (c), the applicable Borrower will pay to such Lender or Issuing Bank in accordance with clause (iii) below such additional amount or amounts as will compensate such Lender or Issuing Bank for such additional costs incurred or reduction suffered, as reasonably determined by such Lender or Issuing Bank (which determination shall be made in good faith (and not on an arbitrary or capricious basis)) and in a manner consistent with similarly situated borrowers of such Lender or Issuing Bank as applicable, under agreements having provisions similar to this Section 2.14.</w:t>
      </w:r>
    </w:p>
    <w:p>
      <w:pPr>
        <w:spacing w:after="0" w:line="195" w:lineRule="exact"/>
        <w:rPr>
          <w:sz w:val="20"/>
          <w:szCs w:val="20"/>
          <w:color w:val="auto"/>
        </w:rPr>
      </w:pPr>
    </w:p>
    <w:p>
      <w:pPr>
        <w:ind w:firstLine="1563"/>
        <w:spacing w:after="0" w:line="250" w:lineRule="auto"/>
        <w:tabs>
          <w:tab w:leader="none" w:pos="1932"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or Issuing Bank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or Letters of Credit issued by such Issuing Bank to a level below that which such Person or such Person’s holding company could have achieved but for such Change in Law (taking into consideration such Person’s policies and the policies of such Person’s holding company with respect to capital adequacy and liquidity), then from time to time following delivery of the certificate contemplated by paragraph (iii) of this clause (c) of this Section 2.14 the applicable Borrower will pay to such Lender or Issuing Bank in accordance with clause (iii) below such additional amount or amounts as will compensate such Person or such Person’s holding company for any such reduction suffered, as reasonably determined by such Lender or Issuing Bank (which determination shall be made in good faith (and not on an arbitrary or capricious basis)) and in a manner consistent with similarly situated borrowers of such Lender or Issuing Bank, as applicable, under agreements having provisions similar to this Section 2.14.</w:t>
      </w:r>
    </w:p>
    <w:p>
      <w:pPr>
        <w:spacing w:after="0" w:line="182" w:lineRule="exact"/>
        <w:rPr>
          <w:rFonts w:ascii="Times New Roman" w:cs="Times New Roman" w:eastAsia="Times New Roman" w:hAnsi="Times New Roman"/>
          <w:sz w:val="20"/>
          <w:szCs w:val="20"/>
          <w:color w:val="auto"/>
        </w:rPr>
      </w:pPr>
    </w:p>
    <w:p>
      <w:pPr>
        <w:ind w:right="40" w:firstLine="1563"/>
        <w:spacing w:after="0" w:line="257" w:lineRule="auto"/>
        <w:tabs>
          <w:tab w:leader="none" w:pos="1933"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Lender or Issuing Bank setting forth the amount or amounts necessary to compensate such Lender or Issuing Bank or its holding company as specified in paragraph (i) or (ii) of this clause (c) and setting forth in reasonable detail the manner in which such amount or amounts were determined shall be delivered to the applicable Borrower and shall be conclusive absent manifest error. The applicable Borrower shall pay such Lender or Issuing Bank the amount shown as due on any such certificate within ten (10) days after receipt thereof.</w:t>
      </w:r>
    </w:p>
    <w:p>
      <w:pPr>
        <w:spacing w:after="0" w:line="172" w:lineRule="exact"/>
        <w:rPr>
          <w:rFonts w:ascii="Times New Roman" w:cs="Times New Roman" w:eastAsia="Times New Roman" w:hAnsi="Times New Roman"/>
          <w:sz w:val="20"/>
          <w:szCs w:val="20"/>
          <w:color w:val="auto"/>
        </w:rPr>
      </w:pPr>
    </w:p>
    <w:p>
      <w:pPr>
        <w:ind w:right="100" w:firstLine="1563"/>
        <w:spacing w:after="0" w:line="269" w:lineRule="auto"/>
        <w:tabs>
          <w:tab w:leader="none" w:pos="1935"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Failure or delay on the part of any Lender or Issuing Bank to demand compensation pursuant to this clause (c) shall not constitute a waiver of such Person’s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Borrower shall be required to compensate a Lender or Issuing Bank pursuant to this clause (c) for any increased costs or reductions incurred more than 180 days prior to the date that such Lender or Issuing Bank notifies such Borrower of the Change in Law giving rise to such increased costs or reductions and of such Person’s intention to claim compensation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the Change in Law giving rise to such increased costs or reductions is retroactive, then the 180-day period referred to above shall be extended to include the period of retroactive effect thereof.</w:t>
      </w:r>
    </w:p>
    <w:p>
      <w:pPr>
        <w:spacing w:after="0" w:line="177" w:lineRule="exact"/>
        <w:rPr>
          <w:rFonts w:ascii="Times New Roman" w:cs="Times New Roman" w:eastAsia="Times New Roman" w:hAnsi="Times New Roman"/>
          <w:sz w:val="19"/>
          <w:szCs w:val="19"/>
          <w:color w:val="auto"/>
        </w:rPr>
      </w:pPr>
    </w:p>
    <w:p>
      <w:pPr>
        <w:ind w:right="40" w:firstLine="1304"/>
        <w:spacing w:after="0" w:line="283" w:lineRule="auto"/>
        <w:tabs>
          <w:tab w:leader="none" w:pos="1932"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Notwithstanding any other provision of this Agreement, if any Lender determines that the introduction of, or any change in or in the interpretation of, any law, treaty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80"/>
          </w:cols>
          <w:pgMar w:left="320" w:top="1413" w:right="399" w:bottom="1440" w:gutter="0" w:footer="0" w:header="0"/>
        </w:sectPr>
      </w:pPr>
    </w:p>
    <w:bookmarkStart w:id="251" w:name="page252"/>
    <w:bookmarkEnd w:id="251"/>
    <w:p>
      <w:pPr>
        <w:ind w:right="40"/>
        <w:spacing w:after="0" w:line="264" w:lineRule="auto"/>
        <w:rPr>
          <w:sz w:val="20"/>
          <w:szCs w:val="20"/>
          <w:color w:val="auto"/>
        </w:rPr>
      </w:pPr>
      <w:r>
        <w:rPr>
          <w:rFonts w:ascii="Times New Roman" w:cs="Times New Roman" w:eastAsia="Times New Roman" w:hAnsi="Times New Roman"/>
          <w:sz w:val="19"/>
          <w:szCs w:val="19"/>
          <w:color w:val="auto"/>
        </w:rPr>
        <w:t>governmental rule, regulation or order after the date of this Agreement shall make it unlawful, or any central bank or other Governmental Authority shall assert that it is unlawful, for such Lender or its Applicable Lending Office to make Eurocurrency Rate Loans in an applicable currency, Term Benchmark Loans, Term CORRA Rate Loans or SONIA Rate Loans or to continue to fund or maintain Eurocurrency Rate Loans in an applicable currency, Term Benchmark Loans, Term CORRA Rate Loans or SONIA Rate Loans, then, on notice thereof and demand therefor by such Lender to the U.S. Borrower through the Agent, (i) the obligation of such Lender to make or to continue Eurocurrency Rate Loans in an applicable currency, Term Benchmark Loans, Term CORRA Rate Loans or SONIA Rate Loans and to convert Base Rate Loans into Eurocurrency Rate Loans, Term Benchmark Loans or Term CORRA Rate Loans shall be suspended, and each such Lender shall make a Base Rate Loan or Canadian Base Rate Loan, as applicable, as part of any requested Borrowing of Eurocurrency Rate Loans, Term Benchmark Loans or Term CORRA Rate Loans, (ii) if any affected Loans are then outstanding that are denominated in Dollars or Canadian Dollars as Term Benchmark Loans or Term CORRA Rate Loans, the applicable Borrower shall immediately convert each such Loan into Base Rate Loans or Canadian Base Rate Loans, as applicable and (iii) in the case of any affected Loans that are not denominated in Dollars or Canadian Dollars, such Loans shall bear interest at an alternate rate determined by the Agent to adequately reflect such Lender’s cost of capital. If, at any time after a Lender gives notice under this clause (d), such Lender determines that it may lawfully make Eurocurrency Rate Loans in an applicable currency, Term Benchmark Loans, Term CORRA Rate Loans or SONIA Rate Loans, such Lender shall promptly give notice of that determination to the U.S. Borrower and the Agent, and the Agent shall promptly transmit the notice to each other Lender. Each Borrower’s right to request, and such Lender’s obligation, if any, to make Eurocurrency Rate Loans in an applicable currency, Term Benchmark Loans, Term CORRA Rate Loans or SONIA Rate Loans, as applicable, shall thereupon be restored.</w:t>
      </w:r>
    </w:p>
    <w:p>
      <w:pPr>
        <w:spacing w:after="0" w:line="167" w:lineRule="exact"/>
        <w:rPr>
          <w:sz w:val="20"/>
          <w:szCs w:val="20"/>
          <w:color w:val="auto"/>
        </w:rPr>
      </w:pPr>
    </w:p>
    <w:p>
      <w:pPr>
        <w:ind w:left="1940" w:hanging="636"/>
        <w:spacing w:after="0"/>
        <w:tabs>
          <w:tab w:leader="none" w:pos="194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Breakage Costs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1563"/>
        <w:spacing w:after="0" w:line="249" w:lineRule="auto"/>
        <w:tabs>
          <w:tab w:leader="none" w:pos="1931"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Loans denominated in any currency other than Sterling, in addition to all amounts required to be paid by the Borrowers pursuant to Section 2.11, each Borrower shall compensate each Lender that has made a Loan to such Borrower, upon written request in accordance with this paragraph (e), for all losses, expenses and liabilities (including any loss or expense incurred by reason of the liquidation or reemployment of deposits or other funds acquired by such Lender to fund or maintain such Lender’s Eurocurrency Rate Loans, Term Benchmark Loans or Term CORRA Rate Loans to such Borrower but excluding any loss of the Applicable Rate on the relevant Loans) that such Lender may sustain (i) if for any reason (other than by reason of such Lender being a Non-Funding Lender) a proposed Borrowing, conversion into or continuation of Eurocurrency Rate Loans, Term Benchmark Loans or Term CORRA Rate Loans does not occur on a date specified therefor in a Borrowing Request or an Interest Election Request given by a Borrower or in a telephonic request by it for borrowing or conversion or continuation or a successive Interest Period does not commence after notice therefor is given pursuant to Section 2.12, (ii) if for any reason any Eurocurrency Rate Loan, Term Benchmark Loans or Term CORRA Rate Loan is repaid or prepaid (including pursuant to Section 2.09) on a date that is not the last day of the applicable Interest Period, (iii) as a consequence of a required conversion of a Eurocurrency Rate Loan, Term Benchmark Loans or Term CORRA Rate Loan to a Base Rate Loan or Canadian Base Rate Loans, as applicable, as a result of any of the events indicated in clause (d) above or (iv) as a result of any assignment of any Eurocurrency Rate Loans, Term Benchmark Loans or Term CORRA Rate Loans pursuant to a request by the applicable Borrower pursuant to Section 2.17. In the case of a Eurocurrency Rate Loan, such loss, cost or expense to any Lender shall be deemed to be the amount determined by such Lender to be the excess, if any, of (i) the amount of interest which would have accrued on the principal amount of such Loan had such event not occurred, at the Eurocurrency Rate that would have been applicable to such Loan for the period from the date of such event to the last day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52" w:name="page253"/>
    <w:bookmarkEnd w:id="252"/>
    <w:p>
      <w:pPr>
        <w:spacing w:after="0" w:line="250" w:lineRule="auto"/>
        <w:rPr>
          <w:sz w:val="20"/>
          <w:szCs w:val="20"/>
          <w:color w:val="auto"/>
        </w:rPr>
      </w:pPr>
      <w:r>
        <w:rPr>
          <w:rFonts w:ascii="Times New Roman" w:cs="Times New Roman" w:eastAsia="Times New Roman" w:hAnsi="Times New Roman"/>
          <w:sz w:val="20"/>
          <w:szCs w:val="20"/>
          <w:color w:val="auto"/>
        </w:rPr>
        <w:t xml:space="preserve">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For the purpose of calculating amounts payable to a Lender under this subsection, each Lender shall be deemed to have actually funded its relevant Term CORRA Rate Loan through the purchase of a deposit bearing interest at the Term CORRA Rate in an amount equal to the amount of that Term CORRA Rate Loan and having a maturity comparable to the relevant Term CORRA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Lender may fund each of its Term CORRA Rate Loans in any manner it sees fit, and the foregoing assumption shall be utilized only for the calculation of amounts payable under this subsection. The applicable Borrower shall pay the applicable Lender the amount shown as due on any certificate delivered to such Borrower and setting forth any amount or amounts that such Lender is entitled to receive pursuant to this clause (e) and the basis therefor within ten (10) days after receipt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certificate sets forth in reasonable detail the manner in which such amount or amounts was determined.</w:t>
      </w:r>
    </w:p>
    <w:p>
      <w:pPr>
        <w:spacing w:after="0" w:line="200" w:lineRule="exact"/>
        <w:rPr>
          <w:sz w:val="20"/>
          <w:szCs w:val="20"/>
          <w:color w:val="auto"/>
        </w:rPr>
      </w:pPr>
    </w:p>
    <w:p>
      <w:pPr>
        <w:ind w:firstLine="1563"/>
        <w:spacing w:after="0" w:line="249" w:lineRule="auto"/>
        <w:tabs>
          <w:tab w:leader="none" w:pos="1932"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Loans denominated in Sterling, in addition to all amounts required to be paid by the Borrowers pursuant to Section 2.11, each Borrower shall compensate each Lender that has made a Loan to such Borrower, upon written request in accordance with this paragraph (e), for all losses, expenses and liabilities that such Lender may sustain (i) if for any reason (other than by reason of such Lender being a Non-Funding Lender) a proposed Borrowing, conversion into or continuation of SONIA Rate Loans does not occur on a date specified therefor in a Borrowing Request or an Interest Election Request given by a Borrower or in a telephonic request by it for borrowing or conversion or continuation, (ii) if for any reason any SONIA Rate Loan is repaid or prepaid (including pursuant to Section 2.09) on a date prior to the interest payment date set forth in Section 2.11(b), (iii) as a consequence of a required conversion of SONIA Rate Loans, as applicable, as a result of any of the events indicated in clause (d) above or (iv) as a result of any assignment of any SONIA Rate Loans pursuant to a request by the applicable Borrower pursuant to Section 2.17. The applicable Borrower shall pay the applicable Lender the amount shown as due on any certificate delivered to such Borrower and setting forth any amount or amounts that such Lender is entitled to receive pursuant to this clause (e)(i) and the basis therefor within ten (10) days after receipt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certificate sets forth in reasonable detail the manner in which such amount or amounts was determined.</w:t>
      </w:r>
    </w:p>
    <w:p>
      <w:pPr>
        <w:spacing w:after="0" w:line="20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Alternate Rate of Interest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100" w:firstLine="1563"/>
        <w:spacing w:after="0" w:line="245" w:lineRule="auto"/>
        <w:tabs>
          <w:tab w:leader="none" w:pos="1931"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upon the occurrence of a Benchmark Transition Event or an Early Opt-in Election, as applicable, the Administrative Agent and the applicable Borrowers may amend this Agreement to replace the Eurocurrency Rate, Term CORRA Rate or, in the case of a Benchmark Transition Event only, the Term SOFR Rate, as applicable, with a Benchmark Replacement. Any such amendment with respect to a Benchmark Transition Event will become effective at 5:00 p.m.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Business Day after the Administrative Agent has posted such proposed amendment to all Lenders and the Borrowers, so long as the Administrative Agent has not received, by such time, written notice of objection to such proposed amendment from Lenders comprising the Required Class Lenders of each Facility providing for Loans in the applicable currency. Any such amendment with respect to an Early Opt-in Election will become effective on the date that Lenders comprising the Required Class Lenders of each Facility providing for Loans in the applicable currency have delivered to the Administrative Agent written notice that such Required Class Lenders accept such amendment. No replacement of Eurocurrency Rate or Term CORRA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20"/>
          <w:szCs w:val="20"/>
          <w:color w:val="auto"/>
        </w:rPr>
        <w:t>Rate, as applicable, with a Benchmark Replacement will occur prior to the applicable Benchmark Transition Start Date.</w:t>
      </w:r>
    </w:p>
    <w:p>
      <w:pPr>
        <w:spacing w:after="0" w:line="229" w:lineRule="exact"/>
        <w:rPr>
          <w:sz w:val="20"/>
          <w:szCs w:val="20"/>
          <w:color w:val="auto"/>
        </w:rPr>
      </w:pPr>
    </w:p>
    <w:p>
      <w:pPr>
        <w:ind w:firstLine="1563"/>
        <w:spacing w:after="0" w:line="250" w:lineRule="auto"/>
        <w:tabs>
          <w:tab w:leader="none" w:pos="193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and (y)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rate of interest for Loans denominated in Canadian Dollars, then the applicable Benchmark Replacement will replace the then-current rate of interest for Loans denominated in Canadian Dollars for all purposes hereunder or under any Loan Document in respect of such rate of interest for Loans denominated in Canadian Dollars and subsequent rates of interest for Loans denominated in Canadian Dollars, without any amendment to, or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(f)(ii)(y)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w:t>
      </w:r>
    </w:p>
    <w:p>
      <w:pPr>
        <w:spacing w:after="0" w:line="179" w:lineRule="exact"/>
        <w:rPr>
          <w:rFonts w:ascii="Times New Roman" w:cs="Times New Roman" w:eastAsia="Times New Roman" w:hAnsi="Times New Roman"/>
          <w:sz w:val="20"/>
          <w:szCs w:val="20"/>
          <w:color w:val="auto"/>
        </w:rPr>
      </w:pPr>
    </w:p>
    <w:p>
      <w:pPr>
        <w:ind w:firstLine="1563"/>
        <w:spacing w:after="0" w:line="251" w:lineRule="auto"/>
        <w:tabs>
          <w:tab w:leader="none" w:pos="1933"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promptly notify the applicable Borrowers and the Lenders of (i) any occurrence of a Benchmark Transition Event or an Early Opt-in Election, as applicable,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Section 2.14,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pacing w:after="0" w:line="195" w:lineRule="exact"/>
        <w:rPr>
          <w:rFonts w:ascii="Times New Roman" w:cs="Times New Roman" w:eastAsia="Times New Roman" w:hAnsi="Times New Roman"/>
          <w:sz w:val="20"/>
          <w:szCs w:val="20"/>
          <w:color w:val="auto"/>
        </w:rPr>
      </w:pPr>
    </w:p>
    <w:p>
      <w:pPr>
        <w:ind w:right="60" w:firstLine="1563"/>
        <w:spacing w:after="0" w:line="267" w:lineRule="auto"/>
        <w:tabs>
          <w:tab w:leader="none" w:pos="1935"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applicable Borrowers’ receipt of notice of the commencement of a Benchmark Unavailability Period, (i) any Interest Election Request that requests the conversion of any Revolving Borrowing to, or continuation of any Revolving Borrowing as, a Eurocurrency Rate Borrowing, Term Benchmark Borrowing or Term CORRA Rate Borrowing, as applicable, shall be ineffective and (ii) (x)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any Borrowing Request requests a Term Benchmark Revolving Borrowing, such Borrowing shall be made as a Base Rate Borrowing and</w:t>
      </w:r>
    </w:p>
    <w:p>
      <w:pPr>
        <w:spacing w:after="0" w:line="6" w:lineRule="exact"/>
        <w:rPr>
          <w:sz w:val="20"/>
          <w:szCs w:val="20"/>
          <w:color w:val="auto"/>
        </w:rPr>
      </w:pPr>
    </w:p>
    <w:p>
      <w:pPr>
        <w:ind w:right="160" w:firstLine="8"/>
        <w:spacing w:after="0" w:line="260" w:lineRule="auto"/>
        <w:tabs>
          <w:tab w:leader="none" w:pos="28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Borrowing Request requests a Term CORRA Rate Revolving Borrowing, such Borrowing shall be made as a Canadian Base Rate Borrowing.</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II.15 </w:t>
      </w:r>
      <w:r>
        <w:rPr>
          <w:rFonts w:ascii="Times New Roman" w:cs="Times New Roman" w:eastAsia="Times New Roman" w:hAnsi="Times New Roman"/>
          <w:sz w:val="20"/>
          <w:szCs w:val="20"/>
          <w:u w:val="single" w:color="auto"/>
          <w:color w:val="auto"/>
        </w:rPr>
        <w:t>Taxes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1304"/>
        <w:spacing w:after="0" w:line="253" w:lineRule="auto"/>
        <w:tabs>
          <w:tab w:leader="none" w:pos="193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payments by or on account of any obligation of any Borrower or any other Loan Party under any Loan Document shall be made free and clear of and without deduction or withholding for or on account of any Taxes unless a deduction or withholding is required by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applicable withholding agent shall be required by law to deduct or withhold any Taxes from any such payment, then (i) to the extent such Tax is an Indemnified Tax, the sum payable by such Borrower or other Loan Party shall be increased as necessary so that after all such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54" w:name="page255"/>
    <w:bookmarkEnd w:id="254"/>
    <w:p>
      <w:pPr>
        <w:ind w:right="60"/>
        <w:spacing w:after="0" w:line="253" w:lineRule="auto"/>
        <w:rPr>
          <w:sz w:val="20"/>
          <w:szCs w:val="20"/>
          <w:color w:val="auto"/>
        </w:rPr>
      </w:pPr>
      <w:r>
        <w:rPr>
          <w:rFonts w:ascii="Times New Roman" w:cs="Times New Roman" w:eastAsia="Times New Roman" w:hAnsi="Times New Roman"/>
          <w:sz w:val="20"/>
          <w:szCs w:val="20"/>
          <w:color w:val="auto"/>
        </w:rPr>
        <w:t>deductions or withholdings (including deductions or withholdings applicable to additional sums payable under this Section 2.15) by the applicable withholding agent, the Lender (or, in the case of a payment received by the Agent for its account, the Agent) receives an amount equal to the sum it would have received had no such deductions or withholdings been made, (ii) the applicable withholding agent shall make such required deductions or withholdings and (iii) the applicable withholding agent shall timely pay the full amount deducted or withheld to the relevant Governmental Authority within the time allowed and in accordance with applicable law. If at any time a Borrower or a Loan Party is required by applicable law to make any deduction or withholding from any sum payable under any Loan Document, such Borrower or such Loan Party shall promptly notify the relevant Agent or Lender upon becoming aware of the same.</w:t>
      </w:r>
    </w:p>
    <w:p>
      <w:pPr>
        <w:spacing w:after="0" w:line="179" w:lineRule="exact"/>
        <w:rPr>
          <w:sz w:val="20"/>
          <w:szCs w:val="20"/>
          <w:color w:val="auto"/>
        </w:rPr>
      </w:pPr>
    </w:p>
    <w:p>
      <w:pPr>
        <w:ind w:left="1940" w:hanging="636"/>
        <w:spacing w:after="0"/>
        <w:tabs>
          <w:tab w:leader="none" w:pos="194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2.15(b) applies solely in respect of a Loan to any U.K. Borrower.</w:t>
      </w:r>
    </w:p>
    <w:p>
      <w:pPr>
        <w:spacing w:after="0" w:line="229" w:lineRule="exact"/>
        <w:rPr>
          <w:rFonts w:ascii="Times New Roman" w:cs="Times New Roman" w:eastAsia="Times New Roman" w:hAnsi="Times New Roman"/>
          <w:sz w:val="20"/>
          <w:szCs w:val="20"/>
          <w:color w:val="auto"/>
        </w:rPr>
      </w:pPr>
    </w:p>
    <w:p>
      <w:pPr>
        <w:ind w:right="20" w:firstLine="1563"/>
        <w:spacing w:after="0" w:line="258" w:lineRule="auto"/>
        <w:tabs>
          <w:tab w:leader="none" w:pos="1931"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U.K. Borrower is not required to make an increased payment to a Lender in respect of any payment of interest on any Loan to the relevant U.K. Borrower under Section 2.15(a) (or an indemnity payment under Section 2.15(e)) for any deduction or withholding for or on account of any Indemnified Taxes where that Tax is imposed by the United Kingdom if on the date on which the payment falls due:</w:t>
      </w:r>
    </w:p>
    <w:p>
      <w:pPr>
        <w:spacing w:after="0" w:line="172" w:lineRule="exact"/>
        <w:rPr>
          <w:sz w:val="20"/>
          <w:szCs w:val="20"/>
          <w:color w:val="auto"/>
        </w:rPr>
      </w:pPr>
    </w:p>
    <w:p>
      <w:pPr>
        <w:ind w:left="660" w:firstLine="644"/>
        <w:spacing w:after="0" w:line="258" w:lineRule="auto"/>
        <w:tabs>
          <w:tab w:leader="none" w:pos="1947"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relevant Lender without a deduction or withholding for or on account of Indemnified Taxes if it was a U.K. Qualifying Lender, but on that date that Lender is not or has ceased to be a U.K. Qualifying Lender other than as a result of any Change in Law (including any change in any Treaty or in any published practice or concession of any relevant taxing authority) after the date it became a Lender under this Agreement; or</w:t>
      </w:r>
    </w:p>
    <w:p>
      <w:pPr>
        <w:spacing w:after="0" w:line="186" w:lineRule="exact"/>
        <w:rPr>
          <w:sz w:val="20"/>
          <w:szCs w:val="20"/>
          <w:color w:val="auto"/>
        </w:rPr>
      </w:pPr>
    </w:p>
    <w:p>
      <w:pPr>
        <w:ind w:left="660" w:right="80" w:firstLine="644"/>
        <w:spacing w:after="0" w:line="253" w:lineRule="auto"/>
        <w:tabs>
          <w:tab w:leader="none" w:pos="1947"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the relevant Lender is a U.K. Qualifying Lender solely under subclause (i)(B) of the definition of “U.K. Qualifying Lender”; and (2) an officer of HMRC has given (and not revoked) a Direction under section 931 of the ITA 2007 (as that provision has effect on the date on which the relevant Lender became a party to this Agreement) which relates to that payment and that Lender has received from that Borrower a certified copy of that Direction; and (3) the payment could have been made to the Lender without any deduction or withholding for or on account of Taxes in the absence of that Direction; or</w:t>
      </w:r>
    </w:p>
    <w:p>
      <w:pPr>
        <w:spacing w:after="0" w:line="178" w:lineRule="exact"/>
        <w:rPr>
          <w:rFonts w:ascii="Times New Roman" w:cs="Times New Roman" w:eastAsia="Times New Roman" w:hAnsi="Times New Roman"/>
          <w:sz w:val="20"/>
          <w:szCs w:val="20"/>
          <w:color w:val="auto"/>
        </w:rPr>
      </w:pPr>
    </w:p>
    <w:p>
      <w:pPr>
        <w:ind w:left="660" w:right="20" w:firstLine="644"/>
        <w:spacing w:after="0" w:line="258" w:lineRule="auto"/>
        <w:tabs>
          <w:tab w:leader="none" w:pos="195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U.K. Qualifying Lender solely under subclause (i)(B) of the definition of “U.K. Qualifying Lender” and it has not, other than by reason of any change after the date of this Agreement in (or in the interpretation, administration or application of) any law, or any published practice or concession of any relevant Governmental Authority, given a U.K. Tax Confirmation to a Borrower; or</w:t>
      </w:r>
    </w:p>
    <w:p>
      <w:pPr>
        <w:spacing w:after="0" w:line="185" w:lineRule="exact"/>
        <w:rPr>
          <w:rFonts w:ascii="Times New Roman" w:cs="Times New Roman" w:eastAsia="Times New Roman" w:hAnsi="Times New Roman"/>
          <w:sz w:val="20"/>
          <w:szCs w:val="20"/>
          <w:color w:val="auto"/>
        </w:rPr>
      </w:pPr>
    </w:p>
    <w:p>
      <w:pPr>
        <w:ind w:left="660" w:right="20" w:firstLine="644"/>
        <w:spacing w:after="0" w:line="261" w:lineRule="auto"/>
        <w:tabs>
          <w:tab w:leader="none" w:pos="195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Treaty Lender and the relevant Borrower making the payment is able to demonstrate that the payment could have been made to that Lender without the deduction or withholding for or on account of any Taxes had that Lender complied with its obligations under clauses (iii), (iv) and (v) below.</w:t>
      </w:r>
    </w:p>
    <w:p>
      <w:pPr>
        <w:spacing w:after="0" w:line="181" w:lineRule="exact"/>
        <w:rPr>
          <w:rFonts w:ascii="Times New Roman" w:cs="Times New Roman" w:eastAsia="Times New Roman" w:hAnsi="Times New Roman"/>
          <w:sz w:val="20"/>
          <w:szCs w:val="20"/>
          <w:color w:val="auto"/>
        </w:rPr>
      </w:pPr>
    </w:p>
    <w:p>
      <w:pPr>
        <w:ind w:right="80" w:firstLine="1563"/>
        <w:spacing w:after="0" w:line="261" w:lineRule="auto"/>
        <w:tabs>
          <w:tab w:leader="none" w:pos="1931"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in respect of a Loan to the relevant U.K. Borrower on the day on which this Agreement is entered into, who is a U.K. Qualifying Lender solely under subparagraph (i)(B) of the definition of “U.K. Qualifying Lender,” gives a U.K. Tax Confirmation to the relevant U.K. Borrower by entering into this Agreement. A Lender in respect of a Loan to the relevant U.K.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55" w:name="page256"/>
    <w:bookmarkEnd w:id="255"/>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who is a Qualifying Lender under sub-paragraph (i)(B) of the definition of “U.K. Qualifying Lender” must promptly notify the Agent of any change to its status that may affect any confirmation made by it. A Lender in respect of a Loan to the relevant U.K. Borrower who has given and not revoked a U.K. Tax Confirmation as at the Closing Date shall be deemed to have given a U.K. Tax Confirmation.</w:t>
      </w:r>
    </w:p>
    <w:p>
      <w:pPr>
        <w:spacing w:after="0" w:line="181" w:lineRule="exact"/>
        <w:rPr>
          <w:sz w:val="20"/>
          <w:szCs w:val="20"/>
          <w:color w:val="auto"/>
        </w:rPr>
      </w:pPr>
    </w:p>
    <w:p>
      <w:pPr>
        <w:ind w:right="200" w:firstLine="1563"/>
        <w:spacing w:after="0" w:line="251" w:lineRule="auto"/>
        <w:tabs>
          <w:tab w:leader="none" w:pos="1932"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in respect of a Loan made to the relevant U.K. Borrower that is a Treaty Lender and does not hold or does not wish to use a passport under the HMRC DT Treaty Passport scheme undertakes to use reasonable endeavors to process as soon as practicable the appropriate HMRC Form DT-Company to enable interest on the Loan made by it to the relevant U.K. Borrower under this Agreement to be paid to it without any deduction or withholding for or on account of any Indemnified Taxes imposed by the United Kingdom and, if appropriate, to seek, at the relevant U.K. Borrower’s expense, a refund of any such tax previously withheld (and in respect of which additional amounts have been paid by the relevant U.K. Borrower pursuant to this Section 2.15) from interest payments made to that Treaty Lender.</w:t>
      </w:r>
    </w:p>
    <w:p>
      <w:pPr>
        <w:spacing w:after="0" w:line="1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(iii)</w:t>
      </w:r>
    </w:p>
    <w:p>
      <w:pPr>
        <w:spacing w:after="0" w:line="229" w:lineRule="exact"/>
        <w:rPr>
          <w:sz w:val="20"/>
          <w:szCs w:val="20"/>
          <w:color w:val="auto"/>
        </w:rPr>
      </w:pPr>
    </w:p>
    <w:p>
      <w:pPr>
        <w:jc w:val="both"/>
        <w:ind w:left="660" w:right="340" w:firstLine="644"/>
        <w:spacing w:after="0" w:line="261" w:lineRule="auto"/>
        <w:tabs>
          <w:tab w:leader="none" w:pos="194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2.15(b)(iv)(B) below, a Lender and each U.K. Borrower which makes a payment to which that Lender is entitled shall co-operate promptly in completing any procedural formalities necessary for that U.K. Borrower to obtain authorization to make that payment without a U.K. Tax Deduction.</w:t>
      </w:r>
    </w:p>
    <w:p>
      <w:pPr>
        <w:spacing w:after="0" w:line="167" w:lineRule="exact"/>
        <w:rPr>
          <w:rFonts w:ascii="Times New Roman" w:cs="Times New Roman" w:eastAsia="Times New Roman" w:hAnsi="Times New Roman"/>
          <w:sz w:val="20"/>
          <w:szCs w:val="20"/>
          <w:color w:val="auto"/>
        </w:rPr>
      </w:pPr>
    </w:p>
    <w:p>
      <w:pPr>
        <w:ind w:left="660" w:firstLine="644"/>
        <w:spacing w:after="0" w:line="268" w:lineRule="auto"/>
        <w:tabs>
          <w:tab w:leader="none" w:pos="195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 Lender which becomes a Party on the day on which this Agreement is entered into that holds a passport under the HMRC DT Treaty Passport scheme, and which wishes that scheme to apply to this Agreement, shall confirm its scheme reference number and its jurisdiction of tax residence opposite its name in Schedule I.</w:t>
      </w:r>
    </w:p>
    <w:p>
      <w:pPr>
        <w:spacing w:after="0" w:line="161" w:lineRule="exact"/>
        <w:rPr>
          <w:rFonts w:ascii="Times New Roman" w:cs="Times New Roman" w:eastAsia="Times New Roman" w:hAnsi="Times New Roman"/>
          <w:sz w:val="20"/>
          <w:szCs w:val="20"/>
          <w:color w:val="auto"/>
        </w:rPr>
      </w:pPr>
    </w:p>
    <w:p>
      <w:pPr>
        <w:jc w:val="both"/>
        <w:ind w:left="660" w:right="140" w:firstLine="1292"/>
        <w:spacing w:after="0" w:line="258" w:lineRule="auto"/>
        <w:tabs>
          <w:tab w:leader="none" w:pos="2236"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that is not a party to this Agreement on the date on which this Agreement is entered into that holds a passport under the HMRC DT Treaty Passport scheme, and which wishes that scheme to apply to this Agreement, shall confirm its scheme reference number and its jurisdiction of tax residence in the Assignment and Assumption, which it executes, or otherwise in writing to the Agent or the relevant U.K. Borrower on becoming a party to this Agreement,</w:t>
      </w:r>
    </w:p>
    <w:p>
      <w:pPr>
        <w:spacing w:after="0" w:line="17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and, having done so, that Lender shall be under no obligation pursuant to Section 2.15(b)(iv)(A).</w:t>
      </w:r>
    </w:p>
    <w:p>
      <w:pPr>
        <w:spacing w:after="0" w:line="229" w:lineRule="exact"/>
        <w:rPr>
          <w:sz w:val="20"/>
          <w:szCs w:val="20"/>
          <w:color w:val="auto"/>
        </w:rPr>
      </w:pPr>
    </w:p>
    <w:p>
      <w:pPr>
        <w:ind w:left="660" w:right="20" w:firstLine="903"/>
        <w:spacing w:after="0" w:line="251" w:lineRule="auto"/>
        <w:tabs>
          <w:tab w:leader="none" w:pos="1947"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Lender has confirmed its scheme reference number and its jurisdiction of tax residence in accordance with paragraph (iv) above and (i) the relevant U.K. Borrower making a payment to that Lender has not made a Borrower DTTP Filing in respect of that Lender; or (ii) the relevant U.K. Borrower making a payment to that Lender has made a Borrower DTTP Filing in respect of that Lender but (A) that Borrower DTTP Filing has been rejected by HMRC; or (B) HMRC has not given the Borrower authority to make payments to that Lender without a U.K. Tax Deduction within 60 days of the date of the Borrower DTTP Filing, and in each case the relevant U.K. Borrower has notified that Lender in writing, that Lender and the relevant U.K. Borrower shall co-operate in completing any additional procedural formalities necessary for the relevant U.K. Borrower to make that payment without a U.K. Tax Deduction.</w:t>
      </w:r>
    </w:p>
    <w:p>
      <w:pPr>
        <w:spacing w:after="0" w:line="195" w:lineRule="exact"/>
        <w:rPr>
          <w:rFonts w:ascii="Times New Roman" w:cs="Times New Roman" w:eastAsia="Times New Roman" w:hAnsi="Times New Roman"/>
          <w:sz w:val="20"/>
          <w:szCs w:val="20"/>
          <w:color w:val="auto"/>
        </w:rPr>
      </w:pPr>
    </w:p>
    <w:p>
      <w:pPr>
        <w:ind w:left="660" w:right="500" w:firstLine="903"/>
        <w:spacing w:after="0" w:line="269" w:lineRule="auto"/>
        <w:tabs>
          <w:tab w:leader="none" w:pos="1946"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Lender has not confirmed its scheme reference number and jurisdiction of tax residence in accordance with paragraph (iv) above, the relevant U.K. Borrower shall not make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56" w:name="page257"/>
    <w:bookmarkEnd w:id="256"/>
    <w:p>
      <w:pPr>
        <w:ind w:left="660" w:right="860"/>
        <w:spacing w:after="0" w:line="283" w:lineRule="auto"/>
        <w:rPr>
          <w:sz w:val="20"/>
          <w:szCs w:val="20"/>
          <w:color w:val="auto"/>
        </w:rPr>
      </w:pPr>
      <w:r>
        <w:rPr>
          <w:rFonts w:ascii="Times New Roman" w:cs="Times New Roman" w:eastAsia="Times New Roman" w:hAnsi="Times New Roman"/>
          <w:sz w:val="20"/>
          <w:szCs w:val="20"/>
          <w:color w:val="auto"/>
        </w:rPr>
        <w:t>Borrower DTTP Filing or file any other form relating to the HMRC DT Treaty Passport scheme in respect of that Lender’s Commitment(s) or its participation in any Loan unless the Lender otherwise agrees.</w:t>
      </w:r>
    </w:p>
    <w:p>
      <w:pPr>
        <w:spacing w:after="0" w:line="146" w:lineRule="exact"/>
        <w:rPr>
          <w:sz w:val="20"/>
          <w:szCs w:val="20"/>
          <w:color w:val="auto"/>
        </w:rPr>
      </w:pPr>
    </w:p>
    <w:p>
      <w:pPr>
        <w:ind w:left="660" w:right="320" w:firstLine="903"/>
        <w:spacing w:after="0" w:line="283" w:lineRule="auto"/>
        <w:tabs>
          <w:tab w:leader="none" w:pos="1947"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U.K. Borrower shall, promptly on making a Borrower DTTP Filing, deliver a copy of that Borrower DTTP Filing to the Agent for delivery to the relevant Lender.</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2.15(c) applies solely in respect of a Loan to an Irish Borrower.</w:t>
      </w:r>
    </w:p>
    <w:p>
      <w:pPr>
        <w:spacing w:after="0" w:line="229" w:lineRule="exact"/>
        <w:rPr>
          <w:rFonts w:ascii="Times New Roman" w:cs="Times New Roman" w:eastAsia="Times New Roman" w:hAnsi="Times New Roman"/>
          <w:sz w:val="20"/>
          <w:szCs w:val="20"/>
          <w:color w:val="auto"/>
        </w:rPr>
      </w:pPr>
    </w:p>
    <w:p>
      <w:pPr>
        <w:jc w:val="both"/>
        <w:ind w:right="260" w:firstLine="1563"/>
        <w:spacing w:after="0" w:line="261" w:lineRule="auto"/>
        <w:tabs>
          <w:tab w:leader="none" w:pos="1931"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Irish Borrower is required to make any increased payment to a Lender in respect of any payment of interest on any Loan to such Irish Borrower under Section 2.15 (a) (or an indemnity payment under Section 2.15(e)) for any deduction or withholding for or on account of Indemnified Taxes imposed by Ireland if on a date on which the payment falls due:</w:t>
      </w:r>
    </w:p>
    <w:p>
      <w:pPr>
        <w:spacing w:after="0" w:line="181" w:lineRule="exact"/>
        <w:rPr>
          <w:sz w:val="20"/>
          <w:szCs w:val="20"/>
          <w:color w:val="auto"/>
        </w:rPr>
      </w:pPr>
    </w:p>
    <w:p>
      <w:pPr>
        <w:ind w:left="660" w:right="400" w:firstLine="644"/>
        <w:spacing w:after="0" w:line="258" w:lineRule="auto"/>
        <w:tabs>
          <w:tab w:leader="none" w:pos="1947"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Lender without a deduction or withholding for or on account of Indemnified Taxes if it was an Irish Qualifying Lender, but on that date that Lender is not or has ceased to be an Irish Qualifying Lender other than as a result of any Change in Law (including any change in any Treaty to which Ireland is a party or in any published practice or concession of any relevant taxing authority) that occurred after the Closing Date; or</w:t>
      </w:r>
    </w:p>
    <w:p>
      <w:pPr>
        <w:spacing w:after="0" w:line="172" w:lineRule="exact"/>
        <w:rPr>
          <w:sz w:val="20"/>
          <w:szCs w:val="20"/>
          <w:color w:val="auto"/>
        </w:rPr>
      </w:pPr>
    </w:p>
    <w:p>
      <w:pPr>
        <w:ind w:left="660" w:right="460" w:firstLine="644"/>
        <w:spacing w:after="0" w:line="281" w:lineRule="auto"/>
        <w:tabs>
          <w:tab w:leader="none" w:pos="1947"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relevant Lender is an Irish Qualifying Lender by reason of paragraph (e) of that definition and the Borrower making the payment is able to demonstrate that the payment could have been made to that Lender without the deduction or withholding for or on account of any Taxes had that Lender complied with its obligations under clause (g) below.</w:t>
      </w:r>
    </w:p>
    <w:p>
      <w:pPr>
        <w:spacing w:after="0" w:line="164" w:lineRule="exact"/>
        <w:rPr>
          <w:rFonts w:ascii="Times New Roman" w:cs="Times New Roman" w:eastAsia="Times New Roman" w:hAnsi="Times New Roman"/>
          <w:sz w:val="19"/>
          <w:szCs w:val="19"/>
          <w:color w:val="auto"/>
        </w:rPr>
      </w:pPr>
    </w:p>
    <w:p>
      <w:pPr>
        <w:ind w:right="180" w:firstLine="1563"/>
        <w:spacing w:after="0" w:line="261" w:lineRule="auto"/>
        <w:tabs>
          <w:tab w:leader="none" w:pos="1931"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in respect of a Loan to an Irish Borrower on the day on which this Agreement is entered into, gives an Irish Tax Confirmation by entering into this Agreement. Any Lender in respect of a Loan to an Irish Borrower who is an Irish Qualifying Lender must promptly notify the Agent of any change to its status that may affect the Irish Tax Confirmation made by it.</w:t>
      </w:r>
    </w:p>
    <w:p>
      <w:pPr>
        <w:spacing w:after="0" w:line="181" w:lineRule="exact"/>
        <w:rPr>
          <w:sz w:val="20"/>
          <w:szCs w:val="20"/>
          <w:color w:val="auto"/>
        </w:rPr>
      </w:pPr>
    </w:p>
    <w:p>
      <w:pPr>
        <w:ind w:right="500" w:firstLine="1304"/>
        <w:spacing w:after="0" w:line="269" w:lineRule="auto"/>
        <w:tabs>
          <w:tab w:leader="none" w:pos="1932"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and the other Loan Parties shall pay to the relevant Governmental Authority in accordance with applicable law, or at the option of the Agent timely reimburse it for the payment of, any Other Taxes.</w:t>
      </w:r>
    </w:p>
    <w:p>
      <w:pPr>
        <w:spacing w:after="0" w:line="172" w:lineRule="exact"/>
        <w:rPr>
          <w:rFonts w:ascii="Times New Roman" w:cs="Times New Roman" w:eastAsia="Times New Roman" w:hAnsi="Times New Roman"/>
          <w:sz w:val="20"/>
          <w:szCs w:val="20"/>
          <w:color w:val="auto"/>
        </w:rPr>
      </w:pPr>
    </w:p>
    <w:p>
      <w:pPr>
        <w:ind w:firstLine="1304"/>
        <w:spacing w:after="0" w:line="251" w:lineRule="auto"/>
        <w:tabs>
          <w:tab w:leader="none" w:pos="193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each other Loan Party shall severally, and not jointly, indemnify the Agent and each Lender, within ten (10) days after written demand therefor, for the full amount of any Indemnified Taxes (including Indemnified Taxes imposed or asserted on or attributable to amounts payable under this Section 2.15) payable or paid by such Agent or Lender or required to be withheld or deducted from a payment to such Agent or Lender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or by the Agent on its own behalf or on behalf of any Lender, shall be conclusive absent manifest error.</w:t>
      </w:r>
    </w:p>
    <w:p>
      <w:pPr>
        <w:spacing w:after="0" w:line="192" w:lineRule="exact"/>
        <w:rPr>
          <w:rFonts w:ascii="Times New Roman" w:cs="Times New Roman" w:eastAsia="Times New Roman" w:hAnsi="Times New Roman"/>
          <w:sz w:val="20"/>
          <w:szCs w:val="20"/>
          <w:color w:val="auto"/>
        </w:rPr>
      </w:pPr>
    </w:p>
    <w:p>
      <w:pPr>
        <w:ind w:right="220" w:firstLine="1304"/>
        <w:spacing w:after="0" w:line="258" w:lineRule="auto"/>
        <w:tabs>
          <w:tab w:leader="none" w:pos="1939"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after any payment of any Taxes by a Borrower or other Loan Party to a Governmental Authority pursuant to this Section 2.15, such Borrower or other Loan Party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57" w:name="page258"/>
    <w:bookmarkEnd w:id="257"/>
    <w:p>
      <w:pPr>
        <w:ind w:left="1300"/>
        <w:spacing w:after="0"/>
        <w:rPr>
          <w:sz w:val="20"/>
          <w:szCs w:val="20"/>
          <w:color w:val="auto"/>
        </w:rPr>
      </w:pPr>
      <w:r>
        <w:rPr>
          <w:rFonts w:ascii="Times New Roman" w:cs="Times New Roman" w:eastAsia="Times New Roman" w:hAnsi="Times New Roman"/>
          <w:sz w:val="20"/>
          <w:szCs w:val="20"/>
          <w:color w:val="auto"/>
        </w:rPr>
        <w:t>(g)</w:t>
      </w:r>
    </w:p>
    <w:p>
      <w:pPr>
        <w:spacing w:after="0" w:line="229" w:lineRule="exact"/>
        <w:rPr>
          <w:sz w:val="20"/>
          <w:szCs w:val="20"/>
          <w:color w:val="auto"/>
        </w:rPr>
      </w:pPr>
    </w:p>
    <w:p>
      <w:pPr>
        <w:ind w:right="40" w:firstLine="1563"/>
        <w:spacing w:after="0" w:line="264" w:lineRule="auto"/>
        <w:tabs>
          <w:tab w:leader="none" w:pos="1931"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that is legally entitled to an exemption from or reduction of withholding tax with respect to any payments made under any Loan Document shall deliver to the applicable Borrower and the Agent, at the time or times reasonably requested by the applicable Borrower or the Agent, such properly completed and executed documentation reasonably requested by such Borrower or the Agent as will permit such payments to be made without withholding or at a reduced rate of withholding. In addition, any Lender, if reasonably requested by the applicable Borrower or the Agent, shall deliver such other documentation prescribed by applicable law or reasonably requested by a Borrower or the Agent as will enable such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2.15(g)(ii) (A), (ii)(B), and (ii)(D) below or, in respect of Canadian withholding Taxes, CRA Forms NR301, NR302, or NR303, as applicable, and any successor forms thereto) shall not be required if in the Lender’s reasonable judgment such completion, execution or submission would subject such Lender to any material unreimbursed cost or expense or would materially prejudice the legal or commercial position of such Lender. Each Lender agrees that if any form or certification it previously delivered expires or becomes obsolete or inaccurate in any respect, it shall update such form or certification or promptly notify the applicable Borrower and the Agent in writing of its legal inability to do so.</w:t>
      </w:r>
    </w:p>
    <w:p>
      <w:pPr>
        <w:spacing w:after="0" w:line="169" w:lineRule="exact"/>
        <w:rPr>
          <w:rFonts w:ascii="Times New Roman" w:cs="Times New Roman" w:eastAsia="Times New Roman" w:hAnsi="Times New Roman"/>
          <w:sz w:val="19"/>
          <w:szCs w:val="19"/>
          <w:color w:val="auto"/>
        </w:rPr>
      </w:pPr>
    </w:p>
    <w:p>
      <w:pPr>
        <w:ind w:left="1940" w:hanging="377"/>
        <w:spacing w:after="0"/>
        <w:tabs>
          <w:tab w:leader="none" w:pos="1940"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Section 2.15(g)(i) above, with respect to any Loan to the U.S. Borrower:</w:t>
      </w:r>
    </w:p>
    <w:p>
      <w:pPr>
        <w:spacing w:after="0" w:line="229" w:lineRule="exact"/>
        <w:rPr>
          <w:rFonts w:ascii="Times New Roman" w:cs="Times New Roman" w:eastAsia="Times New Roman" w:hAnsi="Times New Roman"/>
          <w:sz w:val="20"/>
          <w:szCs w:val="20"/>
          <w:color w:val="auto"/>
        </w:rPr>
      </w:pPr>
    </w:p>
    <w:p>
      <w:pPr>
        <w:ind w:left="660" w:firstLine="644"/>
        <w:spacing w:after="0" w:line="258" w:lineRule="auto"/>
        <w:tabs>
          <w:tab w:leader="none" w:pos="1947"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a United States Person agrees to complete and deliver to the U.S. Borrower and the Agent, on or prior to the date on which such Lender becomes a Lender under this Agreement (and from time to time thereafter upon the reasonable request of the U.S. Borrower or the Agent), two duly completed and executed copies of IRS Form W-9 (or successor form) certifying that such Lender is exempt from U.S. federal backup withholding tax.</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95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Non-U.S. Lender, shall deliver to the U.S. Borrower and the Agent two duly completed and executed copies of whichever of the following is applicable:</w:t>
      </w:r>
    </w:p>
    <w:p>
      <w:pPr>
        <w:spacing w:after="0" w:line="146" w:lineRule="exact"/>
        <w:rPr>
          <w:sz w:val="20"/>
          <w:szCs w:val="20"/>
          <w:color w:val="auto"/>
        </w:rPr>
      </w:pPr>
    </w:p>
    <w:p>
      <w:pPr>
        <w:jc w:val="both"/>
        <w:ind w:left="660" w:right="80" w:firstLine="907"/>
        <w:spacing w:after="0" w:line="268" w:lineRule="auto"/>
        <w:rPr>
          <w:sz w:val="20"/>
          <w:szCs w:val="20"/>
          <w:color w:val="auto"/>
        </w:rPr>
      </w:pPr>
      <w:r>
        <w:rPr>
          <w:rFonts w:ascii="Times New Roman" w:cs="Times New Roman" w:eastAsia="Times New Roman" w:hAnsi="Times New Roman"/>
          <w:sz w:val="20"/>
          <w:szCs w:val="20"/>
          <w:color w:val="auto"/>
        </w:rPr>
        <w:t>In the case of a Non-U.S. Lender claiming the benefits of an income tax treaty to which the United States is a party, IRS Form W-8BEN–E (or any successor thereto) establishing an exemption from, or reduction of, U.S. federal withholding tax pursuant to such treaty;</w:t>
      </w:r>
    </w:p>
    <w:p>
      <w:pPr>
        <w:spacing w:after="0" w:line="18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IRS Form W-8ECI (or any successor thereto);</w:t>
      </w:r>
    </w:p>
    <w:p>
      <w:pPr>
        <w:spacing w:after="0" w:line="256" w:lineRule="exact"/>
        <w:rPr>
          <w:sz w:val="20"/>
          <w:szCs w:val="20"/>
          <w:color w:val="auto"/>
        </w:rPr>
      </w:pPr>
    </w:p>
    <w:p>
      <w:pPr>
        <w:ind w:left="660" w:right="20" w:firstLine="907"/>
        <w:spacing w:after="0" w:line="253" w:lineRule="auto"/>
        <w:rPr>
          <w:sz w:val="20"/>
          <w:szCs w:val="20"/>
          <w:color w:val="auto"/>
        </w:rPr>
      </w:pPr>
      <w:r>
        <w:rPr>
          <w:rFonts w:ascii="Times New Roman" w:cs="Times New Roman" w:eastAsia="Times New Roman" w:hAnsi="Times New Roman"/>
          <w:sz w:val="20"/>
          <w:szCs w:val="20"/>
          <w:color w:val="auto"/>
        </w:rPr>
        <w:t>In the case of a Non-U.S. Lender claiming the benefits of the exemption for portfolio interest under Section 881(c) of the Code, a certificate substantially in the form of Exhibit J-1 to the effect that such Non-U.S. Lender is not a “bank” as defined in Section 881(c)(3)(A) of the Code, a “10-percent shareholder” of the U.S. Borrower within the meaning of Section 881(c) (3)(B) of the Code, or a “controlled foreign corporation” described in Section 881(c)(3)(C) of the Code and that the interest payments in respect of such Loans are not effectively connected with such Non-U.S. Lender’s conduct of a U.S. trade or business (a “</w:t>
      </w:r>
      <w:r>
        <w:rPr>
          <w:rFonts w:ascii="Times New Roman" w:cs="Times New Roman" w:eastAsia="Times New Roman" w:hAnsi="Times New Roman"/>
          <w:sz w:val="20"/>
          <w:szCs w:val="20"/>
          <w:u w:val="single" w:color="auto"/>
          <w:color w:val="auto"/>
        </w:rPr>
        <w:t>U.S.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60"/>
          </w:cols>
          <w:pgMar w:left="320" w:top="1413" w:right="419" w:bottom="1440" w:gutter="0" w:footer="0" w:header="0"/>
        </w:sectPr>
      </w:pPr>
    </w:p>
    <w:bookmarkStart w:id="258" w:name="page259"/>
    <w:bookmarkEnd w:id="258"/>
    <w:p>
      <w:pPr>
        <w:ind w:left="660" w:right="180" w:firstLine="907"/>
        <w:spacing w:after="0" w:line="251" w:lineRule="auto"/>
        <w:rPr>
          <w:sz w:val="20"/>
          <w:szCs w:val="20"/>
          <w:color w:val="auto"/>
        </w:rPr>
      </w:pPr>
      <w:r>
        <w:rPr>
          <w:rFonts w:ascii="Times New Roman" w:cs="Times New Roman" w:eastAsia="Times New Roman" w:hAnsi="Times New Roman"/>
          <w:sz w:val="20"/>
          <w:szCs w:val="20"/>
          <w:color w:val="auto"/>
        </w:rPr>
        <w:t xml:space="preserve">To the extent a Non-U.S. Lender is not the beneficial owner, duly signed, properly completed copies of IRS Form W– 8IMY, accompanied by IRS Form W–8ECI, IRS Form W–8BEN, IRS Form W–8BEN–E, a U.S. Tax Compliance Certificate substantially in the form of Exhibit J-2 or Exhibit J-3,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Exhibit J-4 on behalf of each such direct and indirect partner;</w:t>
      </w:r>
    </w:p>
    <w:p>
      <w:pPr>
        <w:spacing w:after="0" w:line="3" w:lineRule="exact"/>
        <w:rPr>
          <w:sz w:val="20"/>
          <w:szCs w:val="20"/>
          <w:color w:val="auto"/>
        </w:rPr>
      </w:pPr>
    </w:p>
    <w:p>
      <w:pPr>
        <w:ind w:left="660" w:right="40" w:firstLine="644"/>
        <w:spacing w:after="0" w:line="249" w:lineRule="auto"/>
        <w:tabs>
          <w:tab w:leader="none" w:pos="195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Non-U.S. Lender shall deliver to the U.S. Borrower and the Agent (in such number of copies as shall be requested by the recipient) such other duly completed and executed forms or certificates prescribed by applicable law as a basis for claiming exemption from, or reduction in, U.S. federal withholding Tax, together with such supplementary documentation as may be prescribed by applicable law to permit the U.S. Borrower or the Agent to determine the withholding or deduction required to be made; and</w:t>
      </w:r>
    </w:p>
    <w:p>
      <w:pPr>
        <w:spacing w:after="0" w:line="195" w:lineRule="exact"/>
        <w:rPr>
          <w:rFonts w:ascii="Times New Roman" w:cs="Times New Roman" w:eastAsia="Times New Roman" w:hAnsi="Times New Roman"/>
          <w:sz w:val="20"/>
          <w:szCs w:val="20"/>
          <w:color w:val="auto"/>
        </w:rPr>
      </w:pPr>
    </w:p>
    <w:p>
      <w:pPr>
        <w:ind w:left="660" w:right="20" w:firstLine="644"/>
        <w:spacing w:after="0" w:line="251" w:lineRule="auto"/>
        <w:tabs>
          <w:tab w:leader="none" w:pos="1947"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deliver to the U.S. Borrower and the Agent at the time or times prescribed by law and at such time or times reasonably requested by the U.S. Borrower or the Agent such documentation prescribed by applicable law (including as prescribed by Section 1471(b)(3)(C)(i) of the Code) and such additional documentation reasonably requested by the U.S. Borrower or the Agent as may be necessary for the Borrower and the Agent to comply with their obligations under FATCA and to determine whether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2" w:lineRule="exact"/>
        <w:rPr>
          <w:rFonts w:ascii="Times New Roman" w:cs="Times New Roman" w:eastAsia="Times New Roman" w:hAnsi="Times New Roman"/>
          <w:sz w:val="20"/>
          <w:szCs w:val="20"/>
          <w:color w:val="auto"/>
        </w:rPr>
      </w:pPr>
    </w:p>
    <w:p>
      <w:pPr>
        <w:ind w:right="740" w:firstLine="1563"/>
        <w:spacing w:after="0" w:line="269" w:lineRule="auto"/>
        <w:tabs>
          <w:tab w:leader="none" w:pos="1933"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2.15(g), no Lender shall be required to provide any documentation that such Lender is not legally eligible to provide.</w:t>
      </w:r>
    </w:p>
    <w:p>
      <w:pPr>
        <w:spacing w:after="0" w:line="172" w:lineRule="exact"/>
        <w:rPr>
          <w:rFonts w:ascii="Times New Roman" w:cs="Times New Roman" w:eastAsia="Times New Roman" w:hAnsi="Times New Roman"/>
          <w:sz w:val="20"/>
          <w:szCs w:val="20"/>
          <w:color w:val="auto"/>
        </w:rPr>
      </w:pPr>
    </w:p>
    <w:p>
      <w:pPr>
        <w:ind w:right="300" w:firstLine="1563"/>
        <w:spacing w:after="0" w:line="269" w:lineRule="auto"/>
        <w:tabs>
          <w:tab w:leader="none" w:pos="1935"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authorizes the Agent to deliver to the Borrowers and other Loan Parties and to any successor Agent any documentation provided by such Lender to the Agent pursuant to this Section 2.15(g).</w:t>
      </w:r>
    </w:p>
    <w:p>
      <w:pPr>
        <w:spacing w:after="0" w:line="173" w:lineRule="exact"/>
        <w:rPr>
          <w:sz w:val="20"/>
          <w:szCs w:val="20"/>
          <w:color w:val="auto"/>
        </w:rPr>
      </w:pPr>
    </w:p>
    <w:p>
      <w:pPr>
        <w:ind w:firstLine="1304"/>
        <w:spacing w:after="0" w:line="250" w:lineRule="auto"/>
        <w:tabs>
          <w:tab w:leader="none" w:pos="193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Agent or a Lender determines, in its sole discretion exercised in good faith, that it has received and retained a refund of any Indemnified Taxes as to which it has been indemnified by a Borrower or other Loan Party or with respect to which such Borrower or such Loan Party has paid additional amounts pursuant to this Section 2.15, it shall pay over such refund to such Borrower or such Loan Party (but only to the extent of indemnity payments made, or additional amounts paid, by such Borrower or such Loan Party under this Section 2.15 with respect to the Taxes giving rise to such refund), net of all out-of-pocket expenses (including Taxes) of the Agent or such Lender as is determined by the Agent or such Lender in its sole discretion exercised in good faith,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Borrower or such Loan Party, upon the request of the Agent or such Lender, agrees to repay as soon as reasonably practicable the amount paid over to such Borrower or such Loan Party (plus any penalties, interest or other charges imposed by the relevant Governmental Authority) to the Agent or such Lender in the event the Agent or such Lender is required to repay such refund to such Governmental Authority. Notwithstanding anything to the contrary in this Section 2.15(h), in no event will any Agent or Lender be required to pay any amount to any Borrower other Loan Party pursuant to this Section 2.15 the payment of which would place such Agent or Lender in a less favorable net after-Tax position than it would have been in if the Tax subject to indemnification and giving rise to such refund had not been deducted,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59" w:name="page260"/>
    <w:bookmarkEnd w:id="259"/>
    <w:p>
      <w:pPr>
        <w:jc w:val="both"/>
        <w:ind w:right="140"/>
        <w:spacing w:after="0" w:line="261" w:lineRule="auto"/>
        <w:rPr>
          <w:sz w:val="20"/>
          <w:szCs w:val="20"/>
          <w:color w:val="auto"/>
        </w:rPr>
      </w:pPr>
      <w:r>
        <w:rPr>
          <w:rFonts w:ascii="Times New Roman" w:cs="Times New Roman" w:eastAsia="Times New Roman" w:hAnsi="Times New Roman"/>
          <w:sz w:val="20"/>
          <w:szCs w:val="20"/>
          <w:color w:val="auto"/>
        </w:rPr>
        <w:t>withheld or otherwise imposed and the indemnification payments or additional amounts with respect to such Tax had never been paid. This Section 2.15(h) shall not be construed to require the Agent or any Lender to make available its tax returns (or any other information relating to its taxes that it deems confidential) to any Borrower or any other Loan Party or any other Person.</w:t>
      </w:r>
    </w:p>
    <w:p>
      <w:pPr>
        <w:spacing w:after="0" w:line="181" w:lineRule="exact"/>
        <w:rPr>
          <w:sz w:val="20"/>
          <w:szCs w:val="20"/>
          <w:color w:val="auto"/>
        </w:rPr>
      </w:pPr>
    </w:p>
    <w:p>
      <w:pPr>
        <w:ind w:firstLine="1304"/>
        <w:spacing w:after="0" w:line="258" w:lineRule="auto"/>
        <w:tabs>
          <w:tab w:leader="none" w:pos="1942"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payable under this Agreement or any other Loan Document by any party is exclusive of any VAT or any other Tax of a similar nature which might be chargeable in connection with that amount. If any such Tax is chargeable, the applicable Borrower or applicable other Loan Party must pay to the Agent or Lender (as applicable) (in addition to and at the same time as paying that amount) an amount equal to the amount of that Tax against the delivery of a valid VAT invoice (where applicable).</w:t>
      </w:r>
    </w:p>
    <w:p>
      <w:pPr>
        <w:spacing w:after="0" w:line="172" w:lineRule="exact"/>
        <w:rPr>
          <w:rFonts w:ascii="Times New Roman" w:cs="Times New Roman" w:eastAsia="Times New Roman" w:hAnsi="Times New Roman"/>
          <w:sz w:val="20"/>
          <w:szCs w:val="20"/>
          <w:color w:val="auto"/>
        </w:rPr>
      </w:pPr>
    </w:p>
    <w:p>
      <w:pPr>
        <w:ind w:right="60" w:firstLine="1304"/>
        <w:spacing w:after="0" w:line="257" w:lineRule="auto"/>
        <w:tabs>
          <w:tab w:leader="none" w:pos="1942"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this Agreement or any other Loan Document requires any party to reimburse the Agent or any Lender (as the case may be) for any costs or expenses, that party must also at the same time pay and indemnify the Agent or Lender (as the case may be) against all VAT or any other Tax of a similar nature incurred by the Agent or Lender (as the case may be) in respect of those costs or expenses but only to the extent that the Agent or Lender (as the case may be) (acting reasonably) determines that it is not entitled to credit or repayment from the relevant tax authority in respect of the Tax.</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for purposes of this Section 2.15, the term “Lender” includes any Issuing Bank.</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II.16 </w:t>
      </w:r>
      <w:r>
        <w:rPr>
          <w:rFonts w:ascii="Times New Roman" w:cs="Times New Roman" w:eastAsia="Times New Roman" w:hAnsi="Times New Roman"/>
          <w:sz w:val="20"/>
          <w:szCs w:val="20"/>
          <w:u w:val="single" w:color="auto"/>
          <w:color w:val="auto"/>
        </w:rPr>
        <w:t>Allocation of Proceeds; Sharing of Setoffs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40" w:firstLine="1304"/>
        <w:spacing w:after="0" w:line="249" w:lineRule="auto"/>
        <w:tabs>
          <w:tab w:leader="none" w:pos="193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proceeds of any Collateral received by the Agent after an Event of Default has occurred and is continuing and all or any portion of the Loans shall have been accelerated hereunder pursuant to Section 7.02, shall upon election by the Agent or at the direction of the Required Lenders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ratably, pay any fees, indemnities, or expense reimbursements then due to the Agent from any Borrower (other than in connection with Secured Hedging Obligations or Secured Cash Management Obligations),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ratably, to pay any expense reimbursements then due to the Issuing Bank or Lenders from the Borrowers (other than in connection with Secured Hedging Obligations or Secured Cash Management Obligations),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 Commitments Fees, interest due and payable in respect of the Loans and LC Fees, ratably,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 principal on the Loans and unpaid LC Disbursements and any amounts owing with respect to Secured Hedging Obligations or Secured Cash Management Obligations, and to cash collateralize Letters of Credit in an amount equal to the outstanding face amount thereof (it being understood that, if any Letter of Credit shall expire undrawn, any cash collateral held for the undrawn portion of such Letter of Credit shall be applied to the other Secured Obligations in the order specified in clauses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of this sentence), ratably,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the payment of any other Secured Obligation due to the Agent or any Lender, and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to the applicable Loan Party or as the U.S. Borrower shall direct. Notwithstanding the foregoing, (i) the Agent shall not be required to pay any amount pursuant to this Section 2.16(a) to any holder of Secured Hedging Obligations or Secured Cash Management Obligations unless the holder thereof or the U.S. Borrower has provided notice to the Agent thereof prior to the date of the applicable payment pursuant to this Section 2.16(a) and (ii) no amount received on the account of any Collateral of any Loan Party shall be applied to the payment of any Secured Obligations in respect of Excluded Swap Obligations of such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60" w:name="page261"/>
    <w:bookmarkEnd w:id="260"/>
    <w:p>
      <w:pPr>
        <w:ind w:right="20" w:firstLine="1304"/>
        <w:spacing w:after="0" w:line="249" w:lineRule="auto"/>
        <w:tabs>
          <w:tab w:leader="none" w:pos="1932"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following any Event of Default under Section 7.01(a) (but only to the extent that prior to the waiver of such Event of Default an Event of Default under Section 7.01(f) (with respect to the U.S. Borrower) or an acceleration of the Loans pursuant to Section 7.02 occurs), Section 7.01(f) (with respect to the U.S. Borrower) or any acceleration of the Loans pursuant to Section 7.02, any Lender shall, by exercising any right of setoff or counterclaim or otherwise, obtain payment in respect of any fees, principal of or interest on any of its Loans resulting in such Lender receiving payment of a greater proportion of the aggregate amount of its Loans and accrued interest and fees thereon than the proportion received by any other Lender, then the Lender receiving such greater proportion shall purchase (for cash at face value) participations in the Loans of other Lenders at such time outstanding to the extent necessary so that the benefit of all such payments shall be shared by the Lenders ratably in accordance with the aggregate amount of principal of and accrued interest and fees on their respective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(ii) the provisions of this paragraph shall not be construed to apply to any payment made by any Borrower pursuant to and in accordance with the express terms of this Agreement (including, without limitation, Section 2.08(d)) or any payment obtained by a Lender as consideration for the assignment of or sale of a participation in any of its Loans to any assignee or participant) and (iii) in the event that any Lender would be required to purchase any participations in Domestic Obligations as a result of the receipt by such Lender of any amount from any Foreign Borrower, such Lender shall not be required to purchase any participations in any such Domestic Obligations. Each Borrower consents to the foregoing and agrees, to the extent it may effectively do so under applicable law, that any Lender acquiring a participation pursuant to the foregoing arrangements may exercise against such Borrower rights of setoff, consolidation and counterclaim with respect to such participation as fully as if such Lender were a direct creditor of such Borrower in the amount of such participation.</w:t>
      </w:r>
    </w:p>
    <w:p>
      <w:pPr>
        <w:spacing w:after="0" w:line="200" w:lineRule="exact"/>
        <w:rPr>
          <w:rFonts w:ascii="Times New Roman" w:cs="Times New Roman" w:eastAsia="Times New Roman" w:hAnsi="Times New Roman"/>
          <w:sz w:val="20"/>
          <w:szCs w:val="20"/>
          <w:color w:val="auto"/>
        </w:rPr>
      </w:pPr>
    </w:p>
    <w:p>
      <w:pPr>
        <w:ind w:right="80" w:firstLine="1304"/>
        <w:spacing w:after="0" w:line="261" w:lineRule="auto"/>
        <w:tabs>
          <w:tab w:leader="none" w:pos="193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fail to make any payment required to be made by it pursuant to this Agreement, then the Agent may, in its discretion (notwithstanding any contrary provision hereof), apply any amounts thereafter received by the Agent for the account of such Lender to satisfy such obligations of such Lender until all such unsatisfied obligations are fully paid.</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II.17 </w:t>
      </w:r>
      <w:r>
        <w:rPr>
          <w:rFonts w:ascii="Times New Roman" w:cs="Times New Roman" w:eastAsia="Times New Roman" w:hAnsi="Times New Roman"/>
          <w:sz w:val="20"/>
          <w:szCs w:val="20"/>
          <w:u w:val="single" w:color="auto"/>
          <w:color w:val="auto"/>
        </w:rPr>
        <w:t>Mitigation Obligations; Replacement of Lenders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1304"/>
        <w:spacing w:after="0" w:line="251" w:lineRule="auto"/>
        <w:tabs>
          <w:tab w:leader="none" w:pos="193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requests compensation under Section 2.14, or if a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2.14 or 2.15, as applicable, in the future and (ii) would not subject such Lender (or its parent companies) to any material unreimbursed cost or expense and would not otherwise be disadvantageous to such Lender in any material respect. The U.S. Borrower hereby agrees to pay all reasonable costs and expenses incurred by any Lender in connection with any such designation or assignment.</w:t>
      </w:r>
    </w:p>
    <w:p>
      <w:pPr>
        <w:spacing w:after="0" w:line="181" w:lineRule="exact"/>
        <w:rPr>
          <w:rFonts w:ascii="Times New Roman" w:cs="Times New Roman" w:eastAsia="Times New Roman" w:hAnsi="Times New Roman"/>
          <w:sz w:val="20"/>
          <w:szCs w:val="20"/>
          <w:color w:val="auto"/>
        </w:rPr>
      </w:pPr>
    </w:p>
    <w:p>
      <w:pPr>
        <w:ind w:right="200" w:firstLine="1304"/>
        <w:spacing w:after="0" w:line="258" w:lineRule="auto"/>
        <w:tabs>
          <w:tab w:leader="none" w:pos="1932"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requests compensation under Section 2.14, or if a Borrower is required to pay any additional amount to any Lender or any Governmental Authority for the account of any Lender pursuant to Section 2.15, or if any Lender becomes a Non-Funding Lender, then such Borrower may, at its sole expense and effort, upon notice to such Lender and the Agent, replace such Lender by requiring such Lender to assign and delegate (and such Lender shall be obligated to assign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61" w:name="page262"/>
    <w:bookmarkEnd w:id="261"/>
    <w:p>
      <w:pPr>
        <w:spacing w:after="0" w:line="250" w:lineRule="auto"/>
        <w:rPr>
          <w:sz w:val="20"/>
          <w:szCs w:val="20"/>
          <w:color w:val="auto"/>
        </w:rPr>
      </w:pPr>
      <w:r>
        <w:rPr>
          <w:rFonts w:ascii="Times New Roman" w:cs="Times New Roman" w:eastAsia="Times New Roman" w:hAnsi="Times New Roman"/>
          <w:sz w:val="20"/>
          <w:szCs w:val="20"/>
          <w:color w:val="auto"/>
        </w:rPr>
        <w:t xml:space="preserve">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Borrower shall have received the prior written consent of the Agent, which consent shall not unreasonably be withheld, (ii) such Lender shall have received payment of an amount equal to the outstanding principal of its Loans and any participations in Letters of Credit funded by such Lender, if any, accrued interest thereon, accrued fees and all other amounts due and payable to it hereunder, from the assignee (to the extent of such outstanding principal or participation) or such Borrower (in the case of all other amounts) and (iii) in the case of any such assignment resulting from a claim for compensation under Section 2.14 or payments required to be made pursuant to Section 2.15, such assignment will result in a reduction in such compensation or payments. A Lender shall not be required to make any such assignment and delegation if, prior thereto, as a result of a waiver by such Lender or otherwise, the circumstances entitling the applicable Borrower to require such assignment and delegation cease to apply.</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SECTION II.18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II.19 </w:t>
      </w:r>
      <w:r>
        <w:rPr>
          <w:rFonts w:ascii="Times New Roman" w:cs="Times New Roman" w:eastAsia="Times New Roman" w:hAnsi="Times New Roman"/>
          <w:sz w:val="20"/>
          <w:szCs w:val="20"/>
          <w:u w:val="single" w:color="auto"/>
          <w:color w:val="auto"/>
        </w:rPr>
        <w:t>Incremental Facilities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firstLine="1304"/>
        <w:spacing w:after="0" w:line="249" w:lineRule="auto"/>
        <w:tabs>
          <w:tab w:leader="none" w:pos="1934"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may by written notice to the Agent elect to request the establishment of one or more (x) additional tranches of term loans of any class in Dollars, Euros, Sterling, Canadian Dollars or any other currency reasonably acceptable to the Agent or new Commitments to increase any existing Class of Term Loans (the commitments described in this clause (x), the “</w:t>
      </w:r>
      <w:r>
        <w:rPr>
          <w:rFonts w:ascii="Times New Roman" w:cs="Times New Roman" w:eastAsia="Times New Roman" w:hAnsi="Times New Roman"/>
          <w:sz w:val="20"/>
          <w:szCs w:val="20"/>
          <w:u w:val="single" w:color="auto"/>
          <w:color w:val="auto"/>
        </w:rPr>
        <w:t>New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(y) increases in Revolving Commitments under one or more of the then existing Revolving Facilities or new revolving commitments under a new revolving facility (a “</w:t>
      </w:r>
      <w:r>
        <w:rPr>
          <w:rFonts w:ascii="Times New Roman" w:cs="Times New Roman" w:eastAsia="Times New Roman" w:hAnsi="Times New Roman"/>
          <w:sz w:val="20"/>
          <w:szCs w:val="20"/>
          <w:u w:val="single" w:color="auto"/>
          <w:color w:val="auto"/>
        </w:rPr>
        <w:t>New Revolving Facility</w:t>
      </w:r>
      <w:r>
        <w:rPr>
          <w:rFonts w:ascii="Times New Roman" w:cs="Times New Roman" w:eastAsia="Times New Roman" w:hAnsi="Times New Roman"/>
          <w:sz w:val="20"/>
          <w:szCs w:val="20"/>
          <w:color w:val="auto"/>
        </w:rPr>
        <w:t>”) (any such commitments described in this clause (y), the “</w:t>
      </w:r>
      <w:r>
        <w:rPr>
          <w:rFonts w:ascii="Times New Roman" w:cs="Times New Roman" w:eastAsia="Times New Roman" w:hAnsi="Times New Roman"/>
          <w:sz w:val="20"/>
          <w:szCs w:val="20"/>
          <w:u w:val="single" w:color="auto"/>
          <w:color w:val="auto"/>
        </w:rPr>
        <w:t>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 and, together with the New Term Commitments, the “</w:t>
      </w:r>
      <w:r>
        <w:rPr>
          <w:rFonts w:ascii="Times New Roman" w:cs="Times New Roman" w:eastAsia="Times New Roman" w:hAnsi="Times New Roman"/>
          <w:sz w:val="20"/>
          <w:szCs w:val="20"/>
          <w:u w:val="single" w:color="auto"/>
          <w:color w:val="auto"/>
        </w:rPr>
        <w:t>New Commitments</w:t>
      </w:r>
      <w:r>
        <w:rPr>
          <w:rFonts w:ascii="Times New Roman" w:cs="Times New Roman" w:eastAsia="Times New Roman" w:hAnsi="Times New Roman"/>
          <w:sz w:val="20"/>
          <w:szCs w:val="20"/>
          <w:color w:val="auto"/>
        </w:rPr>
        <w:t>”) in a Dollar Equivalent amount at any time not to exceed (other than in the case of any New Commitments with respect to Refinancing Term Loans and/or Replacement Revolving Commitments) the Maximum Incremental Amount at such time and not less than the Dollar Equivalent of $25.0 million individually (or such lesser amount which shall be approved by the Agent or such lesser amount that shall constitute the entire remaining availability hereunder). Each such notice shall specify the date (each, an “</w:t>
      </w:r>
      <w:r>
        <w:rPr>
          <w:rFonts w:ascii="Times New Roman" w:cs="Times New Roman" w:eastAsia="Times New Roman" w:hAnsi="Times New Roman"/>
          <w:sz w:val="20"/>
          <w:szCs w:val="20"/>
          <w:u w:val="single" w:color="auto"/>
          <w:color w:val="auto"/>
        </w:rPr>
        <w:t>Increased Amount Date</w:t>
      </w:r>
      <w:r>
        <w:rPr>
          <w:rFonts w:ascii="Times New Roman" w:cs="Times New Roman" w:eastAsia="Times New Roman" w:hAnsi="Times New Roman"/>
          <w:sz w:val="20"/>
          <w:szCs w:val="20"/>
          <w:color w:val="auto"/>
        </w:rPr>
        <w:t xml:space="preserve">”) on which the applicable Borrower proposes that the New Commitments shall be effective, which shall be a date not less than five Business Days after the date on which such notice is delivered to Agent (or such shorter period as may be agreed by the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Lender offered or approached to provide all or a portion of the New Commitments may elect or decline, in its sole discretion, to provide a New Commitment. Such New Commitments shall become effective, as of such Increased Amount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subject to Section 1.10, no Default or Event of Default shall exist on such Increased Amount Date before or after giving effect to such New Commitments, as applicable; (ii) subject to Section 1.10, both before and after giving effect to the making of any New Term Loans or New Revolving Loans, each of the conditions set forth in Section 4.02 shall be satisfied; (iii) subject to Section 1.10, the U.S. Borrower and the Restricted Subsidiaries shall be in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compliance with Section 6.10 as of the last day of the most recently ended fiscal quarter prior to such Increased Amount Date and as in effect on such Increased Amount Date after giving effect to such New Commitments and any Investment to be consummated in connection therewith; (iv) the New Commitments shall be effected pursuant to one or more supplements to this Agreement executed and delivered by the Loan Parties, the New Lenders and the Agent; and (v) any such supplement shall provide that each New Lender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62" w:name="page263"/>
    <w:bookmarkEnd w:id="262"/>
    <w:p>
      <w:pPr>
        <w:ind w:right="20"/>
        <w:spacing w:after="0" w:line="253" w:lineRule="auto"/>
        <w:rPr>
          <w:sz w:val="20"/>
          <w:szCs w:val="20"/>
          <w:color w:val="auto"/>
        </w:rPr>
      </w:pPr>
      <w:r>
        <w:rPr>
          <w:rFonts w:ascii="Times New Roman" w:cs="Times New Roman" w:eastAsia="Times New Roman" w:hAnsi="Times New Roman"/>
          <w:sz w:val="20"/>
          <w:szCs w:val="20"/>
          <w:color w:val="auto"/>
        </w:rPr>
        <w:t>automatically become party to the Loss Sharing Agreement pursuant to such supplement. Any New Term Loans (other than any New Term Loans which are designated as an increase in the amount of any previously established Class of Term Loans) made on an Increased Amount Date shall be designated a separate series (a “</w:t>
      </w:r>
      <w:r>
        <w:rPr>
          <w:rFonts w:ascii="Times New Roman" w:cs="Times New Roman" w:eastAsia="Times New Roman" w:hAnsi="Times New Roman"/>
          <w:sz w:val="20"/>
          <w:szCs w:val="20"/>
          <w:u w:val="single" w:color="auto"/>
          <w:color w:val="auto"/>
        </w:rPr>
        <w:t>Series</w:t>
      </w:r>
      <w:r>
        <w:rPr>
          <w:rFonts w:ascii="Times New Roman" w:cs="Times New Roman" w:eastAsia="Times New Roman" w:hAnsi="Times New Roman"/>
          <w:sz w:val="20"/>
          <w:szCs w:val="20"/>
          <w:color w:val="auto"/>
        </w:rPr>
        <w:t>”) of New Term Loans for all purposes of this Agreement. In connection with the obtaining of any New Commitments pursuant to this Section 2.19(a), the U.S. Borrower shall, or shall cause the other applicable Loan Parties to, make such amendments to the Collateral Documents and take such other customary actions, if any, as the Agent may reasonably request in order to preserve and protect the Liens on the Collateral securing the Obligations (either prior to or within 30 days (or such longer period as to which the Agent may consent) following the Increased Amount Date for such New Commitments).</w:t>
      </w:r>
    </w:p>
    <w:p>
      <w:pPr>
        <w:spacing w:after="0" w:line="179" w:lineRule="exact"/>
        <w:rPr>
          <w:sz w:val="20"/>
          <w:szCs w:val="20"/>
          <w:color w:val="auto"/>
        </w:rPr>
      </w:pPr>
    </w:p>
    <w:p>
      <w:pPr>
        <w:ind w:firstLine="1304"/>
        <w:spacing w:after="0" w:line="250" w:lineRule="auto"/>
        <w:tabs>
          <w:tab w:leader="none" w:pos="1932"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Increased Amount Date on which New Revolving Commitments are effected under any existing Revolving Facility (but not any New Revolving Facility being established on such date), subject to the satisfaction of the foregoing terms and conditions, (a) each of the Lenders with Revolving Commitments under the applicable Revolving Facility shall assign to each Lender with a New Revolving Commitment (each, a “</w:t>
      </w:r>
      <w:r>
        <w:rPr>
          <w:rFonts w:ascii="Times New Roman" w:cs="Times New Roman" w:eastAsia="Times New Roman" w:hAnsi="Times New Roman"/>
          <w:sz w:val="20"/>
          <w:szCs w:val="20"/>
          <w:u w:val="single" w:color="auto"/>
          <w:color w:val="auto"/>
        </w:rPr>
        <w:t>New Revolving Lender</w:t>
      </w:r>
      <w:r>
        <w:rPr>
          <w:rFonts w:ascii="Times New Roman" w:cs="Times New Roman" w:eastAsia="Times New Roman" w:hAnsi="Times New Roman"/>
          <w:sz w:val="20"/>
          <w:szCs w:val="20"/>
          <w:color w:val="auto"/>
        </w:rPr>
        <w:t>”) and each of the New Revolving Lenders shall purchase from each of the Lenders with Revolving Commitments under the applicable Revolving Facility, at the principal amount thereof, such interests in the Revolving Loans outstanding under the applicable Revolving Facility on such Increased Amount Date as shall be necessary in order that, after giving effect to all such assignments and purchases, such Revolving Loans will be held by existing Lenders with Revolving Loans under the applicable Revolving Facility and New Revolving Lenders ratably in accordance with their Ratable Portions after giving effect to the addition of such New Revolving Commitments to such Revolving Facility, (b) each such New Revolving Commitment shall be deemed for all purposes a Revolving Commitment under the applicable Revolving Facility and each Loan made thereunder (a “</w:t>
      </w:r>
      <w:r>
        <w:rPr>
          <w:rFonts w:ascii="Times New Roman" w:cs="Times New Roman" w:eastAsia="Times New Roman" w:hAnsi="Times New Roman"/>
          <w:sz w:val="20"/>
          <w:szCs w:val="20"/>
          <w:u w:val="single" w:color="auto"/>
          <w:color w:val="auto"/>
        </w:rPr>
        <w:t>New Revolving Loan</w:t>
      </w:r>
      <w:r>
        <w:rPr>
          <w:rFonts w:ascii="Times New Roman" w:cs="Times New Roman" w:eastAsia="Times New Roman" w:hAnsi="Times New Roman"/>
          <w:sz w:val="20"/>
          <w:szCs w:val="20"/>
          <w:color w:val="auto"/>
        </w:rPr>
        <w:t>”) shall be deemed, for all purposes, a Revolving Loan under the applicable Revolving Facility and (c) each New Revolving Lender with a New Revolving Commitment under an existing Revolving Facility shall become a Lender under the applicable Revolving Facility with respect to the New Revolving Commitment and all matters relating thereto. On any Increased Amount Date on which New Revolving Commitments are effected under any New Revolving Facility, subject to the satisfaction of the foregoing terms and conditions, the Agent and the Borrowers shall enter into an amendment to this Agreement to incorporate the terms of such New Revolving Facility hereunder on substantially the same terms as were applicable to the existing Revolving Facilities (except with respect to the rate of interest and the Scheduled Termination Date applicable to such New Revolving Facility and except as otherwise reasonably acceptable to the Agent).</w:t>
      </w:r>
    </w:p>
    <w:p>
      <w:pPr>
        <w:spacing w:after="0" w:line="179" w:lineRule="exact"/>
        <w:rPr>
          <w:rFonts w:ascii="Times New Roman" w:cs="Times New Roman" w:eastAsia="Times New Roman" w:hAnsi="Times New Roman"/>
          <w:sz w:val="20"/>
          <w:szCs w:val="20"/>
          <w:color w:val="auto"/>
        </w:rPr>
      </w:pPr>
    </w:p>
    <w:p>
      <w:pPr>
        <w:ind w:right="80" w:firstLine="1304"/>
        <w:spacing w:after="0" w:line="257" w:lineRule="auto"/>
        <w:tabs>
          <w:tab w:leader="none" w:pos="193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Increased Amount Date on which any New Term Commitments of any Class are effective, subject to the satisfaction of the foregoing terms and conditions, (i) each Lender with a New Term Commitment (each, a “</w:t>
      </w:r>
      <w:r>
        <w:rPr>
          <w:rFonts w:ascii="Times New Roman" w:cs="Times New Roman" w:eastAsia="Times New Roman" w:hAnsi="Times New Roman"/>
          <w:sz w:val="20"/>
          <w:szCs w:val="20"/>
          <w:u w:val="single" w:color="auto"/>
          <w:color w:val="auto"/>
        </w:rPr>
        <w:t>New Term Loan Lender</w:t>
      </w:r>
      <w:r>
        <w:rPr>
          <w:rFonts w:ascii="Times New Roman" w:cs="Times New Roman" w:eastAsia="Times New Roman" w:hAnsi="Times New Roman"/>
          <w:sz w:val="20"/>
          <w:szCs w:val="20"/>
          <w:color w:val="auto"/>
        </w:rPr>
        <w:t>”) of any Class shall make a Loan to the applicable Borrower (a “</w:t>
      </w:r>
      <w:r>
        <w:rPr>
          <w:rFonts w:ascii="Times New Roman" w:cs="Times New Roman" w:eastAsia="Times New Roman" w:hAnsi="Times New Roman"/>
          <w:sz w:val="20"/>
          <w:szCs w:val="20"/>
          <w:u w:val="single" w:color="auto"/>
          <w:color w:val="auto"/>
        </w:rPr>
        <w:t>New Term Loan</w:t>
      </w:r>
      <w:r>
        <w:rPr>
          <w:rFonts w:ascii="Times New Roman" w:cs="Times New Roman" w:eastAsia="Times New Roman" w:hAnsi="Times New Roman"/>
          <w:sz w:val="20"/>
          <w:szCs w:val="20"/>
          <w:color w:val="auto"/>
        </w:rPr>
        <w:t>”) in the requested currency in an amount equal to its New Term Commitment of such Class, and (ii) each New Term Loan Lender of any Class shall become a Lender hereunder with respect to the New Term Commitment of such Class and the New Term Loans of such Class made pursuant thereto.</w:t>
      </w:r>
    </w:p>
    <w:p>
      <w:pPr>
        <w:spacing w:after="0" w:line="172" w:lineRule="exact"/>
        <w:rPr>
          <w:rFonts w:ascii="Times New Roman" w:cs="Times New Roman" w:eastAsia="Times New Roman" w:hAnsi="Times New Roman"/>
          <w:sz w:val="20"/>
          <w:szCs w:val="20"/>
          <w:color w:val="auto"/>
        </w:rPr>
      </w:pPr>
    </w:p>
    <w:p>
      <w:pPr>
        <w:ind w:firstLine="1304"/>
        <w:spacing w:after="0" w:line="257" w:lineRule="auto"/>
        <w:tabs>
          <w:tab w:leader="none" w:pos="1932"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and provisions of the New Term Loans and New Term Commitments shall be, except as otherwise set forth herein or in the applicable supplement relating thereto, identical to the existing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final maturity date of the New Term Loans shall be no earlier than (x) in the case of Refinancing Term Loans, the Term Loans or Revolving Commitments refinanced therewith, (y) in the case of New Term A Loans, the latest maturity date of the 2024 Refinancing Term A Loans and (z) in the case of any other New Term Loans, the U.S. Term B-8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63" w:name="page264"/>
    <w:bookmarkEnd w:id="263"/>
    <w:p>
      <w:pPr>
        <w:spacing w:after="0" w:line="249" w:lineRule="auto"/>
        <w:rPr>
          <w:sz w:val="20"/>
          <w:szCs w:val="20"/>
          <w:color w:val="auto"/>
        </w:rPr>
      </w:pPr>
      <w:r>
        <w:rPr>
          <w:rFonts w:ascii="Times New Roman" w:cs="Times New Roman" w:eastAsia="Times New Roman" w:hAnsi="Times New Roman"/>
          <w:sz w:val="20"/>
          <w:szCs w:val="20"/>
          <w:color w:val="auto"/>
        </w:rPr>
        <w:t xml:space="preserve">Maturity Date, and, in the case of all New Term Loans, the mandatory prepayment provisions applicable to the New Term Loans shall not require that any mandatory prepayment pursuant to Section 2.09 apply to such New Term Loans on a greater basis than ratable basis then outstanding Term Loans, (ii) the currency, optional prepayment provisions, rate of interest and the amortization schedule applicable to any New Term Loans of each Series shall be determined by the applicable Borrower and the applicable new Lenders and shall be set forth in the applicable supplement relating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Weighted Average Life to Maturity of any New Term Loans will be no shorter than (x) in the case of Refinancing Term Loans, the Weighted Average Life to Maturity of the Term Loans refinanced or Revolving Commitments replaced thereby and (y) in the case of New Term A Loans, the then longest remaining Weighted Average Life to Maturity of the 2024 Refinancing Term A Loans, (iii) New Term Loans shall not be guaranteed by any Subsidiary of the U.S. Borrower that is not a Loan Party and shall be secured on a pari passu basis with the other Obligations pursuant to the Collateral Documents and (iv) all other terms applicable to the New Term Loans of each Series that differ from the existing Term Loans shall be reasonably acceptable to the Agent (as evidenced by its execution of the applicable supplement relating thereto). The terms and provisions of the New Revolving Loans and New Revolving Commitments forming an increase in any then existing Revolving Facility shall be identical to the Revolving Loans and the Revolving Commitments under such Revolving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New Revolving Facility, (i) the Scheduled Termination Date with respect thereto shall be set forth in the applicable supplement and shall be no earlier than the Scheduled Termination Date of any then outstanding Revolving Facility in effect at such time, (ii) the rate of interest and fees applicable thereto shall be determined by the applicable Borrower and the applicable new Lenders and shall be set forth in the applicable supplement relating thereto, (iii) such New Revolving Facility shall not be guaranteed by any Subsidiary of the U.S. Borrower that is not a Loan Party and shall be secured on a pari passu basis with the other Obligations pursuant to the Collateral Documents and (iv) all other terms applicable thereto that differ from the existing Revolving Loans and Revolving Commitments under the existing Revolving Facilities (including but not limited to any currency available under or any Borrower of such New Revolving Facility) shall be reasonably acceptable to the Agent (as evidenced by the execution of the applicable supplement relating thereto).</w:t>
      </w:r>
    </w:p>
    <w:p>
      <w:pPr>
        <w:spacing w:after="0" w:line="187" w:lineRule="exact"/>
        <w:rPr>
          <w:sz w:val="20"/>
          <w:szCs w:val="20"/>
          <w:color w:val="auto"/>
        </w:rPr>
      </w:pPr>
    </w:p>
    <w:p>
      <w:pPr>
        <w:ind w:firstLine="1304"/>
        <w:spacing w:after="0" w:line="250" w:lineRule="auto"/>
        <w:tabs>
          <w:tab w:leader="none" w:pos="1934"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Borrower may at any time and from time to time request that all or a portion of the Term Loans under any Term Loan Facility of such Borrower (an “</w:t>
      </w:r>
      <w:r>
        <w:rPr>
          <w:rFonts w:ascii="Times New Roman" w:cs="Times New Roman" w:eastAsia="Times New Roman" w:hAnsi="Times New Roman"/>
          <w:sz w:val="20"/>
          <w:szCs w:val="20"/>
          <w:u w:val="single" w:color="auto"/>
          <w:color w:val="auto"/>
        </w:rPr>
        <w:t>Existing Class</w:t>
      </w:r>
      <w:r>
        <w:rPr>
          <w:rFonts w:ascii="Times New Roman" w:cs="Times New Roman" w:eastAsia="Times New Roman" w:hAnsi="Times New Roman"/>
          <w:sz w:val="20"/>
          <w:szCs w:val="20"/>
          <w:color w:val="auto"/>
        </w:rPr>
        <w:t>”) be converted to extend the scheduled maturity date(s) of any payment of principal with respect to all or a portion of any principal amount of such Term Loans and/or amended to lower the Effective Yield thereof (any such Term Loans which have been so converted and/or extended, “</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and to provide for other terms consistent with this Section 2.19(e). In order to establish any Extended Term Loans, the applicable Borrower shall provide a notice to the Agent (who shall provide a copy of such notice to each of the Lenders of the applicable Existing Class) (an “</w:t>
      </w:r>
      <w:r>
        <w:rPr>
          <w:rFonts w:ascii="Times New Roman" w:cs="Times New Roman" w:eastAsia="Times New Roman" w:hAnsi="Times New Roman"/>
          <w:sz w:val="20"/>
          <w:szCs w:val="20"/>
          <w:u w:val="single" w:color="auto"/>
          <w:color w:val="auto"/>
        </w:rPr>
        <w:t>Extension Request</w:t>
      </w:r>
      <w:r>
        <w:rPr>
          <w:rFonts w:ascii="Times New Roman" w:cs="Times New Roman" w:eastAsia="Times New Roman" w:hAnsi="Times New Roman"/>
          <w:sz w:val="20"/>
          <w:szCs w:val="20"/>
          <w:color w:val="auto"/>
        </w:rPr>
        <w:t>”) setting forth the proposed terms of the Extended Term Loans to be established, which shall be identical to the Term Loans of the Existing Class from which they are to be converted except (w) all or any of the scheduled amortization payments of principal of the Extended Term Loans may be delayed to later dates than the scheduled amortization of principal of the Term Loans of such Existing Class, (x) (A) the interest rate and fee provisions with respect to the Extended Term Loans may be different from those applicable to the Term Loans of such Existing Class (and Extended Term Loans may provide for prepayment protection that is different from those applicable to such Existing Class) and/or (B) additional fees may be payable to the Lenders providing such Extended Term Loans in addition to or in lieu of any increased margins contemplated by the preceding clause (A), (y) the supplement providing for such Extended Term Loans may provide for other terms applicable to such Extended Term Loans so long as either (A) such additional terms do not apply until all Term Loans and Commitments outstanding immediately prior to the establishment of such Extended Term Loans have been repaid, terminated or returned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64" w:name="page265"/>
    <w:bookmarkEnd w:id="264"/>
    <w:p>
      <w:pPr>
        <w:jc w:val="both"/>
        <w:ind w:right="360" w:firstLine="8"/>
        <w:spacing w:after="0" w:line="276" w:lineRule="auto"/>
        <w:tabs>
          <w:tab w:leader="none" w:pos="313"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additional terms are less favorable to the holders of the Extended Term Loans than the corresponding Existing Class or (C) such additional terms have been approved by the Required Lenders and (z) the mandatory prepayment rights of the Extended Term Loans and such Existing Class may be different so long as the proportion (if any) of the proceeds thereof to which such Extended Term Loans are entitled is no greater on a proportionate basis than the portion of such proceeds to which the Existing Class is entitled to receive.</w:t>
      </w:r>
    </w:p>
    <w:p>
      <w:pPr>
        <w:spacing w:after="0" w:line="156" w:lineRule="exact"/>
        <w:rPr>
          <w:rFonts w:ascii="Times New Roman" w:cs="Times New Roman" w:eastAsia="Times New Roman" w:hAnsi="Times New Roman"/>
          <w:sz w:val="19"/>
          <w:szCs w:val="19"/>
          <w:color w:val="auto"/>
        </w:rPr>
      </w:pPr>
    </w:p>
    <w:p>
      <w:pPr>
        <w:ind w:firstLine="1304"/>
        <w:spacing w:after="0" w:line="251" w:lineRule="auto"/>
        <w:tabs>
          <w:tab w:leader="none" w:pos="1732"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provide the applicable Extension Request at least five (5) Business Days prior to the date on which Lenders under the Existing Class are requested to respond (or such shorter period as may be agreed by the Agent). Any Lender (an “</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wishing to have all or a portion of its Term Loans of the Existing Class subject to such Extension Request converted into Extended Term Loans shall notify the Agent (an “</w:t>
      </w:r>
      <w:r>
        <w:rPr>
          <w:rFonts w:ascii="Times New Roman" w:cs="Times New Roman" w:eastAsia="Times New Roman" w:hAnsi="Times New Roman"/>
          <w:sz w:val="20"/>
          <w:szCs w:val="20"/>
          <w:u w:val="single" w:color="auto"/>
          <w:color w:val="auto"/>
        </w:rPr>
        <w:t>Extension Election</w:t>
      </w:r>
      <w:r>
        <w:rPr>
          <w:rFonts w:ascii="Times New Roman" w:cs="Times New Roman" w:eastAsia="Times New Roman" w:hAnsi="Times New Roman"/>
          <w:sz w:val="20"/>
          <w:szCs w:val="20"/>
          <w:color w:val="auto"/>
        </w:rPr>
        <w:t>”) on or prior to the date specified in such Extension Request of the amount of its Term Loans of the Existing Class which it has elected to convert into Extended Term Loans. In the event that the aggregate amount of Term Loans of the Existing Class subject to Extension Elections exceeds the amount of Extended Term Loans requested pursuant to the Extension Request, Term Loans subject to Extension Elections shall be converted to Extended Term Loans on a pro rata basis based on the amount of Term Loans included in each such Extension Election (subject to such rounding as the Agent deems expedient). For the avoidance of doubt, each Lender agrees that any Term Loan that is converted to an Extended Term Loan (and the Extending Lender providing such Extended Term Loan) shall continue to be subject to the Loss Sharing Agreement to the same extent as the Term Loan from which such Extended Term Loan was converted. Any Extended Term Loans shall be established on the date set forth in the applicable supplement entered into by the applicable Borrower and the Agent pursuant to this Section 2.19(e) (it being understood that by providing an Extension Election, an Extending Lender will agree to be bound thereby).</w:t>
      </w:r>
    </w:p>
    <w:p>
      <w:pPr>
        <w:spacing w:after="0" w:line="181" w:lineRule="exact"/>
        <w:rPr>
          <w:sz w:val="20"/>
          <w:szCs w:val="20"/>
          <w:color w:val="auto"/>
        </w:rPr>
      </w:pPr>
    </w:p>
    <w:p>
      <w:pPr>
        <w:ind w:right="140" w:firstLine="1304"/>
        <w:spacing w:after="0" w:line="261" w:lineRule="auto"/>
        <w:tabs>
          <w:tab w:leader="none" w:pos="1939"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supplement pursuant to this Section 2.19 may, without the consent of any other Lenders, effect such amendments to this Agreement and the other Loan Documents as may be necessary or appropriate, in the opinion of the Agent and the Joint Lead Arrangers, to effect the provision of this Section 2.19.</w:t>
      </w:r>
    </w:p>
    <w:p>
      <w:pPr>
        <w:spacing w:after="0" w:line="181" w:lineRule="exact"/>
        <w:rPr>
          <w:rFonts w:ascii="Times New Roman" w:cs="Times New Roman" w:eastAsia="Times New Roman" w:hAnsi="Times New Roman"/>
          <w:sz w:val="20"/>
          <w:szCs w:val="20"/>
          <w:color w:val="auto"/>
        </w:rPr>
      </w:pPr>
    </w:p>
    <w:p>
      <w:pPr>
        <w:ind w:right="760" w:firstLine="1304"/>
        <w:spacing w:after="0" w:line="269" w:lineRule="auto"/>
        <w:tabs>
          <w:tab w:leader="none" w:pos="1932"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2.19 shall override any provisions of Section 9.02 to the contrary and, for the avoidance of doubt Section 2.09(b).</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II.20 </w:t>
      </w:r>
      <w:r>
        <w:rPr>
          <w:rFonts w:ascii="Times New Roman" w:cs="Times New Roman" w:eastAsia="Times New Roman" w:hAnsi="Times New Roman"/>
          <w:sz w:val="20"/>
          <w:szCs w:val="20"/>
          <w:u w:val="single" w:color="auto"/>
          <w:color w:val="auto"/>
        </w:rPr>
        <w:t>Defaulting Lenders</w:t>
      </w:r>
    </w:p>
    <w:p>
      <w:pPr>
        <w:spacing w:after="0" w:line="229" w:lineRule="exact"/>
        <w:rPr>
          <w:sz w:val="20"/>
          <w:szCs w:val="20"/>
          <w:color w:val="auto"/>
        </w:rPr>
      </w:pPr>
    </w:p>
    <w:p>
      <w:pPr>
        <w:ind w:right="20" w:firstLine="8"/>
        <w:spacing w:after="0" w:line="269" w:lineRule="auto"/>
        <w:tabs>
          <w:tab w:leader="none" w:pos="99"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Notwithstanding any provision of this Agreement to the contrary, if any Lender becomes a Defaulting Lender, then the following provisions shall apply for so long as such Lender is a Defaulting Lender:</w:t>
      </w:r>
    </w:p>
    <w:p>
      <w:pPr>
        <w:spacing w:after="0" w:line="64" w:lineRule="exact"/>
        <w:rPr>
          <w:rFonts w:ascii="Times New Roman" w:cs="Times New Roman" w:eastAsia="Times New Roman" w:hAnsi="Times New Roman"/>
          <w:sz w:val="20"/>
          <w:szCs w:val="20"/>
          <w:color w:val="auto"/>
        </w:rPr>
      </w:pPr>
    </w:p>
    <w:p>
      <w:pPr>
        <w:ind w:left="660" w:right="340" w:firstLine="644"/>
        <w:spacing w:after="0" w:line="269" w:lineRule="auto"/>
        <w:tabs>
          <w:tab w:leader="none" w:pos="1725"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 F</w:t>
      </w:r>
      <w:r>
        <w:rPr>
          <w:rFonts w:ascii="Times New Roman" w:cs="Times New Roman" w:eastAsia="Times New Roman" w:hAnsi="Times New Roman"/>
          <w:sz w:val="20"/>
          <w:szCs w:val="20"/>
          <w:u w:val="single" w:color="auto"/>
          <w:color w:val="0000FF"/>
        </w:rPr>
        <w:t>ees shall cease to accrue on the unfunded portion of the Revolving Commitments of such Defaulting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Lender pursuant to Section 2.10(a);</w:t>
      </w:r>
    </w:p>
    <w:p>
      <w:pPr>
        <w:spacing w:after="0" w:line="172" w:lineRule="exact"/>
        <w:rPr>
          <w:rFonts w:ascii="Times New Roman" w:cs="Times New Roman" w:eastAsia="Times New Roman" w:hAnsi="Times New Roman"/>
          <w:sz w:val="20"/>
          <w:szCs w:val="20"/>
          <w:color w:val="auto"/>
        </w:rPr>
      </w:pPr>
    </w:p>
    <w:p>
      <w:pPr>
        <w:ind w:left="660" w:right="80" w:firstLine="644"/>
        <w:spacing w:after="0" w:line="253" w:lineRule="auto"/>
        <w:tabs>
          <w:tab w:leader="none" w:pos="1736"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the Revolving Commitments and Revolving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Outstandings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of such Defaulting Lender shall not be included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determining whether the Required Lenders (or other requisite percentage of any Lenders pursuant to Article VII or Section 9.02) have taken or may take any action hereunder (including any consent to any amendment, waiver or other modification pursuant to Section 9.02); provided that this clause (b) shall not apply to the vote of a Defaulting Lender in the case of an amendment, waiver or other modification requiring the consent of such Lender or each Lender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65" w:name="page266"/>
    <w:bookmarkEnd w:id="265"/>
    <w:p>
      <w:pPr>
        <w:ind w:left="660" w:right="140" w:firstLine="644"/>
        <w:spacing w:after="0" w:line="283" w:lineRule="auto"/>
        <w:tabs>
          <w:tab w:leader="none" w:pos="1725"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Letters of Credit or LC Disbursements are outstanding under a Revolving Facility under which such Defaulting Lender is a Revolving Lender, then</w:t>
      </w:r>
    </w:p>
    <w:p>
      <w:pPr>
        <w:spacing w:after="0" w:line="146" w:lineRule="exact"/>
        <w:rPr>
          <w:rFonts w:ascii="Times New Roman" w:cs="Times New Roman" w:eastAsia="Times New Roman" w:hAnsi="Times New Roman"/>
          <w:sz w:val="20"/>
          <w:szCs w:val="20"/>
          <w:color w:val="auto"/>
        </w:rPr>
      </w:pPr>
    </w:p>
    <w:p>
      <w:pPr>
        <w:ind w:left="1300" w:firstLine="202"/>
        <w:spacing w:after="0" w:line="253" w:lineRule="auto"/>
        <w:tabs>
          <w:tab w:leader="none" w:pos="1882" w:val="left"/>
        </w:tabs>
        <w:numPr>
          <w:ilvl w:val="1"/>
          <w:numId w:val="229"/>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all or any part of the participation of such Lender in Letters of Credit and Revolving LC Disbursements shall be reallocated among the non-Defaulting Lenders under such Revolving Facility in accordance with their respective Ratable Portions but only to the extent (x) the sum of all non-Defaulting Lenders’ Revolving Outstandings under such Revolving Facility plus such Defaulting Lender’s Ratable Portion of the Letters of Credit and LC Disbursements does not exceed the total of all non-Defaulting Lenders’ Revolving Commitments under such Revolving Facility and (y) the conditions set forth in Section 4.02(b) would be satisfied at such time (determined as if such reallocation constituted the issuance of a new Letter of Credit at such time)</w:t>
      </w:r>
      <w:r>
        <w:rPr>
          <w:rFonts w:ascii="Times New Roman" w:cs="Times New Roman" w:eastAsia="Times New Roman" w:hAnsi="Times New Roman"/>
          <w:sz w:val="20"/>
          <w:szCs w:val="20"/>
          <w:u w:val="single" w:color="auto"/>
          <w:color w:val="0000FF"/>
        </w:rPr>
        <w:t>;</w:t>
      </w:r>
    </w:p>
    <w:p>
      <w:pPr>
        <w:spacing w:after="0" w:line="179" w:lineRule="exact"/>
        <w:rPr>
          <w:rFonts w:ascii="Times New Roman" w:cs="Times New Roman" w:eastAsia="Times New Roman" w:hAnsi="Times New Roman"/>
          <w:sz w:val="20"/>
          <w:szCs w:val="20"/>
          <w:color w:val="0000FF"/>
        </w:rPr>
      </w:pPr>
    </w:p>
    <w:p>
      <w:pPr>
        <w:ind w:left="1300" w:right="80" w:firstLine="202"/>
        <w:spacing w:after="0" w:line="257" w:lineRule="auto"/>
        <w:tabs>
          <w:tab w:leader="none" w:pos="1937" w:val="left"/>
        </w:tabs>
        <w:numPr>
          <w:ilvl w:val="1"/>
          <w:numId w:val="229"/>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if the reallocation described in clause (i) above cannot, or can only partially, be effected, the applicable Borrower shall within one Business Day following notice by the Agent cash collateralize such Defaulting Lender’s Ratable Portion of the Letters of Credit and LC Disbursements under such Revolving Facility (after giving effect to any partial reallocation pursuant to clause (i) above) in accordance with the procedures set forth in Section 2.04(j) for so long as such Letters of Credit or LC Disbursements are outstanding</w:t>
      </w:r>
      <w:r>
        <w:rPr>
          <w:rFonts w:ascii="Times New Roman" w:cs="Times New Roman" w:eastAsia="Times New Roman" w:hAnsi="Times New Roman"/>
          <w:sz w:val="20"/>
          <w:szCs w:val="20"/>
          <w:u w:val="single" w:color="auto"/>
          <w:color w:val="0000FF"/>
        </w:rPr>
        <w:t>;</w:t>
      </w:r>
    </w:p>
    <w:p>
      <w:pPr>
        <w:spacing w:after="0" w:line="172" w:lineRule="exact"/>
        <w:rPr>
          <w:rFonts w:ascii="Times New Roman" w:cs="Times New Roman" w:eastAsia="Times New Roman" w:hAnsi="Times New Roman"/>
          <w:sz w:val="20"/>
          <w:szCs w:val="20"/>
          <w:color w:val="0000FF"/>
        </w:rPr>
      </w:pPr>
    </w:p>
    <w:p>
      <w:pPr>
        <w:jc w:val="both"/>
        <w:ind w:left="1300" w:right="380" w:firstLine="202"/>
        <w:spacing w:after="0" w:line="258" w:lineRule="auto"/>
        <w:tabs>
          <w:tab w:leader="none" w:pos="1992" w:val="left"/>
        </w:tabs>
        <w:numPr>
          <w:ilvl w:val="1"/>
          <w:numId w:val="229"/>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0000FF"/>
        </w:rPr>
        <w:t xml:space="preserve">if the Borrower cash collateralizes any portion of such Defaulting Lender’s LC Exposure pursuant to clause (ii) </w:t>
      </w:r>
      <w:r>
        <w:rPr>
          <w:rFonts w:ascii="Times New Roman" w:cs="Times New Roman" w:eastAsia="Times New Roman" w:hAnsi="Times New Roman"/>
          <w:sz w:val="20"/>
          <w:szCs w:val="20"/>
          <w:u w:val="single" w:color="auto"/>
          <w:color w:val="0000FF"/>
        </w:rPr>
        <w:t>above, the Borrower shall not be required to pay any fees to such Defaulting Lender pursuant to Section 2.10(b)(ii) with respect to such Defaulting Lender’s LC Exposure during the period such Defaulting Lender’s LC Exposure is cash collateralized;</w:t>
      </w:r>
    </w:p>
    <w:p>
      <w:pPr>
        <w:spacing w:after="0" w:line="185" w:lineRule="exact"/>
        <w:rPr>
          <w:rFonts w:ascii="Times New Roman" w:cs="Times New Roman" w:eastAsia="Times New Roman" w:hAnsi="Times New Roman"/>
          <w:sz w:val="20"/>
          <w:szCs w:val="20"/>
          <w:color w:val="0000FF"/>
        </w:rPr>
      </w:pPr>
    </w:p>
    <w:p>
      <w:pPr>
        <w:jc w:val="both"/>
        <w:ind w:left="1300" w:right="120" w:firstLine="202"/>
        <w:spacing w:after="0" w:line="261" w:lineRule="auto"/>
        <w:tabs>
          <w:tab w:leader="none" w:pos="1981" w:val="left"/>
        </w:tabs>
        <w:numPr>
          <w:ilvl w:val="1"/>
          <w:numId w:val="229"/>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0000FF"/>
        </w:rPr>
        <w:t xml:space="preserve">if the LC Exposure of the non-Defaulting Lenders is reallocated pursuant to clause (i) above, then the fees payable </w:t>
      </w:r>
      <w:r>
        <w:rPr>
          <w:rFonts w:ascii="Times New Roman" w:cs="Times New Roman" w:eastAsia="Times New Roman" w:hAnsi="Times New Roman"/>
          <w:sz w:val="20"/>
          <w:szCs w:val="20"/>
          <w:u w:val="single" w:color="auto"/>
          <w:color w:val="0000FF"/>
        </w:rPr>
        <w:t>to the Lenders pursuant to Section 2.10(a) and Section 2.10(b)(ii) shall be adjusted in accordance with such non-Defaulting Lenders’ Ratable Portions; and</w:t>
      </w:r>
    </w:p>
    <w:p>
      <w:pPr>
        <w:spacing w:after="0" w:line="167" w:lineRule="exact"/>
        <w:rPr>
          <w:rFonts w:ascii="Times New Roman" w:cs="Times New Roman" w:eastAsia="Times New Roman" w:hAnsi="Times New Roman"/>
          <w:sz w:val="20"/>
          <w:szCs w:val="20"/>
          <w:color w:val="0000FF"/>
        </w:rPr>
      </w:pPr>
    </w:p>
    <w:p>
      <w:pPr>
        <w:ind w:left="1300" w:right="80" w:firstLine="202"/>
        <w:spacing w:after="0" w:line="257" w:lineRule="auto"/>
        <w:tabs>
          <w:tab w:leader="none" w:pos="1926" w:val="left"/>
        </w:tabs>
        <w:numPr>
          <w:ilvl w:val="1"/>
          <w:numId w:val="229"/>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0000FF"/>
        </w:rPr>
        <w:t xml:space="preserve">if all or any portion of such Defaulting Lender’s LC Exposure is neither reallocated nor cash collateralized pursuant </w:t>
      </w:r>
      <w:r>
        <w:rPr>
          <w:rFonts w:ascii="Times New Roman" w:cs="Times New Roman" w:eastAsia="Times New Roman" w:hAnsi="Times New Roman"/>
          <w:sz w:val="20"/>
          <w:szCs w:val="20"/>
          <w:u w:val="single" w:color="auto"/>
          <w:color w:val="0000FF"/>
        </w:rPr>
        <w:t>to clause (i) or (ii) above, then, without prejudice to any rights or remedies of any applicable Issuing Bank or any other Lender hereunder, all letter of credit fees payable under Section 2.10(b)(ii) with respect to such Defaulting Lender’s Revolving LC Exposure shall be payable to the Issuing Bank that has issued the Letters of Credit accounting for such LC Exposure until and to the extent that such LC Exposure is reallocated and/or cash collateralized; and</w:t>
      </w:r>
    </w:p>
    <w:p>
      <w:pPr>
        <w:spacing w:after="0" w:line="172" w:lineRule="exact"/>
        <w:rPr>
          <w:rFonts w:ascii="Times New Roman" w:cs="Times New Roman" w:eastAsia="Times New Roman" w:hAnsi="Times New Roman"/>
          <w:sz w:val="20"/>
          <w:szCs w:val="20"/>
          <w:color w:val="0000FF"/>
        </w:rPr>
      </w:pPr>
    </w:p>
    <w:p>
      <w:pPr>
        <w:ind w:left="660" w:right="20" w:firstLine="644"/>
        <w:spacing w:after="0" w:line="253" w:lineRule="auto"/>
        <w:tabs>
          <w:tab w:leader="none" w:pos="1736"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so long as such Lender is a Defaulting Lender,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 in accordance with Section 2.20(c), and participation obligations with respect to any newly made LC Exposure related to any newly issued or increased Letter of Credit shall be allocated among non-Defaulting Lenders in a manner consistent with Section 2.20(c)(i) (and such Defaulting Lender shall not participate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-5092065</wp:posOffset>
            </wp:positionV>
            <wp:extent cx="3695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77">
                      <a:extLst>
                        <a:ext uri="{28A0092B-C50C-407E-A947-70E740481C1C}"/>
                      </a:extLst>
                    </a:blip>
                    <a:srcRect/>
                    <a:stretch>
                      <a:fillRect/>
                    </a:stretch>
                  </pic:blipFill>
                  <pic:spPr bwMode="auto">
                    <a:xfrm>
                      <a:off x="0" y="0"/>
                      <a:ext cx="36957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-3900170</wp:posOffset>
            </wp:positionV>
            <wp:extent cx="4044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78">
                      <a:extLst>
                        <a:ext uri="{28A0092B-C50C-407E-A947-70E740481C1C}"/>
                      </a:extLst>
                    </a:blip>
                    <a:srcRect/>
                    <a:stretch>
                      <a:fillRect/>
                    </a:stretch>
                  </pic:blipFill>
                  <pic:spPr bwMode="auto">
                    <a:xfrm>
                      <a:off x="0" y="0"/>
                      <a:ext cx="40449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-3008630</wp:posOffset>
            </wp:positionV>
            <wp:extent cx="60337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79">
                      <a:extLst>
                        <a:ext uri="{28A0092B-C50C-407E-A947-70E740481C1C}"/>
                      </a:extLst>
                    </a:blip>
                    <a:srcRect/>
                    <a:stretch>
                      <a:fillRect/>
                    </a:stretch>
                  </pic:blipFill>
                  <pic:spPr bwMode="auto">
                    <a:xfrm>
                      <a:off x="0" y="0"/>
                      <a:ext cx="603377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-2263140</wp:posOffset>
            </wp:positionV>
            <wp:extent cx="61855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80">
                      <a:extLst>
                        <a:ext uri="{28A0092B-C50C-407E-A947-70E740481C1C}"/>
                      </a:extLst>
                    </a:blip>
                    <a:srcRect/>
                    <a:stretch>
                      <a:fillRect/>
                    </a:stretch>
                  </pic:blipFill>
                  <pic:spPr bwMode="auto">
                    <a:xfrm>
                      <a:off x="0" y="0"/>
                      <a:ext cx="618553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-1680210</wp:posOffset>
            </wp:positionV>
            <wp:extent cx="62185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81">
                      <a:extLst>
                        <a:ext uri="{28A0092B-C50C-407E-A947-70E740481C1C}"/>
                      </a:extLst>
                    </a:blip>
                    <a:srcRect/>
                    <a:stretch>
                      <a:fillRect/>
                    </a:stretch>
                  </pic:blipFill>
                  <pic:spPr bwMode="auto">
                    <a:xfrm>
                      <a:off x="0" y="0"/>
                      <a:ext cx="6218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80"/>
          </w:cols>
          <w:pgMar w:left="320" w:top="1413" w:right="399" w:bottom="1440" w:gutter="0" w:footer="0" w:header="0"/>
        </w:sectPr>
      </w:pPr>
    </w:p>
    <w:bookmarkStart w:id="266" w:name="page267"/>
    <w:bookmarkEnd w:id="266"/>
    <w:p>
      <w:pPr>
        <w:ind w:right="340"/>
        <w:spacing w:after="0" w:line="253" w:lineRule="auto"/>
        <w:rPr>
          <w:sz w:val="20"/>
          <w:szCs w:val="20"/>
          <w:color w:val="auto"/>
        </w:rPr>
      </w:pPr>
      <w:r>
        <w:rPr>
          <w:rFonts w:ascii="Times New Roman" w:cs="Times New Roman" w:eastAsia="Times New Roman" w:hAnsi="Times New Roman"/>
          <w:sz w:val="20"/>
          <w:szCs w:val="20"/>
          <w:u w:val="single" w:color="auto"/>
          <w:color w:val="0000FF"/>
        </w:rPr>
        <w:t>If (i) a Bankruptcy Event or a Bail-In Action with respect to a Lender Parent shall occur following the date hereof and for so long as such event shall continue or (ii) any Issuing Bank has a good faith belief that any Lender has defaulted in fulfilling its obligations under one or more other agreements in which such Lender commits to extend credit, no Issuing Bank shall be required to issue, amend or increase any Letter of Credit, unless such Issuing Bank shall have entered into arrangements with the Borrowers or such Lender, satisfactory to such Issuing Bank to defease any risk to it in respect of such Lender hereunder.</w:t>
      </w:r>
    </w:p>
    <w:p>
      <w:pPr>
        <w:spacing w:after="0" w:line="8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u w:val="single" w:color="auto"/>
          <w:color w:val="0000FF"/>
        </w:rPr>
        <w:t>In the event that the Agent, the Borrower and each Issuing Bank each agrees that a Defaulting Lender has adequately remedied all matters that caused such Lender to be a Defaulting Lender, then the participation obligations in respect of LC Exposure of the Lenders shall be readjusted to reflect the inclusion of such Lender’s Revolving Commitment and on such date such Lender shall purchase at par such of the Revolving Loans of the other Revolving Lenders as the Agent shall determine may be necessary in order for such Revolving Lender to hold such Revolving Loans in accordance with its Ratable Portion.</w:t>
      </w:r>
    </w:p>
    <w:p>
      <w:pPr>
        <w:spacing w:after="0" w:line="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4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Loan Party represents and warrants to the Lenders that:</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III.1 </w:t>
      </w:r>
      <w:r>
        <w:rPr>
          <w:rFonts w:ascii="Times New Roman" w:cs="Times New Roman" w:eastAsia="Times New Roman" w:hAnsi="Times New Roman"/>
          <w:sz w:val="20"/>
          <w:szCs w:val="20"/>
          <w:u w:val="single" w:color="auto"/>
          <w:color w:val="auto"/>
        </w:rPr>
        <w:t>Organization; Powers</w:t>
      </w:r>
    </w:p>
    <w:p>
      <w:pPr>
        <w:spacing w:after="0" w:line="229" w:lineRule="exact"/>
        <w:rPr>
          <w:sz w:val="20"/>
          <w:szCs w:val="20"/>
          <w:color w:val="auto"/>
        </w:rPr>
      </w:pPr>
    </w:p>
    <w:p>
      <w:pPr>
        <w:ind w:right="80" w:firstLine="8"/>
        <w:spacing w:after="0" w:line="253" w:lineRule="auto"/>
        <w:tabs>
          <w:tab w:leader="none" w:pos="99"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individually or in the aggregate reasonably be expected to result in a Material Adverse Effect, each of the Loan Parties and each of the Restricted Subsidiaries (a) is duly organized or incorporated and validly existing under the laws of the jurisdiction of its organization or incorporation, as the case may be, and (b) has all requisite power and authority to own its property and assets and to carry on its business as now conducted and is qualified to do business in, and is in good standing (to the extent such concepts exist in the applicable jurisdictions) in every jurisdiction where such qualification is required.</w:t>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III.2 </w:t>
      </w:r>
      <w:r>
        <w:rPr>
          <w:rFonts w:ascii="Times New Roman" w:cs="Times New Roman" w:eastAsia="Times New Roman" w:hAnsi="Times New Roman"/>
          <w:sz w:val="20"/>
          <w:szCs w:val="20"/>
          <w:u w:val="single" w:color="auto"/>
          <w:color w:val="auto"/>
        </w:rPr>
        <w:t>Authorization; Enforceability</w:t>
      </w:r>
    </w:p>
    <w:p>
      <w:pPr>
        <w:spacing w:after="0" w:line="216" w:lineRule="exact"/>
        <w:rPr>
          <w:sz w:val="20"/>
          <w:szCs w:val="20"/>
          <w:color w:val="auto"/>
        </w:rPr>
      </w:pPr>
    </w:p>
    <w:p>
      <w:pPr>
        <w:ind w:firstLine="8"/>
        <w:spacing w:after="0" w:line="257" w:lineRule="auto"/>
        <w:tabs>
          <w:tab w:leader="none" w:pos="99"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Refinancing Transactions are within each applicable Loan Party’s and Foreign Borrower’s corporate powers and have been duly authorized by all necessary corporate and, if required, stockholder action of such Loan Party. Each Loan Document to which each Loan Party is a party has been duly executed and delivered by such Loan Party and is a legal, valid and binding obligation of such Loan Party, enforceable in accordance with its terms, subject to applicable bankruptcy, insolvency or similar laws affecting creditors’ rights generally and to general principles of equity.</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III.3 </w:t>
      </w:r>
      <w:r>
        <w:rPr>
          <w:rFonts w:ascii="Times New Roman" w:cs="Times New Roman" w:eastAsia="Times New Roman" w:hAnsi="Times New Roman"/>
          <w:sz w:val="20"/>
          <w:szCs w:val="20"/>
          <w:u w:val="single" w:color="auto"/>
          <w:color w:val="auto"/>
        </w:rPr>
        <w:t>Governmental Approvals; No Conflicts</w:t>
      </w:r>
    </w:p>
    <w:p>
      <w:pPr>
        <w:spacing w:after="0" w:line="229" w:lineRule="exact"/>
        <w:rPr>
          <w:sz w:val="20"/>
          <w:szCs w:val="20"/>
          <w:color w:val="auto"/>
        </w:rPr>
      </w:pPr>
    </w:p>
    <w:p>
      <w:pPr>
        <w:ind w:firstLine="8"/>
        <w:spacing w:after="0" w:line="251" w:lineRule="auto"/>
        <w:tabs>
          <w:tab w:leader="none" w:pos="99"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Refinancing Transactions (a) do not require any consent or approval of, registration or filing with, or any other action by, any Governmental Authority, except (A) such as have been obtained or made and are in full force and effect and (B) for filings and registrations necessary to perfect Liens created pursuant to the Loan Documents, (b) will not violate any Requirement of Law applicable to any Loan Party or any of the Restricted Subsidiaries, (c) will not violate or result in a default under any indenture, agreement or other instrument binding upon any Loan Party or any of the Restricted Subsidiaries or their respective assets, or (except for the Refinancing Transactions) give rise to a right thereunder to require any payment to be made by any Loan Party or any of the Restricted Subsidiaries, and (d) will not result in the creation or imposition of any Lien on any asset of any Loan Party or any of the Restricted Subsidiaries, except Liens created pursuant to the Loan Documents; except, in the case of each of clauses (a) through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67" w:name="page268"/>
    <w:bookmarkEnd w:id="267"/>
    <w:p>
      <w:pPr>
        <w:ind w:right="460"/>
        <w:spacing w:after="0" w:line="283" w:lineRule="auto"/>
        <w:rPr>
          <w:sz w:val="20"/>
          <w:szCs w:val="20"/>
          <w:color w:val="auto"/>
        </w:rPr>
      </w:pPr>
      <w:r>
        <w:rPr>
          <w:rFonts w:ascii="Times New Roman" w:cs="Times New Roman" w:eastAsia="Times New Roman" w:hAnsi="Times New Roman"/>
          <w:sz w:val="20"/>
          <w:szCs w:val="20"/>
          <w:color w:val="auto"/>
        </w:rPr>
        <w:t>above, to the extent that any such violation, default or right, or any failure to obtain such consent or approval or to take any such action, would not reasonably be expected to result in a Material Adverse Effect.</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III.4 </w:t>
      </w:r>
      <w:r>
        <w:rPr>
          <w:rFonts w:ascii="Times New Roman" w:cs="Times New Roman" w:eastAsia="Times New Roman" w:hAnsi="Times New Roman"/>
          <w:sz w:val="20"/>
          <w:szCs w:val="20"/>
          <w:u w:val="single" w:color="auto"/>
          <w:color w:val="auto"/>
        </w:rPr>
        <w:t>Financial Condition; No Material Adverse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firstLine="1304"/>
        <w:spacing w:after="0" w:line="253" w:lineRule="auto"/>
        <w:tabs>
          <w:tab w:leader="none" w:pos="1934"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has heretofore furnished to the Lenders the consolidated balance sheet and statements of earnings, shareholders’ equity and cash flows of Aramark, the indirect parent company of the U.S. Borrower, (i) as of and for the fiscal years ended September 30, 2016, each reported on by KPMG LLP, an independent registered public accounting firm and (ii) as of and for the fiscal quarter ended December 31, 2016. Such financial statements present fairly, in all material respects, the financial position and results of operations and cash flows of the U.S. Borrower and its consolidated subsidiaries as of such dates and for such periods in accordance with GAAP.</w:t>
      </w:r>
    </w:p>
    <w:p>
      <w:pPr>
        <w:spacing w:after="0" w:line="192" w:lineRule="exact"/>
        <w:rPr>
          <w:rFonts w:ascii="Times New Roman" w:cs="Times New Roman" w:eastAsia="Times New Roman" w:hAnsi="Times New Roman"/>
          <w:sz w:val="20"/>
          <w:szCs w:val="20"/>
          <w:color w:val="auto"/>
        </w:rPr>
      </w:pPr>
    </w:p>
    <w:p>
      <w:pPr>
        <w:ind w:right="580" w:firstLine="1304"/>
        <w:spacing w:after="0" w:line="283" w:lineRule="auto"/>
        <w:tabs>
          <w:tab w:leader="none" w:pos="1932"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change or condition has occurred that has had, or would reasonably be expected to have, a Material Adverse Effect, since September 30, 2016.</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III.5 </w:t>
      </w:r>
      <w:r>
        <w:rPr>
          <w:rFonts w:ascii="Times New Roman" w:cs="Times New Roman" w:eastAsia="Times New Roman" w:hAnsi="Times New Roman"/>
          <w:sz w:val="20"/>
          <w:szCs w:val="20"/>
          <w:u w:val="single" w:color="auto"/>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60" w:firstLine="1304"/>
        <w:spacing w:after="0" w:line="276" w:lineRule="auto"/>
        <w:tabs>
          <w:tab w:leader="none" w:pos="1934"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the Closing Date,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 xml:space="preserve"> sets forth the address of each parcel of real property (or each set of parcels that collectively comprise one operating property) that is owned by each Loan Party with an aggregate fair market value (as determined by the U.S. Borrower in good faith) in excess of $15.0 million or that the U.S. Borrower has otherwise agreed shall initially be a Mortgaged Property. </w:t>
      </w:r>
      <w:r>
        <w:rPr>
          <w:rFonts w:ascii="Times New Roman" w:cs="Times New Roman" w:eastAsia="Times New Roman" w:hAnsi="Times New Roman"/>
          <w:sz w:val="19"/>
          <w:szCs w:val="19"/>
          <w:u w:val="single" w:color="auto"/>
          <w:color w:val="auto"/>
        </w:rPr>
        <w:t>Schedule 3.05(a)</w:t>
      </w:r>
      <w:r>
        <w:rPr>
          <w:rFonts w:ascii="Times New Roman" w:cs="Times New Roman" w:eastAsia="Times New Roman" w:hAnsi="Times New Roman"/>
          <w:sz w:val="19"/>
          <w:szCs w:val="19"/>
          <w:color w:val="auto"/>
        </w:rPr>
        <w:t xml:space="preserve"> identifies the principal place of business and chief executive office of each Loan Party as of the Closing Date.</w:t>
      </w:r>
    </w:p>
    <w:p>
      <w:pPr>
        <w:spacing w:after="0" w:line="169" w:lineRule="exact"/>
        <w:rPr>
          <w:rFonts w:ascii="Times New Roman" w:cs="Times New Roman" w:eastAsia="Times New Roman" w:hAnsi="Times New Roman"/>
          <w:sz w:val="19"/>
          <w:szCs w:val="19"/>
          <w:color w:val="auto"/>
        </w:rPr>
      </w:pPr>
    </w:p>
    <w:p>
      <w:pPr>
        <w:ind w:right="20" w:firstLine="1304"/>
        <w:spacing w:after="0" w:line="253" w:lineRule="auto"/>
        <w:tabs>
          <w:tab w:leader="none" w:pos="1932"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U.S. Borrower and each of the Restricted Subsidiaries has good and insurable fee simple title to, or valid leasehold interests in, or easements or other limited property interests in, all its real properties (including all Mortgaged Properties) and has good and marketable title to its personal property and assets, in each case, except for defects in title that do not materially interfere with its ability to conduct its business as currently conducted or to utilize such properties and assets for their intended purposes and except where the failure to have such title would not reasonably be expected to have, individually or in the aggregate, a Material Adverse Effect. All such properties and assets are free and clear of Liens, other than Permitted Liens.</w:t>
      </w:r>
    </w:p>
    <w:p>
      <w:pPr>
        <w:spacing w:after="0" w:line="178" w:lineRule="exact"/>
        <w:rPr>
          <w:rFonts w:ascii="Times New Roman" w:cs="Times New Roman" w:eastAsia="Times New Roman" w:hAnsi="Times New Roman"/>
          <w:sz w:val="20"/>
          <w:szCs w:val="20"/>
          <w:color w:val="auto"/>
        </w:rPr>
      </w:pPr>
    </w:p>
    <w:p>
      <w:pPr>
        <w:ind w:firstLine="1304"/>
        <w:spacing w:after="0" w:line="253" w:lineRule="auto"/>
        <w:tabs>
          <w:tab w:leader="none" w:pos="1934"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U.S. Borrower and each of the Restricted Subsidiaries has complied with all obligations under all leases to which it is a party, except where the failure to comply would not reasonably be expected to have, individually or in the aggregate, a Material Adverse Effect, and all such leases are in full force and effect, except leases in respect of which the failure to be in full force and effect would not reasonably be expected to have, individually or in the aggregate, a Material Adverse Effect. Each of the U.S. Borrower and each of the Restricted Subsidiaries enjoys peaceful and undisturbed possession under all such leases, other than leases in respect of which the failure to enjoy peaceful and undisturbed possession would not reasonably be expected to have,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68" w:name="page269"/>
    <w:bookmarkEnd w:id="268"/>
    <w:p>
      <w:pPr>
        <w:jc w:val="both"/>
        <w:ind w:right="20" w:firstLine="1304"/>
        <w:spacing w:after="0" w:line="261" w:lineRule="auto"/>
        <w:tabs>
          <w:tab w:leader="none" w:pos="1932"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neither Holdings nor the U.S. Borrower has received any notice of, or has any knowledge of, any pending or contemplated condemnation proceeding affecting any of the Mortgaged Properties or any sale or disposition thereof in lieu of condemnation.</w:t>
      </w:r>
    </w:p>
    <w:p>
      <w:pPr>
        <w:spacing w:after="0" w:line="181" w:lineRule="exact"/>
        <w:rPr>
          <w:rFonts w:ascii="Times New Roman" w:cs="Times New Roman" w:eastAsia="Times New Roman" w:hAnsi="Times New Roman"/>
          <w:sz w:val="20"/>
          <w:szCs w:val="20"/>
          <w:color w:val="auto"/>
        </w:rPr>
      </w:pPr>
    </w:p>
    <w:p>
      <w:pPr>
        <w:ind w:right="20" w:firstLine="1304"/>
        <w:spacing w:after="0" w:line="261" w:lineRule="auto"/>
        <w:tabs>
          <w:tab w:leader="none" w:pos="193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U.S. Borrower’s knowledge, as of the Closing Date, none of the U.S. Borrower or any Restricted Subsidiary is obligated under any right of first refusal, option or other contractual right to sell, assign or otherwise dispose of any Mortgaged Property or any interest therein.</w:t>
      </w:r>
    </w:p>
    <w:p>
      <w:pPr>
        <w:spacing w:after="0" w:line="181" w:lineRule="exact"/>
        <w:rPr>
          <w:rFonts w:ascii="Times New Roman" w:cs="Times New Roman" w:eastAsia="Times New Roman" w:hAnsi="Times New Roman"/>
          <w:sz w:val="20"/>
          <w:szCs w:val="20"/>
          <w:color w:val="auto"/>
        </w:rPr>
      </w:pPr>
    </w:p>
    <w:p>
      <w:pPr>
        <w:ind w:right="60" w:firstLine="1304"/>
        <w:spacing w:after="0" w:line="264" w:lineRule="auto"/>
        <w:tabs>
          <w:tab w:leader="none" w:pos="1939"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U.S. Borrower’s knowledge, each of the U.S. Borrower and the Restricted Subsidiaries owns or possesses, or is licensed to use, all patents, trademarks, service marks, trade names and copyrights and all licenses and rights with respect to the foregoing, necessary for the present conduct of its business, without any conflict with the rights of others, and free from any burdensome restrictions on the present conduct of its business, except where such failure to own, possess or hold pursuant to a license or such conflicts and restrictions would not reasonably be expected to have, individually or in the aggregate, a Material Adverse Effect or except as set forth on</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Schedule 3.05(f)</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III.6 </w:t>
      </w:r>
      <w:r>
        <w:rPr>
          <w:rFonts w:ascii="Times New Roman" w:cs="Times New Roman" w:eastAsia="Times New Roman" w:hAnsi="Times New Roman"/>
          <w:sz w:val="20"/>
          <w:szCs w:val="20"/>
          <w:u w:val="single" w:color="auto"/>
          <w:color w:val="auto"/>
        </w:rPr>
        <w:t>Litigation and Environmental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60" w:firstLine="1304"/>
        <w:spacing w:after="0" w:line="257" w:lineRule="auto"/>
        <w:tabs>
          <w:tab w:leader="none" w:pos="1934"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the Disclosed Matters, there are no actions, suits or proceedings by or before any Governmental Authority pending against or, to the knowledge of the U.S. Borrower, threatened against the Loan Parties or any of their Subsidiaries (i) as to which there is a reasonable possibility of an adverse determination and that, if adversely determined, would reasonably be expected, individually or in the aggregate, to result in a Material Adverse Effect or (ii) on the Closing Date, that involve any Loan Documents or the Refinancing Transactions.</w:t>
      </w:r>
    </w:p>
    <w:p>
      <w:pPr>
        <w:spacing w:after="0" w:line="172" w:lineRule="exact"/>
        <w:rPr>
          <w:rFonts w:ascii="Times New Roman" w:cs="Times New Roman" w:eastAsia="Times New Roman" w:hAnsi="Times New Roman"/>
          <w:sz w:val="20"/>
          <w:szCs w:val="20"/>
          <w:color w:val="auto"/>
        </w:rPr>
      </w:pPr>
    </w:p>
    <w:p>
      <w:pPr>
        <w:ind w:right="40" w:firstLine="1304"/>
        <w:spacing w:after="0" w:line="257" w:lineRule="auto"/>
        <w:tabs>
          <w:tab w:leader="none" w:pos="1932"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Disclosed Matters and any other matters that, individually or in the aggregate, together with the Disclosed Matters, would not reasonably be expected to result in a Material Adverse Effect (i) no Loan Party nor any of its Subsidiaries has received written notice of any claim with respect to any Environmental Liability and (ii) no Loan Party nor any of its Subsidiaries (1) has failed to comply with any Environmental Law or to obtain, maintain or comply with any permit, license or other approval required under any Environmental Law or (2) is subject to any Environmental Liability.</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this Agreement, there has been no change in the status of the Disclosed Matters that, individually or in the aggregate, has resulted in, or would reasonably be expected to result in, a Material Adverse Effect.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III.7 </w:t>
      </w:r>
      <w:r>
        <w:rPr>
          <w:rFonts w:ascii="Times New Roman" w:cs="Times New Roman" w:eastAsia="Times New Roman" w:hAnsi="Times New Roman"/>
          <w:sz w:val="20"/>
          <w:szCs w:val="20"/>
          <w:u w:val="single" w:color="auto"/>
          <w:color w:val="auto"/>
        </w:rPr>
        <w:t>Compliance with Laws and Agreements; Licenses and Permits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40" w:firstLine="1304"/>
        <w:spacing w:after="0" w:line="261" w:lineRule="auto"/>
        <w:tabs>
          <w:tab w:leader="none" w:pos="193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Restricted Subsidiary is in compliance with all Requirements of Law applicable to it or its property and all indentures, agreements and other instruments binding upon it or its property, except where the failure to do so, individually or in the aggregate, would not reasonably be expected to result in a Material Adverse Effect.</w:t>
      </w:r>
    </w:p>
    <w:p>
      <w:pPr>
        <w:spacing w:after="0" w:line="167" w:lineRule="exact"/>
        <w:rPr>
          <w:rFonts w:ascii="Times New Roman" w:cs="Times New Roman" w:eastAsia="Times New Roman" w:hAnsi="Times New Roman"/>
          <w:sz w:val="20"/>
          <w:szCs w:val="20"/>
          <w:color w:val="auto"/>
        </w:rPr>
      </w:pPr>
    </w:p>
    <w:p>
      <w:pPr>
        <w:ind w:right="560" w:firstLine="1304"/>
        <w:spacing w:after="0" w:line="288" w:lineRule="auto"/>
        <w:tabs>
          <w:tab w:leader="none" w:pos="1932"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and the Restricted Subsidiaries have obtained and hold in full force and effect, all franchises, licenses, leases, permits, certificates, authorizations, qualifications, easements, rights of way and other rights and approvals which are necessary or advisable for the operation of their businesses as presently conducted and as proposed to be conducted, except where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69" w:name="page270"/>
    <w:bookmarkEnd w:id="269"/>
    <w:p>
      <w:pPr>
        <w:ind w:right="80"/>
        <w:spacing w:after="0" w:line="258" w:lineRule="auto"/>
        <w:rPr>
          <w:sz w:val="20"/>
          <w:szCs w:val="20"/>
          <w:color w:val="auto"/>
        </w:rPr>
      </w:pPr>
      <w:r>
        <w:rPr>
          <w:rFonts w:ascii="Times New Roman" w:cs="Times New Roman" w:eastAsia="Times New Roman" w:hAnsi="Times New Roman"/>
          <w:sz w:val="20"/>
          <w:szCs w:val="20"/>
          <w:color w:val="auto"/>
        </w:rPr>
        <w:t>failure to have so obtained or hold or to be in force, individually or in the aggregate, would not reasonably be expected to result in a Material Adverse Effect. No Loan Party or any of the Restricted Subsidiaries is in violation of the terms of any such franchise, license, lease, permit, certificate, authorization, qualification, easement, right of way, right or approval, except where any such violation, individually or in the aggregate, would not reasonably be expected to result in a Material Adverse Effect.</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III.8 </w:t>
      </w:r>
      <w:r>
        <w:rPr>
          <w:rFonts w:ascii="Times New Roman" w:cs="Times New Roman" w:eastAsia="Times New Roman" w:hAnsi="Times New Roman"/>
          <w:sz w:val="20"/>
          <w:szCs w:val="20"/>
          <w:u w:val="single" w:color="auto"/>
          <w:color w:val="auto"/>
        </w:rPr>
        <w:t>Investment Company Status</w:t>
      </w:r>
    </w:p>
    <w:p>
      <w:pPr>
        <w:spacing w:after="0" w:line="229" w:lineRule="exact"/>
        <w:rPr>
          <w:sz w:val="20"/>
          <w:szCs w:val="20"/>
          <w:color w:val="auto"/>
        </w:rPr>
      </w:pPr>
    </w:p>
    <w:p>
      <w:pPr>
        <w:ind w:left="1300" w:right="580" w:hanging="1292"/>
        <w:spacing w:after="0" w:line="395" w:lineRule="auto"/>
        <w:tabs>
          <w:tab w:leader="none" w:pos="103"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Loan Party is an “investment company” as defined in, or is required to be registered under, the Investment Company Act of 1940. SECTION III.9 </w:t>
      </w:r>
      <w:r>
        <w:rPr>
          <w:rFonts w:ascii="Times New Roman" w:cs="Times New Roman" w:eastAsia="Times New Roman" w:hAnsi="Times New Roman"/>
          <w:sz w:val="20"/>
          <w:szCs w:val="20"/>
          <w:u w:val="single" w:color="auto"/>
          <w:color w:val="auto"/>
        </w:rPr>
        <w:t>Taxes</w:t>
      </w:r>
    </w:p>
    <w:p>
      <w:pPr>
        <w:spacing w:after="0" w:line="39" w:lineRule="exact"/>
        <w:rPr>
          <w:sz w:val="20"/>
          <w:szCs w:val="20"/>
          <w:color w:val="auto"/>
        </w:rPr>
      </w:pPr>
    </w:p>
    <w:p>
      <w:pPr>
        <w:ind w:firstLine="8"/>
        <w:spacing w:after="0" w:line="251" w:lineRule="auto"/>
        <w:tabs>
          <w:tab w:leader="none" w:pos="99"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and the Subsidiaries have timely filed or caused to be filed all Tax returns and reports required to have been filed and have paid or caused to be paid all Taxes required to have been paid by them (whether or not shown on a tax return), except (a) Taxes that are being contested in good faith by appropriate proceedings and for which such Loan Party or such Subsidiary, as applicable, has set aside on its books adequate reserves in accordance with GAAP or (b) to the extent that the failure to do so, individually or in the aggregate, would not reasonably be expected to result in a Material Adverse Effect. All amounts have been withheld by each of the Loan Parties and the Subsidiaries from their respective employees for all periods in compliance with the tax, social security and unemployment withholding provisions of the applicable law and such withholdings have been timely paid to the respective Governmental Authorities, except to the extent that the failure to withhold and pay would not reasonably be expected to, individually or in the aggregate, result in a Material Adverse Effect. No Borrower is either Tax resident or maintains a permanent establishment in any jurisdiction other than its jurisdiction of incorporation or, in case of the German Borrower, the jurisdiction of its establishment. For the avoidance of doubt, in relation to the incorporation of the Existing U.K. Borrower and the Additional U.K. Borrower, England and Wales has the same meaning as United Kingdom.</w:t>
      </w:r>
    </w:p>
    <w:p>
      <w:pPr>
        <w:spacing w:after="0" w:line="70"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III.10</w:t>
      </w:r>
      <w:r>
        <w:rPr>
          <w:sz w:val="20"/>
          <w:szCs w:val="20"/>
          <w:color w:val="auto"/>
        </w:rPr>
        <w:tab/>
      </w:r>
      <w:r>
        <w:rPr>
          <w:rFonts w:ascii="Times New Roman" w:cs="Times New Roman" w:eastAsia="Times New Roman" w:hAnsi="Times New Roman"/>
          <w:sz w:val="19"/>
          <w:szCs w:val="19"/>
          <w:u w:val="single" w:color="auto"/>
          <w:color w:val="auto"/>
        </w:rPr>
        <w:t>Deduction of Tax</w:t>
      </w:r>
    </w:p>
    <w:p>
      <w:pPr>
        <w:spacing w:after="0" w:line="229" w:lineRule="exact"/>
        <w:rPr>
          <w:sz w:val="20"/>
          <w:szCs w:val="20"/>
          <w:color w:val="auto"/>
        </w:rPr>
      </w:pPr>
    </w:p>
    <w:p>
      <w:pPr>
        <w:ind w:right="80" w:firstLine="8"/>
        <w:spacing w:after="0" w:line="270" w:lineRule="auto"/>
        <w:tabs>
          <w:tab w:leader="none" w:pos="99"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prejudice to the operation of Section 2.15,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the Lenders in respect of any Loans to any U.K. Borrower or to any Irish Borrower are U.K. Qualifying Lenders and Irish Qualifying Lenders, respectively, and subject to the completion by any such Lenders of any procedural formalities in respect of such Loans, none of the Existing U.K. Borrower, the Additional U.K. Borrower or the Irish Borrowers is required to make any deduction for or on account of Tax from any payment it may make under this Agreement. The German Borrower is not required to make any deduction or withholding for or on account of Tax from any payment it may make under this Agreement.</w:t>
      </w:r>
    </w:p>
    <w:p>
      <w:pPr>
        <w:spacing w:after="0" w:line="67"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III.11</w:t>
      </w:r>
      <w:r>
        <w:rPr>
          <w:sz w:val="20"/>
          <w:szCs w:val="20"/>
          <w:color w:val="auto"/>
        </w:rPr>
        <w:tab/>
      </w:r>
      <w:r>
        <w:rPr>
          <w:rFonts w:ascii="Times New Roman" w:cs="Times New Roman" w:eastAsia="Times New Roman" w:hAnsi="Times New Roman"/>
          <w:sz w:val="19"/>
          <w:szCs w:val="19"/>
          <w:u w:val="single" w:color="auto"/>
          <w:color w:val="auto"/>
        </w:rPr>
        <w:t>No Filing or Stamp Taxes</w:t>
      </w:r>
    </w:p>
    <w:p>
      <w:pPr>
        <w:spacing w:after="0" w:line="216" w:lineRule="exact"/>
        <w:rPr>
          <w:sz w:val="20"/>
          <w:szCs w:val="20"/>
          <w:color w:val="auto"/>
        </w:rPr>
      </w:pPr>
    </w:p>
    <w:p>
      <w:pPr>
        <w:ind w:right="40" w:firstLine="8"/>
        <w:spacing w:after="0" w:line="268" w:lineRule="auto"/>
        <w:tabs>
          <w:tab w:leader="none" w:pos="99"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necessary under the laws of any jurisdiction in which any Borrower is resident for Tax purposes that this Agreement be filed, recorded or enrolled with any court or other authority in that jurisdiction or that any stamp, registration or similar tax be paid on or in relation to this Agreement or the transactions contemplated by this Agreement.</w:t>
      </w:r>
    </w:p>
    <w:p>
      <w:pPr>
        <w:spacing w:after="0" w:line="53"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III.12</w:t>
      </w:r>
      <w:r>
        <w:rPr>
          <w:sz w:val="20"/>
          <w:szCs w:val="20"/>
          <w:color w:val="auto"/>
        </w:rPr>
        <w:tab/>
      </w:r>
      <w:r>
        <w:rPr>
          <w:rFonts w:ascii="Times New Roman" w:cs="Times New Roman" w:eastAsia="Times New Roman" w:hAnsi="Times New Roman"/>
          <w:sz w:val="20"/>
          <w:szCs w:val="20"/>
          <w:u w:val="single" w:color="auto"/>
          <w:color w:val="auto"/>
        </w:rPr>
        <w:t>ERISA</w:t>
      </w:r>
    </w:p>
    <w:p>
      <w:pPr>
        <w:spacing w:after="0" w:line="229" w:lineRule="exact"/>
        <w:rPr>
          <w:sz w:val="20"/>
          <w:szCs w:val="20"/>
          <w:color w:val="auto"/>
        </w:rPr>
      </w:pPr>
    </w:p>
    <w:p>
      <w:pPr>
        <w:ind w:right="140" w:firstLine="8"/>
        <w:spacing w:after="0" w:line="258" w:lineRule="auto"/>
        <w:tabs>
          <w:tab w:leader="none" w:pos="99"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ERISA Event has occurred in the five year period prior to the date on which this representation is made or deemed made and is continuing or is reasonably expected to occur that, when taken together with all other such ERISA Events for which liability is reasonably expected to occur, would reasonably be expected to result in a Material Adverse Effect. Except as would not reasonably be expected to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70" w:name="page271"/>
    <w:bookmarkEnd w:id="270"/>
    <w:p>
      <w:pPr>
        <w:ind w:right="20"/>
        <w:spacing w:after="0" w:line="261" w:lineRule="auto"/>
        <w:rPr>
          <w:sz w:val="20"/>
          <w:szCs w:val="20"/>
          <w:color w:val="auto"/>
        </w:rPr>
      </w:pPr>
      <w:r>
        <w:rPr>
          <w:rFonts w:ascii="Times New Roman" w:cs="Times New Roman" w:eastAsia="Times New Roman" w:hAnsi="Times New Roman"/>
          <w:sz w:val="20"/>
          <w:szCs w:val="20"/>
          <w:color w:val="auto"/>
        </w:rPr>
        <w:t>Material Adverse Effect, the present value of all accumulated benefit obligations under all Plans (based on the assumptions used for purposes of Statement of Financial Accounting Standards No. 87) did not, as of the date of the most recent financial statements reflecting such amounts, exceed the fair market value of the assets of such Plans, in the aggregate.</w:t>
      </w:r>
    </w:p>
    <w:p>
      <w:pPr>
        <w:spacing w:after="0" w:line="73"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III.13</w:t>
      </w:r>
      <w:r>
        <w:rPr>
          <w:sz w:val="20"/>
          <w:szCs w:val="20"/>
          <w:color w:val="auto"/>
        </w:rPr>
        <w:tab/>
      </w:r>
      <w:r>
        <w:rPr>
          <w:rFonts w:ascii="Times New Roman" w:cs="Times New Roman" w:eastAsia="Times New Roman" w:hAnsi="Times New Roman"/>
          <w:sz w:val="19"/>
          <w:szCs w:val="19"/>
          <w:u w:val="single" w:color="auto"/>
          <w:color w:val="auto"/>
        </w:rPr>
        <w:t>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40" w:firstLine="1304"/>
        <w:spacing w:after="0" w:line="269" w:lineRule="auto"/>
        <w:tabs>
          <w:tab w:leader="none" w:pos="1934"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written information (other than the Projections, the pro forma financial statements and estimates and information of a general economic nature) concerning Holdings, the U.S. Borrower, the Restricted Subsidiaries, the Refinancing Transactions and any other transactions contemplated hereby included in the Information Memorandum or otherwise prepared by or on behalf of the foregoing or their representatives and made available to the Lenders or the Agent in writing in connection with the Refinancing Transactions on or before the Closing Date (the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when taken as a whole, as of the date such Information was furnished to the Agent or such Lenders, as the case may be, did not contain any untrue statement of a material fact as of any such date or omit to state a material fact necessary in order to make the statements contained therein not materially misleading in light of the circumstances under which such statements were made.</w:t>
      </w:r>
    </w:p>
    <w:p>
      <w:pPr>
        <w:spacing w:after="0" w:line="162" w:lineRule="exact"/>
        <w:rPr>
          <w:rFonts w:ascii="Times New Roman" w:cs="Times New Roman" w:eastAsia="Times New Roman" w:hAnsi="Times New Roman"/>
          <w:sz w:val="19"/>
          <w:szCs w:val="19"/>
          <w:color w:val="auto"/>
        </w:rPr>
      </w:pPr>
    </w:p>
    <w:p>
      <w:pPr>
        <w:ind w:firstLine="1304"/>
        <w:spacing w:after="0" w:line="253" w:lineRule="auto"/>
        <w:tabs>
          <w:tab w:leader="none" w:pos="1932"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Projections, pro forma financial statements and estimates and information of a general economic nature prepared by or on behalf of the U.S. Borrower or any of its representatives and that have been made available to any Lenders or the Agent in writing in connection with the Refinancing Transactions on or before the Closing Date (the “</w:t>
      </w: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(i) have been prepared in good faith based upon assumptions believed by the U.S. Borrower to be reasonable as of the date thereof (it being understood that actual results may vary materially from the Other Information), and (ii) as of the Closing Date, have not been modified in any material respect by the U.S. Borrower.</w:t>
      </w:r>
    </w:p>
    <w:p>
      <w:pPr>
        <w:spacing w:after="0" w:line="192"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III.14</w:t>
      </w:r>
      <w:r>
        <w:rPr>
          <w:sz w:val="20"/>
          <w:szCs w:val="20"/>
          <w:color w:val="auto"/>
        </w:rPr>
        <w:tab/>
      </w:r>
      <w:r>
        <w:rPr>
          <w:rFonts w:ascii="Times New Roman" w:cs="Times New Roman" w:eastAsia="Times New Roman" w:hAnsi="Times New Roman"/>
          <w:sz w:val="19"/>
          <w:szCs w:val="19"/>
          <w:u w:val="single" w:color="auto"/>
          <w:color w:val="auto"/>
        </w:rPr>
        <w:t>Material Agreements</w:t>
      </w:r>
    </w:p>
    <w:p>
      <w:pPr>
        <w:spacing w:after="0" w:line="216" w:lineRule="exact"/>
        <w:rPr>
          <w:sz w:val="20"/>
          <w:szCs w:val="20"/>
          <w:color w:val="auto"/>
        </w:rPr>
      </w:pPr>
    </w:p>
    <w:p>
      <w:pPr>
        <w:jc w:val="both"/>
        <w:ind w:right="120" w:firstLine="8"/>
        <w:spacing w:after="0" w:line="258" w:lineRule="auto"/>
        <w:tabs>
          <w:tab w:leader="none" w:pos="99"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any Loan Party nor any Restricted Subsidiary is in default in any material respect in the performance, observance or fulfillment of any of its obligations contained in (i) any material agreement to which it is a party or (ii) any agreement or instrument to which it is a party evidencing or governing Indebtedness, except where any such default would not reasonably be expected, individually or in the aggregate, to have a Material Adverse Effect.</w:t>
      </w:r>
    </w:p>
    <w:p>
      <w:pPr>
        <w:spacing w:after="0" w:line="78"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III.15</w:t>
      </w:r>
      <w:r>
        <w:rPr>
          <w:sz w:val="20"/>
          <w:szCs w:val="20"/>
          <w:color w:val="auto"/>
        </w:rPr>
        <w:tab/>
      </w:r>
      <w:r>
        <w:rPr>
          <w:rFonts w:ascii="Times New Roman" w:cs="Times New Roman" w:eastAsia="Times New Roman" w:hAnsi="Times New Roman"/>
          <w:sz w:val="19"/>
          <w:szCs w:val="19"/>
          <w:u w:val="single" w:color="auto"/>
          <w:color w:val="auto"/>
        </w:rPr>
        <w:t>Solvency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1304"/>
        <w:spacing w:after="0" w:line="252" w:lineRule="auto"/>
        <w:tabs>
          <w:tab w:leader="none" w:pos="1934"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the consummation of the Refinancing Transactions on the Closing Date, (i) the fair value of the assets of the Loan Parties on a consolidated basis, at a fair valuation, will exceed the debts and liabilities, direct, subordinated, contingent or otherwise, of the Loan Parties on a consolidated basis; (ii) the present fair saleable value of the property of the Loan Parties on a consolidated basis will be greater than the amount that will be required to pay the probable liability of the Loan Parties on a consolidated basis, on their debts and other liabilities, direct, subordinated, contingent or otherwise, as such debts and other liabilities become absolute and matured; (iii) the Loan Parties on a consolidated basis will be able to pay their debts and liabilities, direct, subordinated, contingent or otherwise, as such debts and liabilities become absolute and matured; and (iv) the Loan Parties on a consolidated basis will not have unreasonably small capital with which to conduct the businesses in which they are engaged as such businesses are now conducted and are proposed to be conducted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71" w:name="page272"/>
    <w:bookmarkEnd w:id="271"/>
    <w:p>
      <w:pPr>
        <w:ind w:right="320" w:firstLine="1304"/>
        <w:spacing w:after="0" w:line="261" w:lineRule="auto"/>
        <w:tabs>
          <w:tab w:leader="none" w:pos="1932"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do not intend to incur debts beyond their ability to pay such debts as they mature, taking into account the timing and amounts of cash to be received by the Loan Parties and the timing and amounts of cash to be payable by the Loan Parties on or in respect of their Indebtedness.</w:t>
      </w:r>
    </w:p>
    <w:p>
      <w:pPr>
        <w:spacing w:after="0" w:line="181"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III.16</w:t>
      </w:r>
      <w:r>
        <w:rPr>
          <w:sz w:val="20"/>
          <w:szCs w:val="20"/>
          <w:color w:val="auto"/>
        </w:rPr>
        <w:tab/>
      </w:r>
      <w:r>
        <w:rPr>
          <w:rFonts w:ascii="Times New Roman" w:cs="Times New Roman" w:eastAsia="Times New Roman" w:hAnsi="Times New Roman"/>
          <w:sz w:val="20"/>
          <w:szCs w:val="20"/>
          <w:u w:val="single" w:color="auto"/>
          <w:color w:val="auto"/>
        </w:rPr>
        <w:t>Insurance</w:t>
      </w:r>
    </w:p>
    <w:p>
      <w:pPr>
        <w:spacing w:after="0" w:line="216" w:lineRule="exact"/>
        <w:rPr>
          <w:sz w:val="20"/>
          <w:szCs w:val="20"/>
          <w:color w:val="auto"/>
        </w:rPr>
      </w:pPr>
    </w:p>
    <w:p>
      <w:pPr>
        <w:ind w:right="40" w:firstLine="8"/>
        <w:spacing w:after="0" w:line="257" w:lineRule="auto"/>
        <w:tabs>
          <w:tab w:leader="none" w:pos="99"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9 to the Perfection Certificate delivered on the Closing Date sets forth a true, complete and correct description of all commercial insurance maintained by or on behalf of the Loan Parties and the Restricted Subsidiaries as of the Closing Date. As of the Closing Date, all such insurance is in full force and effect and all premiums in respect of such insurance have been duly paid. The U.S. Borrower believes that the insurance maintained by or on behalf of the U.S. Borrower and the Restricted Subsidiaries is adequate and is in accordance with normal industry practice.</w:t>
      </w:r>
    </w:p>
    <w:p>
      <w:pPr>
        <w:spacing w:after="0" w:line="65"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III.17</w:t>
      </w:r>
      <w:r>
        <w:rPr>
          <w:sz w:val="20"/>
          <w:szCs w:val="20"/>
          <w:color w:val="auto"/>
        </w:rPr>
        <w:tab/>
      </w:r>
      <w:r>
        <w:rPr>
          <w:rFonts w:ascii="Times New Roman" w:cs="Times New Roman" w:eastAsia="Times New Roman" w:hAnsi="Times New Roman"/>
          <w:sz w:val="19"/>
          <w:szCs w:val="19"/>
          <w:u w:val="single" w:color="auto"/>
          <w:color w:val="auto"/>
        </w:rPr>
        <w:t>Capitalization and Subsidiaries</w:t>
      </w:r>
    </w:p>
    <w:p>
      <w:pPr>
        <w:spacing w:after="0" w:line="229" w:lineRule="exact"/>
        <w:rPr>
          <w:sz w:val="20"/>
          <w:szCs w:val="20"/>
          <w:color w:val="auto"/>
        </w:rPr>
      </w:pPr>
    </w:p>
    <w:p>
      <w:pPr>
        <w:ind w:right="20" w:firstLine="8"/>
        <w:spacing w:after="0" w:line="253" w:lineRule="auto"/>
        <w:tabs>
          <w:tab w:leader="none" w:pos="99"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w:t>
      </w:r>
      <w:r>
        <w:rPr>
          <w:rFonts w:ascii="Times New Roman" w:cs="Times New Roman" w:eastAsia="Times New Roman" w:hAnsi="Times New Roman"/>
          <w:sz w:val="20"/>
          <w:szCs w:val="20"/>
          <w:u w:val="single" w:color="auto"/>
          <w:color w:val="auto"/>
        </w:rPr>
        <w:t>Schedule 3.17</w:t>
      </w:r>
      <w:r>
        <w:rPr>
          <w:rFonts w:ascii="Times New Roman" w:cs="Times New Roman" w:eastAsia="Times New Roman" w:hAnsi="Times New Roman"/>
          <w:sz w:val="20"/>
          <w:szCs w:val="20"/>
          <w:color w:val="auto"/>
        </w:rPr>
        <w:t xml:space="preserve"> sets forth (a) a correct and complete list of the name and relationship to the U.S. Borrower of each and all of the U.S. Borrower’s Subsidiaries, (b) a true and complete listing of each class of each of the U.S. Borrower’s authorized Equity Interests, of which all of such issued shares are validly issued, outstanding, fully paid and non-assessable, and owned beneficially and of record by the Persons identified on </w:t>
      </w:r>
      <w:r>
        <w:rPr>
          <w:rFonts w:ascii="Times New Roman" w:cs="Times New Roman" w:eastAsia="Times New Roman" w:hAnsi="Times New Roman"/>
          <w:sz w:val="20"/>
          <w:szCs w:val="20"/>
          <w:u w:val="single" w:color="auto"/>
          <w:color w:val="auto"/>
        </w:rPr>
        <w:t>Schedule 3.17</w:t>
      </w:r>
      <w:r>
        <w:rPr>
          <w:rFonts w:ascii="Times New Roman" w:cs="Times New Roman" w:eastAsia="Times New Roman" w:hAnsi="Times New Roman"/>
          <w:sz w:val="20"/>
          <w:szCs w:val="20"/>
          <w:color w:val="auto"/>
        </w:rPr>
        <w:t>, and (c) the type of entity of the U.S. Borrower and each of its Domestic Subsidiaries. All of the issued and outstanding Equity Interests of the Restricted Subsidiaries owned by any Loan Party have been (to the extent such concepts are relevant with respect to such ownership interests) duly authorized and issued and are fully paid and non-assessable free and clear of all Liens (other than Liens created under the Loan Documents).</w:t>
      </w:r>
    </w:p>
    <w:p>
      <w:pPr>
        <w:spacing w:after="0" w:line="71"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III.18</w:t>
      </w:r>
      <w:r>
        <w:rPr>
          <w:sz w:val="20"/>
          <w:szCs w:val="20"/>
          <w:color w:val="auto"/>
        </w:rPr>
        <w:tab/>
      </w:r>
      <w:r>
        <w:rPr>
          <w:rFonts w:ascii="Times New Roman" w:cs="Times New Roman" w:eastAsia="Times New Roman" w:hAnsi="Times New Roman"/>
          <w:sz w:val="19"/>
          <w:szCs w:val="19"/>
          <w:u w:val="single" w:color="auto"/>
          <w:color w:val="auto"/>
        </w:rPr>
        <w:t>Security Interest in Collateral</w:t>
      </w:r>
    </w:p>
    <w:p>
      <w:pPr>
        <w:spacing w:after="0" w:line="229" w:lineRule="exact"/>
        <w:rPr>
          <w:sz w:val="20"/>
          <w:szCs w:val="20"/>
          <w:color w:val="auto"/>
        </w:rPr>
      </w:pPr>
    </w:p>
    <w:p>
      <w:pPr>
        <w:ind w:firstLine="8"/>
        <w:spacing w:after="0" w:line="251" w:lineRule="auto"/>
        <w:tabs>
          <w:tab w:leader="none" w:pos="99"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the Collateral Documents create legal and valid Liens on all the Collateral in favor of the Agent, for the benefit of the Secured Parties; and upon the proper filing of UCC financing statements required pursuant to paragraph (k) of Section 4.01 and any Mortgages with respect to Mortgaged Properties and with regard to Collateral that is perfected by control, upon delivery of possession or control, which shall be delivered to the extent required by the Collateral Documents, such Liens constitute perfected and continuing Liens on the Collateral, securing the Secured Obligations, enforceable against the applicable Loan Party and all third parties, and having priority over all other Liens on the Collateral except Permitted Liens but only to the extent that such Liens are required to be perfected by the terms of the Loan Documents (including Section 5.11(c)).</w:t>
      </w:r>
    </w:p>
    <w:p>
      <w:pPr>
        <w:spacing w:after="0" w:line="85"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III.19</w:t>
      </w:r>
      <w:r>
        <w:rPr>
          <w:sz w:val="20"/>
          <w:szCs w:val="20"/>
          <w:color w:val="auto"/>
        </w:rPr>
        <w:tab/>
      </w:r>
      <w:r>
        <w:rPr>
          <w:rFonts w:ascii="Times New Roman" w:cs="Times New Roman" w:eastAsia="Times New Roman" w:hAnsi="Times New Roman"/>
          <w:sz w:val="19"/>
          <w:szCs w:val="19"/>
          <w:u w:val="single" w:color="auto"/>
          <w:color w:val="auto"/>
        </w:rPr>
        <w:t>Labor Disputes</w:t>
      </w:r>
    </w:p>
    <w:p>
      <w:pPr>
        <w:spacing w:after="0" w:line="216" w:lineRule="exact"/>
        <w:rPr>
          <w:sz w:val="20"/>
          <w:szCs w:val="20"/>
          <w:color w:val="auto"/>
        </w:rPr>
      </w:pPr>
    </w:p>
    <w:p>
      <w:pPr>
        <w:ind w:firstLine="8"/>
        <w:spacing w:after="0" w:line="253" w:lineRule="auto"/>
        <w:tabs>
          <w:tab w:leader="none" w:pos="99"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individually or in the aggregate, would not reasonably be expected to have a Material Adverse Effect, there are no strikes, lockouts or slowdowns against any Loan Party currently occurring or, to the knowledge of the U.S. Borrower, threatened. Except (i) as, individually or in the aggregate, would not reasonably be expected to have a Material Adverse Effect or (ii) as set forth on </w:t>
      </w:r>
      <w:r>
        <w:rPr>
          <w:rFonts w:ascii="Times New Roman" w:cs="Times New Roman" w:eastAsia="Times New Roman" w:hAnsi="Times New Roman"/>
          <w:sz w:val="20"/>
          <w:szCs w:val="20"/>
          <w:u w:val="single" w:color="auto"/>
          <w:color w:val="auto"/>
        </w:rPr>
        <w:t>Schedule 3.19</w:t>
      </w:r>
      <w:r>
        <w:rPr>
          <w:rFonts w:ascii="Times New Roman" w:cs="Times New Roman" w:eastAsia="Times New Roman" w:hAnsi="Times New Roman"/>
          <w:sz w:val="20"/>
          <w:szCs w:val="20"/>
          <w:color w:val="auto"/>
        </w:rPr>
        <w:t>, the consummation of the Transactions will not give rise to a right of termination or right of renegotiation on the part of any union under any collective bargaining agreement to which Holdings, the U.S. Borrower or any of the Restricted Subsidiaries (or any predecessor) is a party or by which Holdings, the U.S. Borrower or any of the Restricted Subsidiaries (or any predecessor)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80"/>
          </w:cols>
          <w:pgMar w:left="320" w:top="1413" w:right="399" w:bottom="1440" w:gutter="0" w:footer="0" w:header="0"/>
        </w:sectPr>
      </w:pPr>
    </w:p>
    <w:bookmarkStart w:id="272" w:name="page273"/>
    <w:bookmarkEnd w:id="272"/>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III.20</w:t>
      </w:r>
      <w:r>
        <w:rPr>
          <w:sz w:val="20"/>
          <w:szCs w:val="20"/>
          <w:color w:val="auto"/>
        </w:rPr>
        <w:tab/>
      </w:r>
      <w:r>
        <w:rPr>
          <w:rFonts w:ascii="Times New Roman" w:cs="Times New Roman" w:eastAsia="Times New Roman" w:hAnsi="Times New Roman"/>
          <w:sz w:val="19"/>
          <w:szCs w:val="19"/>
          <w:u w:val="single" w:color="auto"/>
          <w:color w:val="auto"/>
        </w:rPr>
        <w:t>Federal Reserve Regulations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1940" w:hanging="636"/>
        <w:spacing w:after="0"/>
        <w:tabs>
          <w:tab w:leader="none" w:pos="194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Collateral is Margin Stock.</w:t>
      </w:r>
    </w:p>
    <w:p>
      <w:pPr>
        <w:spacing w:after="0" w:line="229" w:lineRule="exact"/>
        <w:rPr>
          <w:rFonts w:ascii="Times New Roman" w:cs="Times New Roman" w:eastAsia="Times New Roman" w:hAnsi="Times New Roman"/>
          <w:sz w:val="20"/>
          <w:szCs w:val="20"/>
          <w:color w:val="auto"/>
        </w:rPr>
      </w:pPr>
    </w:p>
    <w:p>
      <w:pPr>
        <w:ind w:right="780" w:firstLine="1304"/>
        <w:spacing w:after="0" w:line="269" w:lineRule="auto"/>
        <w:tabs>
          <w:tab w:leader="none" w:pos="1932"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Holdings, the U.S. Borrower and the Restricted Subsidiaries is engaged principally, or as one of its important activities, in the business of extending credit for the purpose of buying or carrying Margin Stock.</w:t>
      </w:r>
    </w:p>
    <w:p>
      <w:pPr>
        <w:spacing w:after="0" w:line="172" w:lineRule="exact"/>
        <w:rPr>
          <w:rFonts w:ascii="Times New Roman" w:cs="Times New Roman" w:eastAsia="Times New Roman" w:hAnsi="Times New Roman"/>
          <w:sz w:val="20"/>
          <w:szCs w:val="20"/>
          <w:color w:val="auto"/>
        </w:rPr>
      </w:pPr>
    </w:p>
    <w:p>
      <w:pPr>
        <w:ind w:right="20" w:firstLine="1304"/>
        <w:spacing w:after="0" w:line="258" w:lineRule="auto"/>
        <w:tabs>
          <w:tab w:leader="none" w:pos="193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proceeds of any Loan will be used, whether directly or indirectly, and whether immediately, incidentally or ultimately, (i) to purchase or carry Margin Stock or to extend credit to others for the purpose of purchasing or carrying Margin Stock or to refund indebtedness originally incurred for such purpose, or (ii) for any purpose that entails a violation of, or that is inconsistent with, the provisions of Regulation T, U or X.</w:t>
      </w:r>
    </w:p>
    <w:p>
      <w:pPr>
        <w:spacing w:after="0" w:line="172"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III.21</w:t>
      </w:r>
      <w:r>
        <w:rPr>
          <w:sz w:val="20"/>
          <w:szCs w:val="20"/>
          <w:color w:val="auto"/>
        </w:rPr>
        <w:tab/>
      </w:r>
      <w:r>
        <w:rPr>
          <w:rFonts w:ascii="Times New Roman" w:cs="Times New Roman" w:eastAsia="Times New Roman" w:hAnsi="Times New Roman"/>
          <w:sz w:val="19"/>
          <w:szCs w:val="19"/>
          <w:u w:val="single" w:color="auto"/>
          <w:color w:val="auto"/>
        </w:rPr>
        <w:t>Anti-Corruption and Sanctions Laws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right="340" w:firstLine="1304"/>
        <w:spacing w:after="0" w:line="265" w:lineRule="auto"/>
        <w:tabs>
          <w:tab w:leader="none" w:pos="1934"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Borrower and each of its Subsidiaries have implemented and maintain in effect policies and procedures reasonably designed to promote compliance by the U.S. Borrower, its Subsidiaries and their respective directors, officers and employees while acting on behalf of the U.S. Borrower or its Subsidiaries with applicable Anti-Corruption Laws and applicable Sanctions. The U.S.</w:t>
      </w:r>
    </w:p>
    <w:p>
      <w:pPr>
        <w:ind w:right="6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Borrower, its Subsidiaries and to the knowledge of the U.S. Borrower, their respective directors, officers and employees, are in compliance with applicable (i) Anti-Corruption Laws, except where the failure to do so would not reasonably be expected to result in a Material Adverse Effect and (ii) Sanctions in all material respects and are not knowingly engaged in any activity that would reasonably be expected to result in any such Person being designated as a Sanctioned Person. None of (a) the U.S. Borrower or any Subsidiary or (b) to the knowledge of the U.S. Borrower, any director, officer, employee or agent of the U.S. Borrower or any Subsidiary that will act in any capacity in connection with or benefit from the credit facilities established hereby, is a Sanctioned Person.</w:t>
      </w:r>
    </w:p>
    <w:p>
      <w:pPr>
        <w:spacing w:after="0" w:line="189" w:lineRule="exact"/>
        <w:rPr>
          <w:rFonts w:ascii="Times New Roman" w:cs="Times New Roman" w:eastAsia="Times New Roman" w:hAnsi="Times New Roman"/>
          <w:sz w:val="19"/>
          <w:szCs w:val="19"/>
          <w:color w:val="auto"/>
        </w:rPr>
      </w:pPr>
    </w:p>
    <w:p>
      <w:pPr>
        <w:ind w:firstLine="1304"/>
        <w:spacing w:after="0" w:line="253" w:lineRule="auto"/>
        <w:tabs>
          <w:tab w:leader="none" w:pos="1932"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contained in Section 3.21 (</w:t>
      </w:r>
      <w:r>
        <w:rPr>
          <w:rFonts w:ascii="Times New Roman" w:cs="Times New Roman" w:eastAsia="Times New Roman" w:hAnsi="Times New Roman"/>
          <w:sz w:val="20"/>
          <w:szCs w:val="20"/>
          <w:i w:val="1"/>
          <w:iCs w:val="1"/>
          <w:color w:val="auto"/>
        </w:rPr>
        <w:t>Anti-Corruption and Sanctions Laws</w:t>
      </w:r>
      <w:r>
        <w:rPr>
          <w:rFonts w:ascii="Times New Roman" w:cs="Times New Roman" w:eastAsia="Times New Roman" w:hAnsi="Times New Roman"/>
          <w:sz w:val="20"/>
          <w:szCs w:val="20"/>
          <w:color w:val="auto"/>
        </w:rPr>
        <w:t>) above are only given by any German Relevant Person to the extent that, by agreeing to it, compliance with it, exercising it, having such obligation or right, or otherwise, it would not be placed in violation of any law applicable to it relating to foreign trades (</w:t>
      </w:r>
      <w:r>
        <w:rPr>
          <w:rFonts w:ascii="Times New Roman" w:cs="Times New Roman" w:eastAsia="Times New Roman" w:hAnsi="Times New Roman"/>
          <w:sz w:val="20"/>
          <w:szCs w:val="20"/>
          <w:i w:val="1"/>
          <w:iCs w:val="1"/>
          <w:color w:val="auto"/>
        </w:rPr>
        <w:t>Außenwirtschaft</w:t>
      </w:r>
      <w:r>
        <w:rPr>
          <w:rFonts w:ascii="Times New Roman" w:cs="Times New Roman" w:eastAsia="Times New Roman" w:hAnsi="Times New Roman"/>
          <w:sz w:val="20"/>
          <w:szCs w:val="20"/>
          <w:color w:val="auto"/>
        </w:rPr>
        <w:t>) (including without limitation EU Regulation (EC) 2271/96 and section 7 foreign trade rules (AWV)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 in conjunction with section 4 and section</w:t>
      </w:r>
    </w:p>
    <w:p>
      <w:pPr>
        <w:spacing w:after="0" w:line="1" w:lineRule="exact"/>
        <w:rPr>
          <w:rFonts w:ascii="Times New Roman" w:cs="Times New Roman" w:eastAsia="Times New Roman" w:hAnsi="Times New Roman"/>
          <w:sz w:val="20"/>
          <w:szCs w:val="20"/>
          <w:color w:val="auto"/>
        </w:rPr>
      </w:pPr>
    </w:p>
    <w:p>
      <w:pPr>
        <w:ind w:right="12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 paragraph 3 no. 1 a) of the German Foreign Trade Act (</w:t>
      </w:r>
      <w:r>
        <w:rPr>
          <w:rFonts w:ascii="Times New Roman" w:cs="Times New Roman" w:eastAsia="Times New Roman" w:hAnsi="Times New Roman"/>
          <w:sz w:val="20"/>
          <w:szCs w:val="20"/>
          <w:i w:val="1"/>
          <w:iCs w:val="1"/>
          <w:color w:val="auto"/>
        </w:rPr>
        <w:t>Außenwirtschaftsgesetz, AWG</w:t>
      </w:r>
      <w:r>
        <w:rPr>
          <w:rFonts w:ascii="Times New Roman" w:cs="Times New Roman" w:eastAsia="Times New Roman" w:hAnsi="Times New Roman"/>
          <w:sz w:val="20"/>
          <w:szCs w:val="20"/>
          <w:color w:val="auto"/>
        </w:rPr>
        <w:t>)) and Section 3.21 (</w:t>
      </w:r>
      <w:r>
        <w:rPr>
          <w:rFonts w:ascii="Times New Roman" w:cs="Times New Roman" w:eastAsia="Times New Roman" w:hAnsi="Times New Roman"/>
          <w:sz w:val="20"/>
          <w:szCs w:val="20"/>
          <w:i w:val="1"/>
          <w:iCs w:val="1"/>
          <w:color w:val="auto"/>
        </w:rPr>
        <w:t>Anti-Corruption and Sanctions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Laws</w:t>
      </w:r>
      <w:r>
        <w:rPr>
          <w:rFonts w:ascii="Times New Roman" w:cs="Times New Roman" w:eastAsia="Times New Roman" w:hAnsi="Times New Roman"/>
          <w:sz w:val="20"/>
          <w:szCs w:val="20"/>
          <w:color w:val="auto"/>
        </w:rPr>
        <w:t>) shall be so limited and shall not apply to that extent.</w:t>
      </w:r>
    </w:p>
    <w:p>
      <w:pPr>
        <w:spacing w:after="0" w:line="164" w:lineRule="exact"/>
        <w:rPr>
          <w:rFonts w:ascii="Times New Roman" w:cs="Times New Roman" w:eastAsia="Times New Roman" w:hAnsi="Times New Roman"/>
          <w:sz w:val="20"/>
          <w:szCs w:val="20"/>
          <w:color w:val="auto"/>
        </w:rPr>
      </w:pPr>
    </w:p>
    <w:p>
      <w:pPr>
        <w:jc w:val="both"/>
        <w:ind w:right="180" w:firstLine="1304"/>
        <w:spacing w:after="0" w:line="271" w:lineRule="auto"/>
        <w:tabs>
          <w:tab w:leader="none" w:pos="1934"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relation to each Restricted Lender, the representations contained in Section 3.21 (</w:t>
      </w:r>
      <w:r>
        <w:rPr>
          <w:rFonts w:ascii="Times New Roman" w:cs="Times New Roman" w:eastAsia="Times New Roman" w:hAnsi="Times New Roman"/>
          <w:sz w:val="19"/>
          <w:szCs w:val="19"/>
          <w:i w:val="1"/>
          <w:iCs w:val="1"/>
          <w:color w:val="auto"/>
        </w:rPr>
        <w:t>Anti-Corruption and Sanctions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Laws</w:t>
      </w:r>
      <w:r>
        <w:rPr>
          <w:rFonts w:ascii="Times New Roman" w:cs="Times New Roman" w:eastAsia="Times New Roman" w:hAnsi="Times New Roman"/>
          <w:sz w:val="19"/>
          <w:szCs w:val="19"/>
          <w:color w:val="auto"/>
        </w:rPr>
        <w:t>) above shall only apply for the benefit of that Restricted Lender to the extent that such benefit would not result in (i) any violation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conflict with or liability under EU Regulation (EC) 2271/96 or (ii) a violation or conflict with section 7 foreign trade rules (AWV)</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 (in connection with section 4 and section 19 paragraph 3 no. 1 a) of the German Foreign Trade Akt</w:t>
      </w:r>
    </w:p>
    <w:p>
      <w:pPr>
        <w:spacing w:after="0" w:line="6" w:lineRule="exact"/>
        <w:rPr>
          <w:rFonts w:ascii="Times New Roman" w:cs="Times New Roman" w:eastAsia="Times New Roman" w:hAnsi="Times New Roman"/>
          <w:sz w:val="19"/>
          <w:szCs w:val="19"/>
          <w:color w:val="auto"/>
        </w:rPr>
      </w:pPr>
    </w:p>
    <w:p>
      <w:pPr>
        <w:ind w:right="18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Außenwirtschaftsgesetz, AWG</w:t>
      </w:r>
      <w:r>
        <w:rPr>
          <w:rFonts w:ascii="Times New Roman" w:cs="Times New Roman" w:eastAsia="Times New Roman" w:hAnsi="Times New Roman"/>
          <w:sz w:val="20"/>
          <w:szCs w:val="20"/>
          <w:color w:val="auto"/>
        </w:rPr>
        <w:t>)) or a similar anti-boycott statute by such Restricted Lender. In connection with any amendment, waiver, determination or direction relating to any part of Section 3.21 (</w:t>
      </w:r>
      <w:r>
        <w:rPr>
          <w:rFonts w:ascii="Times New Roman" w:cs="Times New Roman" w:eastAsia="Times New Roman" w:hAnsi="Times New Roman"/>
          <w:sz w:val="20"/>
          <w:szCs w:val="20"/>
          <w:i w:val="1"/>
          <w:iCs w:val="1"/>
          <w:color w:val="auto"/>
        </w:rPr>
        <w:t>Anti-Corruption and Sanctions Laws</w:t>
      </w:r>
      <w:r>
        <w:rPr>
          <w:rFonts w:ascii="Times New Roman" w:cs="Times New Roman" w:eastAsia="Times New Roman" w:hAnsi="Times New Roman"/>
          <w:sz w:val="20"/>
          <w:szCs w:val="20"/>
          <w:color w:val="auto"/>
        </w:rPr>
        <w:t>) of which a Restricted Lender does not have the benefit, the Commitments of that Restricted Lender will be excluded for the purpose of determining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20"/>
          <w:szCs w:val="20"/>
          <w:color w:val="auto"/>
        </w:rPr>
        <w:t>whether any applicable quorum has been obtained or whether the determination or direction such applicable quorum has been made.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CONDITIONS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IV.1 </w:t>
      </w:r>
      <w:r>
        <w:rPr>
          <w:rFonts w:ascii="Times New Roman" w:cs="Times New Roman" w:eastAsia="Times New Roman" w:hAnsi="Times New Roman"/>
          <w:sz w:val="20"/>
          <w:szCs w:val="20"/>
          <w:u w:val="single" w:color="auto"/>
          <w:color w:val="auto"/>
        </w:rPr>
        <w:t>Conditions Precedent to Effectiveness</w:t>
      </w:r>
    </w:p>
    <w:p>
      <w:pPr>
        <w:spacing w:after="0" w:line="229" w:lineRule="exact"/>
        <w:rPr>
          <w:sz w:val="20"/>
          <w:szCs w:val="20"/>
          <w:color w:val="auto"/>
        </w:rPr>
      </w:pPr>
    </w:p>
    <w:p>
      <w:pPr>
        <w:ind w:left="100" w:hanging="92"/>
        <w:spacing w:after="0"/>
        <w:tabs>
          <w:tab w:leader="none" w:pos="10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become effective on and as of the date on which all of the following conditions precedent shall have been satisfied:</w:t>
      </w:r>
    </w:p>
    <w:p>
      <w:pPr>
        <w:spacing w:after="0" w:line="121" w:lineRule="exact"/>
        <w:rPr>
          <w:rFonts w:ascii="Times New Roman" w:cs="Times New Roman" w:eastAsia="Times New Roman" w:hAnsi="Times New Roman"/>
          <w:sz w:val="20"/>
          <w:szCs w:val="20"/>
          <w:color w:val="auto"/>
        </w:rPr>
      </w:pPr>
    </w:p>
    <w:p>
      <w:pPr>
        <w:ind w:right="180" w:firstLine="1304"/>
        <w:spacing w:after="0" w:line="253" w:lineRule="auto"/>
        <w:tabs>
          <w:tab w:leader="none" w:pos="198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 and Loan Documents</w:t>
      </w:r>
      <w:r>
        <w:rPr>
          <w:rFonts w:ascii="Times New Roman" w:cs="Times New Roman" w:eastAsia="Times New Roman" w:hAnsi="Times New Roman"/>
          <w:sz w:val="20"/>
          <w:szCs w:val="20"/>
          <w:color w:val="auto"/>
        </w:rPr>
        <w:t>. The Agent shall have received (i) from each party hereto either (A) a counterpart of this Agreement signed on behalf of such party or (B) written evidence satisfactory to the Agent that such party has signed a counterpart of this Agreement and (ii) fully executed copies of the other Loan Documents to be entered into on the Closing Date and such other certificates, documents, instruments and agreements as the Agent shall reasonably request in connection with the transactions contemplated by this Agreement and the other Loan Documents, including any promissory notes requested by a Lender pursuant to Section 2.07 at least five (5) Business Days prior to the Closing Date.</w:t>
      </w:r>
    </w:p>
    <w:p>
      <w:pPr>
        <w:spacing w:after="0" w:line="178" w:lineRule="exact"/>
        <w:rPr>
          <w:rFonts w:ascii="Times New Roman" w:cs="Times New Roman" w:eastAsia="Times New Roman" w:hAnsi="Times New Roman"/>
          <w:sz w:val="20"/>
          <w:szCs w:val="20"/>
          <w:color w:val="auto"/>
        </w:rPr>
      </w:pPr>
    </w:p>
    <w:p>
      <w:pPr>
        <w:ind w:right="120" w:firstLine="1304"/>
        <w:spacing w:after="0" w:line="253" w:lineRule="auto"/>
        <w:tabs>
          <w:tab w:leader="none" w:pos="1932"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xml:space="preserve">. The Agent shall have received, on behalf of itself and the Lenders on the Closing Date, a favorable written opinion of (i) Simpson Thacher &amp; Bartlett LLP, special New York counsel for the Loan Parties and (ii) local or other counsel reasonably satisfactory to the Agent as specified on </w:t>
      </w:r>
      <w:r>
        <w:rPr>
          <w:rFonts w:ascii="Times New Roman" w:cs="Times New Roman" w:eastAsia="Times New Roman" w:hAnsi="Times New Roman"/>
          <w:sz w:val="20"/>
          <w:szCs w:val="20"/>
          <w:u w:val="single" w:color="auto"/>
          <w:color w:val="auto"/>
        </w:rPr>
        <w:t>Schedule 4.01(b)</w:t>
      </w:r>
      <w:r>
        <w:rPr>
          <w:rFonts w:ascii="Times New Roman" w:cs="Times New Roman" w:eastAsia="Times New Roman" w:hAnsi="Times New Roman"/>
          <w:sz w:val="20"/>
          <w:szCs w:val="20"/>
          <w:color w:val="auto"/>
        </w:rPr>
        <w:t>, in each case (A) dated the Closing Date, (B) addressed to the Agent and the Lenders as of the Closing Date and (C) in form and substance reasonably satisfactory to the Agent and covering such customary matters under the laws of the respective jurisdiction in which such counsel is admitted to practice relating to the Loan Documents and the Transactions, as the Agent shall reasonably request.</w:t>
      </w:r>
    </w:p>
    <w:p>
      <w:pPr>
        <w:spacing w:after="0" w:line="192" w:lineRule="exact"/>
        <w:rPr>
          <w:rFonts w:ascii="Times New Roman" w:cs="Times New Roman" w:eastAsia="Times New Roman" w:hAnsi="Times New Roman"/>
          <w:sz w:val="20"/>
          <w:szCs w:val="20"/>
          <w:color w:val="auto"/>
        </w:rPr>
      </w:pPr>
    </w:p>
    <w:p>
      <w:pPr>
        <w:ind w:right="140" w:firstLine="1304"/>
        <w:spacing w:after="0" w:line="261" w:lineRule="auto"/>
        <w:tabs>
          <w:tab w:leader="none" w:pos="193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 and Projections</w:t>
      </w:r>
      <w:r>
        <w:rPr>
          <w:rFonts w:ascii="Times New Roman" w:cs="Times New Roman" w:eastAsia="Times New Roman" w:hAnsi="Times New Roman"/>
          <w:sz w:val="20"/>
          <w:szCs w:val="20"/>
          <w:color w:val="auto"/>
        </w:rPr>
        <w:t>. The Lenders shall have received (i) the financial statements referred to in Sections 3.04(a) and (b) and (ii) projections for the U.S. Borrower and its Restricted Subsidiaries on a pro forma basis for completion of the Refinancing Transactions for the fiscal years 2017 through 2021.</w:t>
      </w:r>
    </w:p>
    <w:p>
      <w:pPr>
        <w:spacing w:after="0" w:line="167" w:lineRule="exact"/>
        <w:rPr>
          <w:rFonts w:ascii="Times New Roman" w:cs="Times New Roman" w:eastAsia="Times New Roman" w:hAnsi="Times New Roman"/>
          <w:sz w:val="20"/>
          <w:szCs w:val="20"/>
          <w:color w:val="auto"/>
        </w:rPr>
      </w:pPr>
    </w:p>
    <w:p>
      <w:pPr>
        <w:ind w:firstLine="1304"/>
        <w:spacing w:after="0" w:line="252" w:lineRule="auto"/>
        <w:tabs>
          <w:tab w:leader="none" w:pos="1932"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Certificates; Certified Certificate of Incorporation; Good Standing Certificates</w:t>
      </w:r>
      <w:r>
        <w:rPr>
          <w:rFonts w:ascii="Times New Roman" w:cs="Times New Roman" w:eastAsia="Times New Roman" w:hAnsi="Times New Roman"/>
          <w:sz w:val="20"/>
          <w:szCs w:val="20"/>
          <w:color w:val="auto"/>
        </w:rPr>
        <w:t>. The Agent shall have received (i) a certificate of each Loan Party (other than any Foreign Borrower) and the Canadian Borrower, dated the Closing Date and executed by its Secretary, Assistant Secretary or director, which shall (A) certify the resolutions of its Board of Directors, members or other body authorizing the execution, delivery and performance of the Loan Documents to which it is a party, (B) identify by name and title and bear the signatures of the other officers of such Loan Party authorized to sign the Loan Documents to which it is a party, and (C) contain appropriate attachments, including the certificate or articles of incorporation or organization of each such Loan Party or Canadian Borrower (and in the case of any such Loan Party, certified by the relevant authority of the jurisdiction of organization of such Loan Party), and a true and correct copy of its by-laws, memorandum and articles of incorporation or operating, management, partnership or equivalent agreement to the extent applicable, and (ii) a good standing certificate for each Loan Party (other than any Foreign Borrower) from its jurisdiction of organization to the extent such concept exists in such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74" w:name="page275"/>
    <w:bookmarkEnd w:id="274"/>
    <w:p>
      <w:pPr>
        <w:ind w:right="20" w:firstLine="1304"/>
        <w:spacing w:after="0" w:line="261" w:lineRule="auto"/>
        <w:tabs>
          <w:tab w:leader="none" w:pos="1934"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Agent shall have received all fees required to be paid, and all expenses for which invoices have been presented by three (3) Business Days prior to the Closing Date (including the reasonable documented fees and expenses of legal counsel), on or before the Closing Date.</w:t>
      </w:r>
    </w:p>
    <w:p>
      <w:pPr>
        <w:spacing w:after="0" w:line="181" w:lineRule="exact"/>
        <w:rPr>
          <w:rFonts w:ascii="Times New Roman" w:cs="Times New Roman" w:eastAsia="Times New Roman" w:hAnsi="Times New Roman"/>
          <w:sz w:val="20"/>
          <w:szCs w:val="20"/>
          <w:color w:val="auto"/>
        </w:rPr>
      </w:pPr>
    </w:p>
    <w:p>
      <w:pPr>
        <w:ind w:right="80" w:firstLine="1304"/>
        <w:spacing w:after="0" w:line="269" w:lineRule="auto"/>
        <w:tabs>
          <w:tab w:leader="none" w:pos="1939"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and Judgment Searches</w:t>
      </w:r>
      <w:r>
        <w:rPr>
          <w:rFonts w:ascii="Times New Roman" w:cs="Times New Roman" w:eastAsia="Times New Roman" w:hAnsi="Times New Roman"/>
          <w:sz w:val="20"/>
          <w:szCs w:val="20"/>
          <w:color w:val="auto"/>
        </w:rPr>
        <w:t>. The Agent shall have received the results of recent lien and judgment searches in each of the jurisdictions reasonably requested by it.</w:t>
      </w:r>
    </w:p>
    <w:p>
      <w:pPr>
        <w:spacing w:after="0" w:line="172" w:lineRule="exact"/>
        <w:rPr>
          <w:rFonts w:ascii="Times New Roman" w:cs="Times New Roman" w:eastAsia="Times New Roman" w:hAnsi="Times New Roman"/>
          <w:sz w:val="20"/>
          <w:szCs w:val="20"/>
          <w:color w:val="auto"/>
        </w:rPr>
      </w:pPr>
    </w:p>
    <w:p>
      <w:pPr>
        <w:ind w:right="100" w:firstLine="1304"/>
        <w:spacing w:after="0" w:line="261" w:lineRule="auto"/>
        <w:tabs>
          <w:tab w:leader="none" w:pos="1932"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The Agent shall have received a customary certificate from the chief financial officer of the U.S. Borrower certifying that the Loan Parties, on a consolidated basis after giving effect to the Refinancing Transactions to occur on the Closing Date, are solvent (within the meaning of Section 3.15).</w:t>
      </w:r>
    </w:p>
    <w:p>
      <w:pPr>
        <w:spacing w:after="0" w:line="181" w:lineRule="exact"/>
        <w:rPr>
          <w:rFonts w:ascii="Times New Roman" w:cs="Times New Roman" w:eastAsia="Times New Roman" w:hAnsi="Times New Roman"/>
          <w:sz w:val="20"/>
          <w:szCs w:val="20"/>
          <w:color w:val="auto"/>
        </w:rPr>
      </w:pPr>
    </w:p>
    <w:p>
      <w:pPr>
        <w:ind w:firstLine="1304"/>
        <w:spacing w:after="0" w:line="251" w:lineRule="auto"/>
        <w:tabs>
          <w:tab w:leader="none" w:pos="1932"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Pledged Stock; Stock Powers; Pledged Notes</w:t>
      </w:r>
      <w:r>
        <w:rPr>
          <w:rFonts w:ascii="Times New Roman" w:cs="Times New Roman" w:eastAsia="Times New Roman" w:hAnsi="Times New Roman"/>
          <w:sz w:val="20"/>
          <w:szCs w:val="20"/>
          <w:color w:val="auto"/>
        </w:rPr>
        <w:t>. To the extent not previously delivered to the Agent under the Existing Credit Agreement, the Agent shall have received (i) the certificates representing the shares of Capital Stock of each Domestic Subsidiary pledged pursuant to the Security Agreement, together with an undated stock power for each such certificate executed in blank by a duly authorized officer of the pledgor thereof, (ii) each promissory note and other instrument (if any) pledged to the Agent pursuant to the Security Agreement (to the extent required thereby) endorsed (without recourse) in blank (or accompanied by an executed transfer form in blank) by the pledgor thereof and (iii) the certificates representing the shares of Capital Stock of each Restricted Subsidiary formed under the laws of Canada (or any province thereof) that are pledged pursuant to the Security Agreement (to the extent required thereby), together with an undated stock power for each such certificate executed in blank by a duly authorized officer of the pledgor thereof.</w:t>
      </w:r>
    </w:p>
    <w:p>
      <w:pPr>
        <w:spacing w:after="0" w:line="195" w:lineRule="exact"/>
        <w:rPr>
          <w:rFonts w:ascii="Times New Roman" w:cs="Times New Roman" w:eastAsia="Times New Roman" w:hAnsi="Times New Roman"/>
          <w:sz w:val="20"/>
          <w:szCs w:val="20"/>
          <w:color w:val="auto"/>
        </w:rPr>
      </w:pPr>
    </w:p>
    <w:p>
      <w:pPr>
        <w:ind w:right="580" w:firstLine="1304"/>
        <w:spacing w:after="0" w:line="271" w:lineRule="auto"/>
        <w:tabs>
          <w:tab w:leader="none" w:pos="1942"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Perfection Certificate; Filings, Registrations and Recordings</w:t>
      </w:r>
      <w:r>
        <w:rPr>
          <w:rFonts w:ascii="Times New Roman" w:cs="Times New Roman" w:eastAsia="Times New Roman" w:hAnsi="Times New Roman"/>
          <w:sz w:val="19"/>
          <w:szCs w:val="19"/>
          <w:color w:val="auto"/>
        </w:rPr>
        <w:t>. The Agent shall have received (i) a completed Perfection Certificate dated the Closing Date and signed by a Responsible Officer of the U.S. Borrower, together with all attachments contemplated thereby and (ii) each document (including any UCC financing statement) reasonably requested by the Agent to be filed, registered or recorded in order to create in favor of the Agent, for the benefit of the Secured Parties, a perfected Lien on the Collateral.</w:t>
      </w:r>
    </w:p>
    <w:p>
      <w:pPr>
        <w:spacing w:after="0" w:line="174" w:lineRule="exact"/>
        <w:rPr>
          <w:rFonts w:ascii="Times New Roman" w:cs="Times New Roman" w:eastAsia="Times New Roman" w:hAnsi="Times New Roman"/>
          <w:sz w:val="19"/>
          <w:szCs w:val="19"/>
          <w:color w:val="auto"/>
        </w:rPr>
      </w:pPr>
    </w:p>
    <w:p>
      <w:pPr>
        <w:ind w:right="80" w:firstLine="1304"/>
        <w:spacing w:after="0" w:line="261" w:lineRule="auto"/>
        <w:tabs>
          <w:tab w:leader="none" w:pos="1942"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Transactions</w:t>
      </w:r>
      <w:r>
        <w:rPr>
          <w:rFonts w:ascii="Times New Roman" w:cs="Times New Roman" w:eastAsia="Times New Roman" w:hAnsi="Times New Roman"/>
          <w:sz w:val="20"/>
          <w:szCs w:val="20"/>
          <w:color w:val="auto"/>
        </w:rPr>
        <w:t>. The Agent shall be reasonably satisfied with the arrangements to consummate the Refinancing Transactions substantially concurrently with the initial credit extensions hereunder and to release all Liens securing the Existing Credit Agreement.</w:t>
      </w:r>
    </w:p>
    <w:p>
      <w:pPr>
        <w:spacing w:after="0" w:line="181" w:lineRule="exact"/>
        <w:rPr>
          <w:rFonts w:ascii="Times New Roman" w:cs="Times New Roman" w:eastAsia="Times New Roman" w:hAnsi="Times New Roman"/>
          <w:sz w:val="20"/>
          <w:szCs w:val="20"/>
          <w:color w:val="auto"/>
        </w:rPr>
      </w:pPr>
    </w:p>
    <w:p>
      <w:pPr>
        <w:ind w:right="80" w:firstLine="1304"/>
        <w:spacing w:after="0" w:line="281" w:lineRule="auto"/>
        <w:tabs>
          <w:tab w:leader="none" w:pos="1932"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The Agent shall have received all documentation and other information reasonably requested by it at least five (5) Business Days prior to the Closing Date that is required to be obtained or maintained by it by regulatory authorities under applicable “know your customer” and anti-money laundering or terrorist financing rules and regulations, including the USA PATRIOT Act.</w:t>
      </w:r>
    </w:p>
    <w:p>
      <w:pPr>
        <w:spacing w:after="0" w:line="150"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European Borrower Closing Deliverables</w:t>
      </w:r>
      <w:r>
        <w:rPr>
          <w:rFonts w:ascii="Times New Roman" w:cs="Times New Roman" w:eastAsia="Times New Roman" w:hAnsi="Times New Roman"/>
          <w:sz w:val="20"/>
          <w:szCs w:val="20"/>
          <w:color w:val="auto"/>
        </w:rPr>
        <w:t>. The Agent (or its counsel) shall have received from the European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w:t>
      </w:r>
    </w:p>
    <w:p>
      <w:pPr>
        <w:spacing w:after="0" w:line="214" w:lineRule="exact"/>
        <w:rPr>
          <w:sz w:val="20"/>
          <w:szCs w:val="20"/>
          <w:color w:val="auto"/>
        </w:rPr>
      </w:pPr>
    </w:p>
    <w:p>
      <w:pPr>
        <w:ind w:right="600" w:hanging="1"/>
        <w:spacing w:after="0" w:line="254" w:lineRule="auto"/>
        <w:rPr>
          <w:sz w:val="20"/>
          <w:szCs w:val="20"/>
          <w:color w:val="auto"/>
        </w:rPr>
      </w:pPr>
      <w:r>
        <w:rPr>
          <w:rFonts w:ascii="Times New Roman" w:cs="Times New Roman" w:eastAsia="Times New Roman" w:hAnsi="Times New Roman"/>
          <w:sz w:val="20"/>
          <w:szCs w:val="20"/>
          <w:color w:val="auto"/>
        </w:rPr>
        <w:t>A copy of the constitutional documents of each European Borrower (being, in respect of the Lux Borrower, its up-to-date articles of association (</w:t>
      </w:r>
      <w:r>
        <w:rPr>
          <w:rFonts w:ascii="Times New Roman" w:cs="Times New Roman" w:eastAsia="Times New Roman" w:hAnsi="Times New Roman"/>
          <w:sz w:val="20"/>
          <w:szCs w:val="20"/>
          <w:i w:val="1"/>
          <w:iCs w:val="1"/>
          <w:color w:val="auto"/>
        </w:rPr>
        <w:t>statuts coordonnés</w:t>
      </w:r>
      <w:r>
        <w:rPr>
          <w:rFonts w:ascii="Times New Roman" w:cs="Times New Roman" w:eastAsia="Times New Roman" w:hAnsi="Times New Roman"/>
          <w:sz w:val="20"/>
          <w:szCs w:val="20"/>
          <w:color w:val="auto"/>
        </w:rPr>
        <w:t>) and an excerpt from the Luxembourg Register pertaining to the Lux Borrower) or a certificate of an authorized signatory of each European Borrower certifying that the constitutional documents previously delivered to the Agent for the purposes of the Existing Credit Agreement have not been amended and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75" w:name="page276"/>
    <w:bookmarkEnd w:id="275"/>
    <w:p>
      <w:pPr>
        <w:ind w:right="100"/>
        <w:spacing w:after="0" w:line="287" w:lineRule="auto"/>
        <w:rPr>
          <w:sz w:val="20"/>
          <w:szCs w:val="20"/>
          <w:color w:val="auto"/>
        </w:rPr>
      </w:pPr>
      <w:r>
        <w:rPr>
          <w:rFonts w:ascii="Times New Roman" w:cs="Times New Roman" w:eastAsia="Times New Roman" w:hAnsi="Times New Roman"/>
          <w:sz w:val="20"/>
          <w:szCs w:val="20"/>
          <w:color w:val="auto"/>
        </w:rPr>
        <w:t>In respect of the German Borrower an up-to-date excerpt from the commercial register (</w:t>
      </w:r>
      <w:r>
        <w:rPr>
          <w:rFonts w:ascii="Times New Roman" w:cs="Times New Roman" w:eastAsia="Times New Roman" w:hAnsi="Times New Roman"/>
          <w:sz w:val="20"/>
          <w:szCs w:val="20"/>
          <w:i w:val="1"/>
          <w:iCs w:val="1"/>
          <w:color w:val="auto"/>
        </w:rPr>
        <w:t>Handelsregister</w:t>
      </w:r>
      <w:r>
        <w:rPr>
          <w:rFonts w:ascii="Times New Roman" w:cs="Times New Roman" w:eastAsia="Times New Roman" w:hAnsi="Times New Roman"/>
          <w:sz w:val="20"/>
          <w:szCs w:val="20"/>
          <w:color w:val="auto"/>
        </w:rPr>
        <w:t>) at which such German Borrower is registered;</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respect of the Lux Borrower, a negative certificate (</w:t>
      </w:r>
      <w:r>
        <w:rPr>
          <w:rFonts w:ascii="Times New Roman" w:cs="Times New Roman" w:eastAsia="Times New Roman" w:hAnsi="Times New Roman"/>
          <w:sz w:val="20"/>
          <w:szCs w:val="20"/>
          <w:i w:val="1"/>
          <w:iCs w:val="1"/>
          <w:color w:val="auto"/>
        </w:rPr>
        <w:t>certificat de non inscription d'une décision judiciaire</w:t>
      </w:r>
      <w:r>
        <w:rPr>
          <w:rFonts w:ascii="Times New Roman" w:cs="Times New Roman" w:eastAsia="Times New Roman" w:hAnsi="Times New Roman"/>
          <w:sz w:val="20"/>
          <w:szCs w:val="20"/>
          <w:color w:val="auto"/>
        </w:rPr>
        <w:t>) pertaining to each obligor issued by the Luxembourg Register, dated the date of this Agreement or, if this Agreement is signed outside business hours in Luxembourg, either the date of this Agreement or (if this Agreement is signed after midnight) the day before stating that on the day immediately prior to the date of issuance of the negative certificate, there were no records at the Luxembourg Register of any court order regarding, amongst others, a (i) bankruptcy adjudication against the obligor, (ii)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(iii) controlled management (</w:t>
      </w:r>
      <w:r>
        <w:rPr>
          <w:rFonts w:ascii="Times New Roman" w:cs="Times New Roman" w:eastAsia="Times New Roman" w:hAnsi="Times New Roman"/>
          <w:sz w:val="20"/>
          <w:szCs w:val="20"/>
          <w:i w:val="1"/>
          <w:iCs w:val="1"/>
          <w:color w:val="auto"/>
        </w:rPr>
        <w:t>gestion contrôlée</w:t>
      </w:r>
      <w:r>
        <w:rPr>
          <w:rFonts w:ascii="Times New Roman" w:cs="Times New Roman" w:eastAsia="Times New Roman" w:hAnsi="Times New Roman"/>
          <w:sz w:val="20"/>
          <w:szCs w:val="20"/>
          <w:color w:val="auto"/>
        </w:rPr>
        <w:t>) or (iv) composition with creditors (</w:t>
      </w:r>
      <w:r>
        <w:rPr>
          <w:rFonts w:ascii="Times New Roman" w:cs="Times New Roman" w:eastAsia="Times New Roman" w:hAnsi="Times New Roman"/>
          <w:sz w:val="20"/>
          <w:szCs w:val="20"/>
          <w:i w:val="1"/>
          <w:iCs w:val="1"/>
          <w:color w:val="auto"/>
        </w:rPr>
        <w:t>concordat préventif de la faillite</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right="180" w:hanging="10"/>
        <w:spacing w:after="0" w:line="261" w:lineRule="auto"/>
        <w:rPr>
          <w:sz w:val="20"/>
          <w:szCs w:val="20"/>
          <w:color w:val="auto"/>
        </w:rPr>
      </w:pPr>
      <w:r>
        <w:rPr>
          <w:rFonts w:ascii="Times New Roman" w:cs="Times New Roman" w:eastAsia="Times New Roman" w:hAnsi="Times New Roman"/>
          <w:sz w:val="20"/>
          <w:szCs w:val="20"/>
          <w:color w:val="auto"/>
        </w:rPr>
        <w:t>To the extent applicable, a copy of a resolution of the Board of Directors or equivalent body of each European Borrower (or a committee of its board of directors) approving the terms of, the transactions contemplated by, and the execution, delivery and performance of the Loan Documents to which it is a party;</w:t>
      </w:r>
    </w:p>
    <w:p>
      <w:pPr>
        <w:spacing w:after="0" w:line="181" w:lineRule="exact"/>
        <w:rPr>
          <w:sz w:val="20"/>
          <w:szCs w:val="20"/>
          <w:color w:val="auto"/>
        </w:rPr>
      </w:pPr>
    </w:p>
    <w:p>
      <w:pPr>
        <w:ind w:right="440" w:hanging="11"/>
        <w:spacing w:after="0" w:line="269" w:lineRule="auto"/>
        <w:rPr>
          <w:sz w:val="20"/>
          <w:szCs w:val="20"/>
          <w:color w:val="auto"/>
        </w:rPr>
      </w:pPr>
      <w:r>
        <w:rPr>
          <w:rFonts w:ascii="Times New Roman" w:cs="Times New Roman" w:eastAsia="Times New Roman" w:hAnsi="Times New Roman"/>
          <w:sz w:val="20"/>
          <w:szCs w:val="20"/>
          <w:color w:val="auto"/>
        </w:rPr>
        <w:t>If applicable, a copy of a resolution of the Board of Directors or equivalent body of each European Borrower establishing the committee referred to in clause (iii) above;</w:t>
      </w:r>
    </w:p>
    <w:p>
      <w:pPr>
        <w:spacing w:after="0" w:line="173" w:lineRule="exact"/>
        <w:rPr>
          <w:sz w:val="20"/>
          <w:szCs w:val="20"/>
          <w:color w:val="auto"/>
        </w:rPr>
      </w:pPr>
    </w:p>
    <w:p>
      <w:pPr>
        <w:ind w:right="60" w:hanging="10"/>
        <w:spacing w:after="0" w:line="269" w:lineRule="auto"/>
        <w:rPr>
          <w:sz w:val="20"/>
          <w:szCs w:val="20"/>
          <w:color w:val="auto"/>
        </w:rPr>
      </w:pPr>
      <w:r>
        <w:rPr>
          <w:rFonts w:ascii="Times New Roman" w:cs="Times New Roman" w:eastAsia="Times New Roman" w:hAnsi="Times New Roman"/>
          <w:sz w:val="20"/>
          <w:szCs w:val="20"/>
          <w:color w:val="auto"/>
        </w:rPr>
        <w:t>A specimen of the signature of each person authorized on behalf of each European Borrower to execute or witness the execution of any Loan Document or to sign or send any document or notice in connection with any Loan Document;</w:t>
      </w:r>
    </w:p>
    <w:p>
      <w:pPr>
        <w:spacing w:after="0" w:line="173" w:lineRule="exact"/>
        <w:rPr>
          <w:sz w:val="20"/>
          <w:szCs w:val="20"/>
          <w:color w:val="auto"/>
        </w:rPr>
      </w:pPr>
    </w:p>
    <w:p>
      <w:pPr>
        <w:ind w:right="120" w:hanging="10"/>
        <w:spacing w:after="0" w:line="261" w:lineRule="auto"/>
        <w:rPr>
          <w:sz w:val="20"/>
          <w:szCs w:val="20"/>
          <w:color w:val="auto"/>
        </w:rPr>
      </w:pPr>
      <w:r>
        <w:rPr>
          <w:rFonts w:ascii="Times New Roman" w:cs="Times New Roman" w:eastAsia="Times New Roman" w:hAnsi="Times New Roman"/>
          <w:sz w:val="20"/>
          <w:szCs w:val="20"/>
          <w:color w:val="auto"/>
        </w:rPr>
        <w:t>If applicable, a copy of a resolution, signed by all of the holders of the issued or (in the case of the German Borrower) allotted shares, approving the terms of, the transactions contemplated by, and the execution, delivery and performance of the Loan Documents to which it is a party;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certificate of an authorized signatory of each European Borrower:</w:t>
      </w:r>
    </w:p>
    <w:p>
      <w:pPr>
        <w:spacing w:after="0" w:line="216" w:lineRule="exact"/>
        <w:rPr>
          <w:sz w:val="20"/>
          <w:szCs w:val="20"/>
          <w:color w:val="auto"/>
        </w:rPr>
      </w:pPr>
    </w:p>
    <w:p>
      <w:pPr>
        <w:ind w:left="1300" w:right="220" w:firstLine="652"/>
        <w:spacing w:after="0" w:line="261" w:lineRule="auto"/>
        <w:tabs>
          <w:tab w:leader="none" w:pos="2587"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confirming that borrowing by the European Borrower of the Commitments to such European Borrower would not breach any borrowing, guarantee or similar limit binding on it (in each case, subject to any limitations set out in this Agreement);</w:t>
      </w:r>
    </w:p>
    <w:p>
      <w:pPr>
        <w:spacing w:after="0" w:line="181" w:lineRule="exact"/>
        <w:rPr>
          <w:rFonts w:ascii="Times New Roman" w:cs="Times New Roman" w:eastAsia="Times New Roman" w:hAnsi="Times New Roman"/>
          <w:sz w:val="20"/>
          <w:szCs w:val="20"/>
          <w:color w:val="auto"/>
        </w:rPr>
      </w:pPr>
    </w:p>
    <w:p>
      <w:pPr>
        <w:ind w:left="1300" w:right="60" w:firstLine="652"/>
        <w:spacing w:after="0" w:line="261" w:lineRule="auto"/>
        <w:tabs>
          <w:tab w:leader="none" w:pos="2590"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certifying that each copy document relating to it and specified in this clause (s) as being delivered by it is correct and complete and that the original of each of those documents is in full force and effect and has not been amended or superseded as at a date no earlier than the Closing Date; and</w:t>
      </w:r>
    </w:p>
    <w:p>
      <w:pPr>
        <w:spacing w:after="0" w:line="181" w:lineRule="exact"/>
        <w:rPr>
          <w:rFonts w:ascii="Times New Roman" w:cs="Times New Roman" w:eastAsia="Times New Roman" w:hAnsi="Times New Roman"/>
          <w:sz w:val="20"/>
          <w:szCs w:val="20"/>
          <w:color w:val="auto"/>
        </w:rPr>
      </w:pPr>
    </w:p>
    <w:p>
      <w:pPr>
        <w:ind w:left="1300" w:firstLine="652"/>
        <w:spacing w:after="0" w:line="281" w:lineRule="auto"/>
        <w:tabs>
          <w:tab w:leader="none" w:pos="2590" w:val="left"/>
        </w:tabs>
        <w:numPr>
          <w:ilvl w:val="1"/>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the Lux Borrower, confirming that (i) that it is solvent, (ii) that the entry by it into the Loan Documents to which it is a party will neither compromise its financial position nor render it insolvent as a matter of Luxembourg law and (iii) it does not carry on any activity that would require the holding of a license under Luxembourg law.</w:t>
      </w:r>
    </w:p>
    <w:p>
      <w:pPr>
        <w:spacing w:after="0" w:line="164" w:lineRule="exact"/>
        <w:rPr>
          <w:rFonts w:ascii="Times New Roman" w:cs="Times New Roman" w:eastAsia="Times New Roman" w:hAnsi="Times New Roman"/>
          <w:sz w:val="19"/>
          <w:szCs w:val="19"/>
          <w:color w:val="auto"/>
        </w:rPr>
      </w:pPr>
    </w:p>
    <w:p>
      <w:pPr>
        <w:ind w:right="220" w:firstLine="1304"/>
        <w:spacing w:after="0" w:line="269" w:lineRule="auto"/>
        <w:tabs>
          <w:tab w:leader="none" w:pos="1933"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a certificate dated the Closing Date and signed by a Responsible Officer of the U.S. Borrower certifying that each of the conditions set forth in Section 4.02(b)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09" w:right="359" w:bottom="1440" w:gutter="0" w:footer="0" w:header="0"/>
        </w:sectPr>
      </w:pPr>
    </w:p>
    <w:bookmarkStart w:id="276" w:name="page277"/>
    <w:bookmarkEnd w:id="276"/>
    <w:p>
      <w:pPr>
        <w:ind w:left="1300"/>
        <w:spacing w:after="0"/>
        <w:rPr>
          <w:sz w:val="20"/>
          <w:szCs w:val="20"/>
          <w:color w:val="auto"/>
        </w:rPr>
      </w:pPr>
      <w:r>
        <w:rPr>
          <w:rFonts w:ascii="Times New Roman" w:cs="Times New Roman" w:eastAsia="Times New Roman" w:hAnsi="Times New Roman"/>
          <w:sz w:val="20"/>
          <w:szCs w:val="20"/>
          <w:color w:val="auto"/>
        </w:rPr>
        <w:t xml:space="preserve">SECTION IV.2 </w:t>
      </w:r>
      <w:r>
        <w:rPr>
          <w:rFonts w:ascii="Times New Roman" w:cs="Times New Roman" w:eastAsia="Times New Roman" w:hAnsi="Times New Roman"/>
          <w:sz w:val="20"/>
          <w:szCs w:val="20"/>
          <w:u w:val="single" w:color="auto"/>
          <w:color w:val="auto"/>
        </w:rPr>
        <w:t>Conditions Precedent to Each Loan and Letter of Credit</w:t>
      </w:r>
    </w:p>
    <w:p>
      <w:pPr>
        <w:spacing w:after="0" w:line="229" w:lineRule="exact"/>
        <w:rPr>
          <w:sz w:val="20"/>
          <w:szCs w:val="20"/>
          <w:color w:val="auto"/>
        </w:rPr>
      </w:pPr>
    </w:p>
    <w:p>
      <w:pPr>
        <w:ind w:right="200" w:firstLine="8"/>
        <w:spacing w:after="0" w:line="269" w:lineRule="auto"/>
        <w:tabs>
          <w:tab w:leader="none" w:pos="99"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of each Lender on any date to make any Loan or of any Issuing Bank to issue, increase, renew, amend or extend any Letter of Credit is subject to the satisfaction of each of the following conditions precedent:</w:t>
      </w:r>
    </w:p>
    <w:p>
      <w:pPr>
        <w:spacing w:after="0" w:line="64" w:lineRule="exact"/>
        <w:rPr>
          <w:rFonts w:ascii="Times New Roman" w:cs="Times New Roman" w:eastAsia="Times New Roman" w:hAnsi="Times New Roman"/>
          <w:sz w:val="20"/>
          <w:szCs w:val="20"/>
          <w:color w:val="auto"/>
        </w:rPr>
      </w:pPr>
    </w:p>
    <w:p>
      <w:pPr>
        <w:ind w:left="660" w:right="20" w:firstLine="644"/>
        <w:spacing w:after="0" w:line="261" w:lineRule="auto"/>
        <w:tabs>
          <w:tab w:leader="none" w:pos="1725"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Borrowing or Issuance of Letter of Credit</w:t>
      </w:r>
      <w:r>
        <w:rPr>
          <w:rFonts w:ascii="Times New Roman" w:cs="Times New Roman" w:eastAsia="Times New Roman" w:hAnsi="Times New Roman"/>
          <w:sz w:val="20"/>
          <w:szCs w:val="20"/>
          <w:color w:val="auto"/>
        </w:rPr>
        <w:t>. With respect to any Loan, the Agent shall have received a duly executed Borrowing Request, and, with respect to any Letter of Credit, the Agent and the relevant Issuing Bank shall have received a request for a Letter of Credit complying with Section 2.04.</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736"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No Defaults</w:t>
      </w:r>
      <w:r>
        <w:rPr>
          <w:rFonts w:ascii="Times New Roman" w:cs="Times New Roman" w:eastAsia="Times New Roman" w:hAnsi="Times New Roman"/>
          <w:sz w:val="20"/>
          <w:szCs w:val="20"/>
          <w:color w:val="auto"/>
        </w:rPr>
        <w:t>. Subject to Section 1.10, on the date of such Loan or issuance, both before and after giving effect thereto and, in the case of any Loan, to the application of the proceeds thereof:</w:t>
      </w:r>
    </w:p>
    <w:p>
      <w:pPr>
        <w:spacing w:after="0" w:line="172" w:lineRule="exact"/>
        <w:rPr>
          <w:rFonts w:ascii="Times New Roman" w:cs="Times New Roman" w:eastAsia="Times New Roman" w:hAnsi="Times New Roman"/>
          <w:sz w:val="20"/>
          <w:szCs w:val="20"/>
          <w:color w:val="auto"/>
        </w:rPr>
      </w:pPr>
    </w:p>
    <w:p>
      <w:pPr>
        <w:ind w:left="1300" w:right="40" w:firstLine="202"/>
        <w:spacing w:after="0" w:line="253" w:lineRule="auto"/>
        <w:tabs>
          <w:tab w:leader="none" w:pos="1882" w:val="left"/>
        </w:tabs>
        <w:numPr>
          <w:ilvl w:val="2"/>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set forth in Article III and in the other Loan Documents shall be true and correct in all material respects with the same effect as though made on and as of such date, except to the extent such representations and warranties expressly relate to an earlier date, in which case such representations and warranties shall have been true and correct in all material respects as of such earlier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representation or warranty that is qualified as to materiality or “Material Adverse Effect” shall be true and correct in all respects; and</w:t>
      </w:r>
    </w:p>
    <w:p>
      <w:pPr>
        <w:spacing w:after="0" w:line="191" w:lineRule="exact"/>
        <w:rPr>
          <w:rFonts w:ascii="Times New Roman" w:cs="Times New Roman" w:eastAsia="Times New Roman" w:hAnsi="Times New Roman"/>
          <w:sz w:val="20"/>
          <w:szCs w:val="20"/>
          <w:color w:val="auto"/>
        </w:rPr>
      </w:pPr>
    </w:p>
    <w:p>
      <w:pPr>
        <w:ind w:left="1940" w:hanging="438"/>
        <w:spacing w:after="0"/>
        <w:tabs>
          <w:tab w:leader="none" w:pos="1940" w:val="left"/>
        </w:tabs>
        <w:numPr>
          <w:ilvl w:val="2"/>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have occurred and be continuing.</w:t>
      </w:r>
    </w:p>
    <w:p>
      <w:pPr>
        <w:spacing w:after="0" w:line="21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Subject to Section 1.10, the acceptance by a Borrower of the proceeds of each Loan requested in any Borrowing Request, and the issuance of each Letter of Credit requested hereunder at the request of any Borrower, shall be deemed to constitute a representation and warranty by such Borrower as to the matters specified in clause (b) above on the date of the making of such Loan or the issuance of such Letter of Credit (except that no opinion need be expressed as to the Agent’s or the Required Lenders’ satisfaction with any document, instrument or other matter).</w:t>
      </w:r>
    </w:p>
    <w:p>
      <w:pPr>
        <w:spacing w:after="0" w:line="16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23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Until the Discharge of Obligations, each Loan Party covenants and agrees, jointly and severally with all of the Loan Parties, with the Lenders that:</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V.1 </w:t>
      </w:r>
      <w:r>
        <w:rPr>
          <w:rFonts w:ascii="Times New Roman" w:cs="Times New Roman" w:eastAsia="Times New Roman" w:hAnsi="Times New Roman"/>
          <w:sz w:val="20"/>
          <w:szCs w:val="20"/>
          <w:u w:val="single" w:color="auto"/>
          <w:color w:val="auto"/>
        </w:rPr>
        <w:t>Financial Statements and Other Information</w:t>
      </w:r>
    </w:p>
    <w:p>
      <w:pPr>
        <w:spacing w:after="0" w:line="229" w:lineRule="exact"/>
        <w:rPr>
          <w:sz w:val="20"/>
          <w:szCs w:val="20"/>
          <w:color w:val="auto"/>
        </w:rPr>
      </w:pPr>
    </w:p>
    <w:p>
      <w:pPr>
        <w:ind w:right="20" w:firstLine="8"/>
        <w:spacing w:after="0" w:line="269" w:lineRule="auto"/>
        <w:tabs>
          <w:tab w:leader="none" w:pos="99"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will furnish to the Agent (which will promptly furnish such information to the Lenders in accordance with its customary practice):</w:t>
      </w:r>
    </w:p>
    <w:p>
      <w:pPr>
        <w:spacing w:after="0" w:line="64" w:lineRule="exact"/>
        <w:rPr>
          <w:rFonts w:ascii="Times New Roman" w:cs="Times New Roman" w:eastAsia="Times New Roman" w:hAnsi="Times New Roman"/>
          <w:sz w:val="20"/>
          <w:szCs w:val="20"/>
          <w:color w:val="auto"/>
        </w:rPr>
      </w:pPr>
    </w:p>
    <w:p>
      <w:pPr>
        <w:ind w:left="660" w:firstLine="644"/>
        <w:spacing w:after="0" w:line="270" w:lineRule="auto"/>
        <w:tabs>
          <w:tab w:leader="none" w:pos="1725" w:val="left"/>
        </w:tabs>
        <w:numPr>
          <w:ilvl w:val="1"/>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ninety (90) days after the end of each fiscal year of the U.S. Borrower, commencing with the fiscal year ending September 30, 2017, its audited consolidated balance sheet and related statements of earnings, shareholders’ equity and cash flows as of the end of and for such year, setting forth in each case in comparative form the figures for the previous fiscal year, all reported on by KPMG LLP or other independent public accountants of recognized national standing and reasonably acceptable to the Agent (without a “going concern” or like qualification or exception or exception as to the scope of such audit (other than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77" w:name="page278"/>
    <w:bookmarkEnd w:id="277"/>
    <w:p>
      <w:pPr>
        <w:ind w:left="660" w:right="300"/>
        <w:spacing w:after="0" w:line="253" w:lineRule="auto"/>
        <w:rPr>
          <w:sz w:val="20"/>
          <w:szCs w:val="20"/>
          <w:color w:val="auto"/>
        </w:rPr>
      </w:pPr>
      <w:r>
        <w:rPr>
          <w:rFonts w:ascii="Times New Roman" w:cs="Times New Roman" w:eastAsia="Times New Roman" w:hAnsi="Times New Roman"/>
          <w:sz w:val="20"/>
          <w:szCs w:val="20"/>
          <w:color w:val="auto"/>
        </w:rPr>
        <w:t>qualification attributable solely to (i) upcoming maturity under this Agreement or (ii) from and after the 2024 Refinancing Amendments Effective Date, (x) projected defaults under any financial maintenance covenant or (y) the activities or operations of Unrestricted Subsidiaries)) to the effect that such consolidated financial statements present fairly, in all material respects, the financial position and results of operations of the U.S. Borrower and its consolidated Subsidiaries on a consolidated basis in accordance with GAAP;</w:t>
      </w:r>
    </w:p>
    <w:p>
      <w:pPr>
        <w:spacing w:after="0" w:line="192" w:lineRule="exact"/>
        <w:rPr>
          <w:sz w:val="20"/>
          <w:szCs w:val="20"/>
          <w:color w:val="auto"/>
        </w:rPr>
      </w:pPr>
    </w:p>
    <w:p>
      <w:pPr>
        <w:ind w:left="660" w:right="40" w:firstLine="644"/>
        <w:spacing w:after="0" w:line="253" w:lineRule="auto"/>
        <w:tabs>
          <w:tab w:leader="none" w:pos="1737"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forty-five (45) days after the end of each of the first three fiscal quarters of each fiscal year of the U.S. Borrower commencing with the fiscal quarter ending March 31, 2017, its consolidated balance sheet and related statements of earnings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of the U.S. Borrower and its consolidated Subsidiaries on a consolidated basis in accordance with GAAP, subject to normal year-end audit adjustments;</w:t>
      </w:r>
    </w:p>
    <w:p>
      <w:pPr>
        <w:spacing w:after="0" w:line="179" w:lineRule="exact"/>
        <w:rPr>
          <w:rFonts w:ascii="Times New Roman" w:cs="Times New Roman" w:eastAsia="Times New Roman" w:hAnsi="Times New Roman"/>
          <w:sz w:val="20"/>
          <w:szCs w:val="20"/>
          <w:color w:val="auto"/>
        </w:rPr>
      </w:pPr>
    </w:p>
    <w:p>
      <w:pPr>
        <w:ind w:left="660" w:firstLine="644"/>
        <w:spacing w:after="0" w:line="250" w:lineRule="auto"/>
        <w:tabs>
          <w:tab w:leader="none" w:pos="1725"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any delivery of financial statements under clause (a) or (b) above commencing with the financial statements for the fiscal quarter ending June 30, 2017, a Compliance Certificate signed by a Financial Officer of the U.S. Borrower in substantially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(i) setting forth the calculations required to establish whether the U.S. Borrower and the Restricted Subsidiaries were in compliance with the provisions of Section 6.10 as at the end of such fiscal year or period, as the case may be, (ii) certifying that no Event of Default or Default has occurred or, if an Event of Default or Default has occurred, specifying the details thereof and any action taken or proposed to be taken with respect thereto and (iii) setting forth, in the case of the financial statements delivered under clause (a), (x) commencing with the fiscal year ending on or around September 30, 2017, the U.S. Borrower’s calculation of Excess Cash Flow for the Excess Cash Flow Period ending on the last day of such fiscal year and (y) a list of names of all Immaterial Subsidiaries (if any), that each Restricted Subsidiary set forth on such list individually qualifies as an Immaterial Subsidiary and that all Domestic Subsidiaries listed as Immaterial Subsidiaries in the aggregate comprise less than 5% of Total Assets of the U.S. Borrower and the Restricted Subsidiaries at the end of the period to which such financial statements relate and represented (on a contribution basis) less than 5% of EBITDA of the U.S. Borrower for the period to which such financial statements relate;</w:t>
      </w:r>
    </w:p>
    <w:p>
      <w:pPr>
        <w:spacing w:after="0" w:line="193" w:lineRule="exact"/>
        <w:rPr>
          <w:rFonts w:ascii="Times New Roman" w:cs="Times New Roman" w:eastAsia="Times New Roman" w:hAnsi="Times New Roman"/>
          <w:sz w:val="20"/>
          <w:szCs w:val="20"/>
          <w:color w:val="auto"/>
        </w:rPr>
      </w:pPr>
    </w:p>
    <w:p>
      <w:pPr>
        <w:ind w:left="660" w:right="100" w:firstLine="644"/>
        <w:spacing w:after="0" w:line="261" w:lineRule="auto"/>
        <w:tabs>
          <w:tab w:leader="none" w:pos="1737"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any delivery of consolidated financial statements under clause (a) or (b) above, the related unaudited consolidating financial information reflecting the adjustments necessary to eliminate the accounts of Unrestricted Subsidiaries (if any) from such consolidated financial statements;</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660" w:right="240" w:firstLine="644"/>
        <w:spacing w:after="0" w:line="261" w:lineRule="auto"/>
        <w:tabs>
          <w:tab w:leader="none" w:pos="1704"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upon the reasonable request of the Agent, deliver an updated Perfection Certificate (or, to the extent such request relates to specified information contained in the Perfection Certificate, such information) reflecting all changes since the date of the information most recently received pursuant to this clause (f) or Section 5.11;</w:t>
      </w:r>
    </w:p>
    <w:p>
      <w:pPr>
        <w:spacing w:after="0" w:line="181" w:lineRule="exact"/>
        <w:rPr>
          <w:rFonts w:ascii="Times New Roman" w:cs="Times New Roman" w:eastAsia="Times New Roman" w:hAnsi="Times New Roman"/>
          <w:sz w:val="20"/>
          <w:szCs w:val="20"/>
          <w:color w:val="auto"/>
        </w:rPr>
      </w:pPr>
    </w:p>
    <w:p>
      <w:pPr>
        <w:ind w:left="660" w:right="100" w:firstLine="644"/>
        <w:spacing w:after="0" w:line="283" w:lineRule="auto"/>
        <w:tabs>
          <w:tab w:leader="none" w:pos="1737"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publicly filed by the U.S.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78" w:name="page279"/>
    <w:bookmarkEnd w:id="278"/>
    <w:p>
      <w:pPr>
        <w:ind w:left="660" w:right="420"/>
        <w:spacing w:after="0" w:line="283" w:lineRule="auto"/>
        <w:rPr>
          <w:sz w:val="20"/>
          <w:szCs w:val="20"/>
          <w:color w:val="auto"/>
        </w:rPr>
      </w:pPr>
      <w:r>
        <w:rPr>
          <w:rFonts w:ascii="Times New Roman" w:cs="Times New Roman" w:eastAsia="Times New Roman" w:hAnsi="Times New Roman"/>
          <w:sz w:val="20"/>
          <w:szCs w:val="20"/>
          <w:color w:val="auto"/>
        </w:rPr>
        <w:t>Restricted Subsidiary with the SEC, or with any other securities exchange, or, after an initial public offering of shares of Capital Stock of the U.S. Borrower, distributed by the U.S. Borrower to its shareholders generally, as the case may be;</w:t>
      </w:r>
    </w:p>
    <w:p>
      <w:pPr>
        <w:spacing w:after="0" w:line="146" w:lineRule="exact"/>
        <w:rPr>
          <w:sz w:val="20"/>
          <w:szCs w:val="20"/>
          <w:color w:val="auto"/>
        </w:rPr>
      </w:pPr>
    </w:p>
    <w:p>
      <w:pPr>
        <w:ind w:left="660" w:right="320" w:firstLine="644"/>
        <w:spacing w:after="0" w:line="281" w:lineRule="auto"/>
        <w:tabs>
          <w:tab w:leader="none" w:pos="1737"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the Agent’s request therefor, all documentation and other information that the Agent reasonably requests on its behalf or on behalf of any Lender in order to comply with its ongoing obligations under applicable “know your customer” and anti-money laundering or terrorist financing rules and regulations, including the USA PATRIOT Act; and</w:t>
      </w:r>
    </w:p>
    <w:p>
      <w:pPr>
        <w:spacing w:after="0" w:line="164" w:lineRule="exact"/>
        <w:rPr>
          <w:rFonts w:ascii="Times New Roman" w:cs="Times New Roman" w:eastAsia="Times New Roman" w:hAnsi="Times New Roman"/>
          <w:sz w:val="19"/>
          <w:szCs w:val="19"/>
          <w:color w:val="auto"/>
        </w:rPr>
      </w:pPr>
    </w:p>
    <w:p>
      <w:pPr>
        <w:ind w:left="660" w:right="140" w:firstLine="644"/>
        <w:spacing w:after="0" w:line="281" w:lineRule="auto"/>
        <w:tabs>
          <w:tab w:leader="none" w:pos="1693"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promptly as reasonably practicable from time to time following the Agent’s request therefor, such other information regarding the operations, business affairs and financial condition of Holdings, the U.S. Borrower or any Restricted Subsidiary, or compliance with the terms of any Loan Document, as the Agent may reasonably request (on behalf of itself or any Lender).</w:t>
      </w:r>
    </w:p>
    <w:p>
      <w:pPr>
        <w:spacing w:after="0" w:line="164"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9"/>
          <w:szCs w:val="19"/>
          <w:color w:val="auto"/>
        </w:rPr>
        <w:t>Notwithstanding the foregoing, the obligations in clauses (a) and (b) of this Section 5.01 may be satisfied with respect to financial information of the U.S. Borrower and its Subsidiaries by furnishing (A) the applicable financial statements of Holdings (or any direct or indirect parent of Holdings) or (B) the U.S. Borrower’s or Holdings’ (or any direct or indirect parent thereof), as applicable, Form 10-K or</w:t>
      </w:r>
    </w:p>
    <w:p>
      <w:pPr>
        <w:spacing w:after="0" w:line="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 xml:space="preserve">10-Q, as applicable, filed with the SEC;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of clauses (A) and (B), (i) to the extent such information relates to Holdings (or a parent thereof), such information is accompanied by consolidating information that explains in reasonable detail the differences between the information relating to Holdings (or such parent), on the one hand, and the information relating to the U.S. Borrower and its Subsidiaries on a standalone basis, on the other hand and (ii) to the extent such information is in lieu of information required to be provided under clause (a) of this Section 5.01, such materials are accompanied by a report and opinion of KPMG LLP or other independent public accountants of recognized national standing and reasonably acceptable to the Agent, which report and opinion shall be prepared in accordance with generally accepted auditing standards and shall not be subject to any “going concern” or like qualification or exception or any qualification or exception as to the scope of such audit (other than a “going concern” attributable solely to an upcoming maturity under this Agreement).</w:t>
      </w:r>
    </w:p>
    <w:p>
      <w:pPr>
        <w:spacing w:after="0" w:line="8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U.S. Borrower represents and warrants that it, its controlling Person and any Subsidiary, in each case, if any, either (i) has no registered or publicly traded securities outstanding, or (ii) files its financial statements (or those of its controlling Person together with consolidating information with respect to the U.S. Borrower) with the SEC and/or makes its financial statements (or those of its controlling Person together with consolidating information with respect to the U.S. Borrower) available to potential holders of its 144A securities, and, accordingly, the U.S. Borrower hereby (i) authorizes the Agent to make the financial statements to be provided under Section 5.01(a) and (b) above, along with the Loan Documents, available to Public-Siders and (ii) agrees that at the time such financial statements are provided hereunder, they shall already have been made available to holders of its securities. The Borrower will not request that any other material be posted to Public-Siders without expressly representing and warranting to the Agent in writing that such materials do not constitute material non-public information within the meaning of the federal securities laws or that the U.S. Borrower and each of its controlling Persons has no outstanding publicly traded securities, including 144A securities. Notwithstanding anything herein to the contrary, in no event shall the U.S. Borrower request that the Agent make available to Public-Siders budgets or any certificates, reports or calculations with respect to the Borrower’s compliance with the covenants contained herein.</w:t>
      </w:r>
    </w:p>
    <w:p>
      <w:pPr>
        <w:spacing w:after="0" w:line="93"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20"/>
          <w:szCs w:val="20"/>
          <w:color w:val="auto"/>
        </w:rPr>
        <w:t>Documents required to be delivered pursuant to clause (a), (b), (d) or (f) of this Section 5.01 may be delivered electronically and if so delivered, shall be deemed to have been delivered on the date (i)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79" w:name="page280"/>
    <w:bookmarkEnd w:id="279"/>
    <w:p>
      <w:pPr>
        <w:spacing w:after="0" w:line="253" w:lineRule="auto"/>
        <w:rPr>
          <w:sz w:val="20"/>
          <w:szCs w:val="20"/>
          <w:color w:val="auto"/>
        </w:rPr>
      </w:pPr>
      <w:r>
        <w:rPr>
          <w:rFonts w:ascii="Times New Roman" w:cs="Times New Roman" w:eastAsia="Times New Roman" w:hAnsi="Times New Roman"/>
          <w:sz w:val="20"/>
          <w:szCs w:val="20"/>
          <w:color w:val="auto"/>
        </w:rPr>
        <w:t xml:space="preserve">which the U.S. Borrower posts such documents, or provides a link thereto on the U.S. Borrower’s website on the Internet at the website address listed on </w:t>
      </w:r>
      <w:r>
        <w:rPr>
          <w:rFonts w:ascii="Times New Roman" w:cs="Times New Roman" w:eastAsia="Times New Roman" w:hAnsi="Times New Roman"/>
          <w:sz w:val="20"/>
          <w:szCs w:val="20"/>
          <w:u w:val="single" w:color="auto"/>
          <w:color w:val="auto"/>
        </w:rPr>
        <w:t>Schedule 9.01</w:t>
      </w:r>
      <w:r>
        <w:rPr>
          <w:rFonts w:ascii="Times New Roman" w:cs="Times New Roman" w:eastAsia="Times New Roman" w:hAnsi="Times New Roman"/>
          <w:sz w:val="20"/>
          <w:szCs w:val="20"/>
          <w:color w:val="auto"/>
        </w:rPr>
        <w:t xml:space="preserve">; (ii) on which such documents are posted on the U.S. Borrower’s behalf on IntraLinks™ or a substantially similar electronic platform, if any, to which each Lender and the Agent have access (whether a commercial, third-party website or whether sponsored by the Agent); or (iii) on which such documents are filed for public availability on the SEC’s Electronic Data Gathering and Retrieval System;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U.S. Borrower shall notify (which may be by facsimile or electronic mail) the Agent of the posting of any such documents and provide to the Agent by electronic mail electronic versions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soft copies) of such documents.</w:t>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V.2 </w:t>
      </w:r>
      <w:r>
        <w:rPr>
          <w:rFonts w:ascii="Times New Roman" w:cs="Times New Roman" w:eastAsia="Times New Roman" w:hAnsi="Times New Roman"/>
          <w:sz w:val="20"/>
          <w:szCs w:val="20"/>
          <w:u w:val="single" w:color="auto"/>
          <w:color w:val="auto"/>
        </w:rPr>
        <w:t>Notices of Material Events</w:t>
      </w:r>
    </w:p>
    <w:p>
      <w:pPr>
        <w:spacing w:after="0" w:line="216" w:lineRule="exact"/>
        <w:rPr>
          <w:sz w:val="20"/>
          <w:szCs w:val="20"/>
          <w:color w:val="auto"/>
        </w:rPr>
      </w:pPr>
    </w:p>
    <w:p>
      <w:pPr>
        <w:ind w:right="100" w:firstLine="8"/>
        <w:spacing w:after="0" w:line="283" w:lineRule="auto"/>
        <w:tabs>
          <w:tab w:leader="none" w:pos="99"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will furnish to the Agent written notice of the following promptly after any Responsible Officer of Holdings or the U.S. Borrower obtains knowledge thereof:</w:t>
      </w:r>
    </w:p>
    <w:p>
      <w:pPr>
        <w:spacing w:after="0" w:line="3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of Default or Default;</w:t>
      </w:r>
    </w:p>
    <w:p>
      <w:pPr>
        <w:spacing w:after="0" w:line="229" w:lineRule="exact"/>
        <w:rPr>
          <w:rFonts w:ascii="Times New Roman" w:cs="Times New Roman" w:eastAsia="Times New Roman" w:hAnsi="Times New Roman"/>
          <w:sz w:val="20"/>
          <w:szCs w:val="20"/>
          <w:color w:val="auto"/>
        </w:rPr>
      </w:pPr>
    </w:p>
    <w:p>
      <w:pPr>
        <w:ind w:left="660" w:right="200" w:firstLine="644"/>
        <w:spacing w:after="0" w:line="258" w:lineRule="auto"/>
        <w:tabs>
          <w:tab w:leader="none" w:pos="1737"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any action, suit or proceeding, whether at law or in equity or by or before any Governmental Authority or in arbitration, against Holdings, the U.S. Borrower or any of the Restricted Subsidiaries as to which an adverse determination is reasonably probable and which, if adversely determined, would reasonably be expected to have a Material Adverse Effect; and</w:t>
      </w:r>
    </w:p>
    <w:p>
      <w:pPr>
        <w:spacing w:after="0" w:line="172" w:lineRule="exact"/>
        <w:rPr>
          <w:sz w:val="20"/>
          <w:szCs w:val="20"/>
          <w:color w:val="auto"/>
        </w:rPr>
      </w:pPr>
    </w:p>
    <w:p>
      <w:pPr>
        <w:ind w:left="660" w:right="920" w:firstLine="644"/>
        <w:spacing w:after="0" w:line="283" w:lineRule="auto"/>
        <w:tabs>
          <w:tab w:leader="none" w:pos="1946"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that, together with all other ERISA Events that have occurred and are continuing, would reasonably be expected to have a Material Adverse Effect.</w:t>
      </w:r>
    </w:p>
    <w:p>
      <w:pPr>
        <w:spacing w:after="0" w:line="160"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9"/>
          <w:szCs w:val="19"/>
          <w:color w:val="auto"/>
        </w:rPr>
        <w:t>Each notice delivered under this Section 5.02 shall be accompanied by a statement of a Responsible Officer of the U.S. Borrower setting forth the details of the event or development requiring such notice and any action taken or proposed to be taken with respect thereto.</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V.3 </w:t>
      </w:r>
      <w:r>
        <w:rPr>
          <w:rFonts w:ascii="Times New Roman" w:cs="Times New Roman" w:eastAsia="Times New Roman" w:hAnsi="Times New Roman"/>
          <w:sz w:val="20"/>
          <w:szCs w:val="20"/>
          <w:u w:val="single" w:color="auto"/>
          <w:color w:val="auto"/>
        </w:rPr>
        <w:t>Existence; Conduct of Business</w:t>
      </w:r>
    </w:p>
    <w:p>
      <w:pPr>
        <w:spacing w:after="0" w:line="216" w:lineRule="exact"/>
        <w:rPr>
          <w:sz w:val="20"/>
          <w:szCs w:val="20"/>
          <w:color w:val="auto"/>
        </w:rPr>
      </w:pPr>
    </w:p>
    <w:p>
      <w:pPr>
        <w:ind w:right="100" w:firstLine="8"/>
        <w:spacing w:after="0" w:line="253" w:lineRule="auto"/>
        <w:tabs>
          <w:tab w:leader="none" w:pos="99"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and will cause each Restricted Subsidiary to, do or cause to be done all things reasonably necessary to preserve, renew and keep in full force and effect its legal existence and the rights, qualifications, licenses, permits, franchises, governmental authorizations, intellectual property rights, licenses and permits (except as such would otherwise reasonably expire, be abandoned or permitted to lapse in the ordinary course of business), necessary in the normal conduct of its business, and maintain all requisite authority to conduct its business in each jurisdiction in which its business is conducted, except (i) other than with respect to Holdings’ or any Borrower’s existence, to the extent such failure to do so would not reasonably be expected to have a Material Adverse Effect or (ii) pursuant to a transaction permitted by Section 6.03.</w:t>
      </w:r>
    </w:p>
    <w:p>
      <w:pPr>
        <w:spacing w:after="0" w:line="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V.4 </w:t>
      </w:r>
      <w:r>
        <w:rPr>
          <w:rFonts w:ascii="Times New Roman" w:cs="Times New Roman" w:eastAsia="Times New Roman" w:hAnsi="Times New Roman"/>
          <w:sz w:val="20"/>
          <w:szCs w:val="20"/>
          <w:u w:val="single" w:color="auto"/>
          <w:color w:val="auto"/>
        </w:rPr>
        <w:t>Payment of Taxes</w:t>
      </w:r>
    </w:p>
    <w:p>
      <w:pPr>
        <w:spacing w:after="0" w:line="229" w:lineRule="exact"/>
        <w:rPr>
          <w:sz w:val="20"/>
          <w:szCs w:val="20"/>
          <w:color w:val="auto"/>
        </w:rPr>
      </w:pPr>
    </w:p>
    <w:p>
      <w:pPr>
        <w:ind w:right="80" w:firstLine="8"/>
        <w:spacing w:after="0" w:line="253" w:lineRule="auto"/>
        <w:tabs>
          <w:tab w:leader="none" w:pos="99"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and will cause each Subsidiary to, pay or discharge all material Tax liabilities,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individually or in the aggregate, would not reasonably be expected to result in a Material Adverse Effect.</w:t>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V.5 </w:t>
      </w:r>
      <w:r>
        <w:rPr>
          <w:rFonts w:ascii="Times New Roman" w:cs="Times New Roman" w:eastAsia="Times New Roman" w:hAnsi="Times New Roman"/>
          <w:sz w:val="20"/>
          <w:szCs w:val="20"/>
          <w:u w:val="single" w:color="auto"/>
          <w:color w:val="auto"/>
        </w:rPr>
        <w:t>Maintenance of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80" w:name="page281"/>
    <w:bookmarkEnd w:id="280"/>
    <w:p>
      <w:pPr>
        <w:ind w:right="140" w:firstLine="8"/>
        <w:spacing w:after="0" w:line="253" w:lineRule="auto"/>
        <w:tabs>
          <w:tab w:leader="none" w:pos="99"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and will cause each Restricted Subsidiary to (a) at all times maintain and preserve all material property necessary to the normal conduct of its business in good repair, working order and condition, ordinary wear and tear excepted and casualty or condemnation excepted and (b) make, or cause to be made, all needful and proper repairs, renewals, additions, improvements and replacements thereto as necessary in accordance with prudent industry practice in order that the business carried on in connection therewith, if any, may be properly conducted at all times, except, in each case, where the failure to do so, individually or in the aggregate, would not reasonably be expected to result in a Material Adverse Effect.</w:t>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V.6 </w:t>
      </w:r>
      <w:r>
        <w:rPr>
          <w:rFonts w:ascii="Times New Roman" w:cs="Times New Roman" w:eastAsia="Times New Roman" w:hAnsi="Times New Roman"/>
          <w:sz w:val="20"/>
          <w:szCs w:val="20"/>
          <w:u w:val="single" w:color="auto"/>
          <w:color w:val="auto"/>
        </w:rPr>
        <w:t>Books and Records; Inspection Rights</w:t>
      </w:r>
    </w:p>
    <w:p>
      <w:pPr>
        <w:spacing w:after="0" w:line="216" w:lineRule="exact"/>
        <w:rPr>
          <w:sz w:val="20"/>
          <w:szCs w:val="20"/>
          <w:color w:val="auto"/>
        </w:rPr>
      </w:pPr>
    </w:p>
    <w:p>
      <w:pPr>
        <w:ind w:firstLine="1304"/>
        <w:spacing w:after="0" w:line="250" w:lineRule="auto"/>
        <w:tabs>
          <w:tab w:leader="none" w:pos="193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The U.S. Borrower shall, and shall cause its Restricted Subsidiaries, to permit representatives and independent contractors of the Agent and each Lender to visit and inspect any of its properties, to examine its corporate, financial and operating records, and make abstracts therefrom, and to discuss its affairs, finances and accounts with its directors, officers, and independent public accountants, all at the reasonable expense of the U.S. Borrower and at such reasonable times during normal business hours and as often as may be reasonably desired, upon reasonable advance notice to the U.S. Borrower (it being understood that, in the case of any such meetings or advice from such independent accountants, the U.S. Borrower shall be deemed to have satisfied its obligations under this Section 5.06 to the extent that it has used commercially reasonable efforts to cause its independent accountants to participate in any such meeting);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excluding any such visits, meetings and inspections during the continuation of an Event of Default, only the Agent on behalf of the Lenders may exercise rights of the Agent and the Lenders under this Section 5.06 and the Agent shall not exercise such rights more often than two (2) times during any calendar year absent the existence of an Event of Default and only one (1) such time shall be at the U.S. Borrower’s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when an Event of Default exists, the Agent or any Lender (or any of their respective representatives or independent contractors) may do any of the foregoing at the expense of the U.S. Borrower at any time during normal business hours and upon reasonable advance notice. The Agent and the Lenders shall give the U.S. Borrower the opportunity to participate in any discussions with the U.S. Borrower’s independent public accountants.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V.7 </w:t>
      </w:r>
      <w:r>
        <w:rPr>
          <w:rFonts w:ascii="Times New Roman" w:cs="Times New Roman" w:eastAsia="Times New Roman" w:hAnsi="Times New Roman"/>
          <w:sz w:val="20"/>
          <w:szCs w:val="20"/>
          <w:u w:val="single" w:color="auto"/>
          <w:color w:val="auto"/>
        </w:rPr>
        <w:t>Maintenance of Ratings</w:t>
      </w:r>
    </w:p>
    <w:p>
      <w:pPr>
        <w:spacing w:after="0" w:line="229" w:lineRule="exact"/>
        <w:rPr>
          <w:sz w:val="20"/>
          <w:szCs w:val="20"/>
          <w:color w:val="auto"/>
        </w:rPr>
      </w:pPr>
    </w:p>
    <w:p>
      <w:pPr>
        <w:ind w:right="60" w:firstLine="8"/>
        <w:spacing w:after="0" w:line="258" w:lineRule="auto"/>
        <w:tabs>
          <w:tab w:leader="none" w:pos="99"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the U.S. Borrower shall use their commercially reasonable efforts to cause (i) the credit facilities provided for herein to be continuously rated by and (ii) to maintain a corporate family rating of the U.S. Borrower from, in each case of clauses (i) and (ii), (x) prior to the 2024 Refinancing Amendments Effective Date, S&amp;P and Moody’s and (y) from and after the 2024 Refinancing Amendments Effective Date, any two of S&amp;P, Moody’s and Fitch.</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V.8 </w:t>
      </w:r>
      <w:r>
        <w:rPr>
          <w:rFonts w:ascii="Times New Roman" w:cs="Times New Roman" w:eastAsia="Times New Roman" w:hAnsi="Times New Roman"/>
          <w:sz w:val="20"/>
          <w:szCs w:val="20"/>
          <w:u w:val="single" w:color="auto"/>
          <w:color w:val="auto"/>
        </w:rPr>
        <w:t>Compliance with Laws</w:t>
      </w:r>
    </w:p>
    <w:p>
      <w:pPr>
        <w:spacing w:after="0" w:line="229" w:lineRule="exact"/>
        <w:rPr>
          <w:sz w:val="20"/>
          <w:szCs w:val="20"/>
          <w:color w:val="auto"/>
        </w:rPr>
      </w:pPr>
    </w:p>
    <w:p>
      <w:pPr>
        <w:jc w:val="both"/>
        <w:ind w:right="60" w:firstLine="8"/>
        <w:spacing w:after="0" w:line="261" w:lineRule="auto"/>
        <w:tabs>
          <w:tab w:leader="none" w:pos="99"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and will cause each Subsidiary to, comply in all material respects with all Requirements of Law applicable to it or its property, except where the failure to do so, individually or in the aggregate, would not reasonably be expected to result in a Material Adverse Effect.</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V.9 </w:t>
      </w:r>
      <w:r>
        <w:rPr>
          <w:rFonts w:ascii="Times New Roman" w:cs="Times New Roman" w:eastAsia="Times New Roman" w:hAnsi="Times New Roman"/>
          <w:sz w:val="20"/>
          <w:szCs w:val="20"/>
          <w:u w:val="single" w:color="auto"/>
          <w:color w:val="auto"/>
        </w:rPr>
        <w:t>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240" w:firstLine="1304"/>
        <w:spacing w:after="0" w:line="281" w:lineRule="auto"/>
        <w:tabs>
          <w:tab w:leader="none" w:pos="1934"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proceeds of the Loans and other extensions of credit under this Agreement will be used for general corporate purposes;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the proceeds of the U.S. Term B-7 Term Loans and U.S. Term B-8 Loans will be used to prepay U.S. Term B-5 Loans and U.S. Term B-6 Loans that are not converted to U.S. Term B-7 Loans or U.S. Term B-8 Loans and (y) the Canadian Term 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81" w:name="page282"/>
    <w:bookmarkEnd w:id="281"/>
    <w:p>
      <w:pPr>
        <w:jc w:val="both"/>
        <w:ind w:right="140"/>
        <w:spacing w:after="0" w:line="281" w:lineRule="auto"/>
        <w:rPr>
          <w:sz w:val="20"/>
          <w:szCs w:val="20"/>
          <w:color w:val="auto"/>
        </w:rPr>
      </w:pPr>
      <w:r>
        <w:rPr>
          <w:rFonts w:ascii="Times New Roman" w:cs="Times New Roman" w:eastAsia="Times New Roman" w:hAnsi="Times New Roman"/>
          <w:sz w:val="19"/>
          <w:szCs w:val="19"/>
          <w:color w:val="auto"/>
        </w:rPr>
        <w:t>Loans, the Euro Term A-3 Loans, the GBP Term A Loans, U.S. Term A Loans and U.S. Term A-1 Loans funded on the Amendment No. 15 Effective Date will be used only for the purposes as set forth in Amendment No. 15. No part of the proceeds of any Loan or other extension of credit hereunder will be used, whether directly or indirectly, for any purpose that would entail a violation of Regulation T, U or X.</w:t>
      </w:r>
    </w:p>
    <w:p>
      <w:pPr>
        <w:spacing w:after="0" w:line="164" w:lineRule="exact"/>
        <w:rPr>
          <w:sz w:val="20"/>
          <w:szCs w:val="20"/>
          <w:color w:val="auto"/>
        </w:rPr>
      </w:pPr>
    </w:p>
    <w:p>
      <w:pPr>
        <w:ind w:right="40" w:firstLine="1304"/>
        <w:spacing w:after="0" w:line="251" w:lineRule="auto"/>
        <w:tabs>
          <w:tab w:leader="none" w:pos="1932"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will not, and will not permit any of their Subsidiaries to, request any Borrowing or Letter of Credit, and the Borrowers shall not use, and shall procure that their Subsidiaries and their respective directors, officers, employees and agents of the Borrowers and their Subsidiaries shall not use the proceeds of any Borrowing or Letter of Credit for the purpose of (A) offering, paying, promising to pay or authorizing of the payment or giving of money, or anything else of value, to any Person in violation of any applicable Anti-Corruption Law, (B)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88" w:lineRule="exact"/>
        <w:rPr>
          <w:rFonts w:ascii="Times New Roman" w:cs="Times New Roman" w:eastAsia="Times New Roman" w:hAnsi="Times New Roman"/>
          <w:sz w:val="20"/>
          <w:szCs w:val="20"/>
          <w:color w:val="auto"/>
        </w:rPr>
      </w:pPr>
    </w:p>
    <w:p>
      <w:pPr>
        <w:ind w:right="20" w:firstLine="1304"/>
        <w:spacing w:after="0" w:line="254" w:lineRule="auto"/>
        <w:tabs>
          <w:tab w:leader="none" w:pos="1934"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undertaking contained in Section 5.09 (</w:t>
      </w:r>
      <w:r>
        <w:rPr>
          <w:rFonts w:ascii="Times New Roman" w:cs="Times New Roman" w:eastAsia="Times New Roman" w:hAnsi="Times New Roman"/>
          <w:sz w:val="20"/>
          <w:szCs w:val="20"/>
          <w:i w:val="1"/>
          <w:iCs w:val="1"/>
          <w:color w:val="auto"/>
        </w:rPr>
        <w:t>Use of Proceeds</w:t>
      </w:r>
      <w:r>
        <w:rPr>
          <w:rFonts w:ascii="Times New Roman" w:cs="Times New Roman" w:eastAsia="Times New Roman" w:hAnsi="Times New Roman"/>
          <w:sz w:val="20"/>
          <w:szCs w:val="20"/>
          <w:color w:val="auto"/>
        </w:rPr>
        <w:t>) above is only given by any German Relevant Person to the extent that, by agreeing to it, compliance with it, exercising it, having such obligation or right, or otherwise, it would not be placed in violation of any law applicable to it relating to foreign trades (</w:t>
      </w:r>
      <w:r>
        <w:rPr>
          <w:rFonts w:ascii="Times New Roman" w:cs="Times New Roman" w:eastAsia="Times New Roman" w:hAnsi="Times New Roman"/>
          <w:sz w:val="20"/>
          <w:szCs w:val="20"/>
          <w:i w:val="1"/>
          <w:iCs w:val="1"/>
          <w:color w:val="auto"/>
        </w:rPr>
        <w:t>Außenwirtschaft</w:t>
      </w:r>
      <w:r>
        <w:rPr>
          <w:rFonts w:ascii="Times New Roman" w:cs="Times New Roman" w:eastAsia="Times New Roman" w:hAnsi="Times New Roman"/>
          <w:sz w:val="20"/>
          <w:szCs w:val="20"/>
          <w:color w:val="auto"/>
        </w:rPr>
        <w:t>) (including without limitation EU Regulation (EC) 2271/96 and section 7 foreign trade rules (AWV)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 in conjunction with section 4 and section 19 paragraph 3 no. 1 a) of the German Foreign Trade Act (</w:t>
      </w:r>
      <w:r>
        <w:rPr>
          <w:rFonts w:ascii="Times New Roman" w:cs="Times New Roman" w:eastAsia="Times New Roman" w:hAnsi="Times New Roman"/>
          <w:sz w:val="20"/>
          <w:szCs w:val="20"/>
          <w:i w:val="1"/>
          <w:iCs w:val="1"/>
          <w:color w:val="auto"/>
        </w:rPr>
        <w:t>Außenwirtschaftsgesetz, AWG</w:t>
      </w:r>
      <w:r>
        <w:rPr>
          <w:rFonts w:ascii="Times New Roman" w:cs="Times New Roman" w:eastAsia="Times New Roman" w:hAnsi="Times New Roman"/>
          <w:sz w:val="20"/>
          <w:szCs w:val="20"/>
          <w:color w:val="auto"/>
        </w:rPr>
        <w:t>)) and Section 5.09 (</w:t>
      </w:r>
      <w:r>
        <w:rPr>
          <w:rFonts w:ascii="Times New Roman" w:cs="Times New Roman" w:eastAsia="Times New Roman" w:hAnsi="Times New Roman"/>
          <w:sz w:val="20"/>
          <w:szCs w:val="20"/>
          <w:i w:val="1"/>
          <w:iCs w:val="1"/>
          <w:color w:val="auto"/>
        </w:rPr>
        <w:t>Use of Proceeds</w:t>
      </w:r>
      <w:r>
        <w:rPr>
          <w:rFonts w:ascii="Times New Roman" w:cs="Times New Roman" w:eastAsia="Times New Roman" w:hAnsi="Times New Roman"/>
          <w:sz w:val="20"/>
          <w:szCs w:val="20"/>
          <w:color w:val="auto"/>
        </w:rPr>
        <w:t>) shall be so limited and shall not apply to that extent.</w:t>
      </w:r>
    </w:p>
    <w:p>
      <w:pPr>
        <w:spacing w:after="0" w:line="186" w:lineRule="exact"/>
        <w:rPr>
          <w:rFonts w:ascii="Times New Roman" w:cs="Times New Roman" w:eastAsia="Times New Roman" w:hAnsi="Times New Roman"/>
          <w:sz w:val="20"/>
          <w:szCs w:val="20"/>
          <w:color w:val="auto"/>
        </w:rPr>
      </w:pPr>
    </w:p>
    <w:p>
      <w:pPr>
        <w:ind w:firstLine="1304"/>
        <w:spacing w:after="0" w:line="252" w:lineRule="auto"/>
        <w:tabs>
          <w:tab w:leader="none" w:pos="1932"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each Restricted Lender, the undertaking contained in Section 3.21 (</w:t>
      </w:r>
      <w:r>
        <w:rPr>
          <w:rFonts w:ascii="Times New Roman" w:cs="Times New Roman" w:eastAsia="Times New Roman" w:hAnsi="Times New Roman"/>
          <w:sz w:val="20"/>
          <w:szCs w:val="20"/>
          <w:i w:val="1"/>
          <w:iCs w:val="1"/>
          <w:color w:val="auto"/>
        </w:rPr>
        <w:t>Anti-Corruption and Sanctions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Laws</w:t>
      </w:r>
      <w:r>
        <w:rPr>
          <w:rFonts w:ascii="Times New Roman" w:cs="Times New Roman" w:eastAsia="Times New Roman" w:hAnsi="Times New Roman"/>
          <w:sz w:val="20"/>
          <w:szCs w:val="20"/>
          <w:color w:val="auto"/>
        </w:rPr>
        <w:t>) above shall only apply for the benefit of that Restricted Lender to the extent that such benefit would not result in (i) any violation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conflict with or liability under EU Regulation (EC) 2271/96 or (ii) a violation or conflict with section 7 foreign trade rules (AWV)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 (in connection with section 4 and section 19 paragraph 3 no. 1 a) of the German Foreign Trade Akt (</w:t>
      </w:r>
      <w:r>
        <w:rPr>
          <w:rFonts w:ascii="Times New Roman" w:cs="Times New Roman" w:eastAsia="Times New Roman" w:hAnsi="Times New Roman"/>
          <w:sz w:val="20"/>
          <w:szCs w:val="20"/>
          <w:i w:val="1"/>
          <w:iCs w:val="1"/>
          <w:color w:val="auto"/>
        </w:rPr>
        <w:t>Außenwirtschaftsgesetz, AWG</w:t>
      </w:r>
      <w:r>
        <w:rPr>
          <w:rFonts w:ascii="Times New Roman" w:cs="Times New Roman" w:eastAsia="Times New Roman" w:hAnsi="Times New Roman"/>
          <w:sz w:val="20"/>
          <w:szCs w:val="20"/>
          <w:color w:val="auto"/>
        </w:rPr>
        <w:t>)) or a similar anti-boycott statute by such Restricted Lender. In connection with any amendment, waiver, determination or direction relating to any part of Section 5.09 (</w:t>
      </w:r>
      <w:r>
        <w:rPr>
          <w:rFonts w:ascii="Times New Roman" w:cs="Times New Roman" w:eastAsia="Times New Roman" w:hAnsi="Times New Roman"/>
          <w:sz w:val="20"/>
          <w:szCs w:val="20"/>
          <w:i w:val="1"/>
          <w:iCs w:val="1"/>
          <w:color w:val="auto"/>
        </w:rPr>
        <w:t>Use of Proceeds</w:t>
      </w:r>
      <w:r>
        <w:rPr>
          <w:rFonts w:ascii="Times New Roman" w:cs="Times New Roman" w:eastAsia="Times New Roman" w:hAnsi="Times New Roman"/>
          <w:sz w:val="20"/>
          <w:szCs w:val="20"/>
          <w:color w:val="auto"/>
        </w:rPr>
        <w:t>) of which a Restricted Lender does not have the benefit, the Commitments of that Restricted Lender will be excluded for the purpose of determining whether any applicable quorum has been obtained or whether the determination or direction such applicable quorum has been made.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SECTION V.10</w:t>
      </w:r>
      <w:r>
        <w:rPr>
          <w:rFonts w:ascii="Times New Roman" w:cs="Times New Roman" w:eastAsia="Times New Roman" w:hAnsi="Times New Roman"/>
          <w:sz w:val="20"/>
          <w:szCs w:val="20"/>
          <w:u w:val="single" w:color="auto"/>
          <w:color w:val="auto"/>
        </w:rPr>
        <w:t>Insurance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40" w:firstLine="1304"/>
        <w:spacing w:after="0" w:line="253" w:lineRule="auto"/>
        <w:tabs>
          <w:tab w:leader="none" w:pos="193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and will cause each Restricted Subsidiary to, maintain, with financially sound and reputable insurance companies (i) insurance in such amounts and against such risks, as are customarily maintained by similarly situated companies engaged in the same or similar businesses operating in the same or similar locations (after giving effect to any self-insurance reasonable and customary for similarly situated companies) and (ii) all insurance required pursuant to the Collateral Documents (and shall use commercially reasonable efforts to cause the Agent to be listed as a loss payee on property and casualty policies covering loss or damage to Collateral and as an additional insured on commercial general liability policies). The U.S. Borrower will furnish to the Agent, upon request, information in reasonable detail as to the insurance so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82" w:name="page283"/>
    <w:bookmarkEnd w:id="282"/>
    <w:p>
      <w:pPr>
        <w:ind w:right="160" w:firstLine="1304"/>
        <w:spacing w:after="0" w:line="253" w:lineRule="auto"/>
        <w:tabs>
          <w:tab w:leader="none" w:pos="1932"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Mortgaged Property, if at any time the area in which any improvements are located on any Mortgaged Property is designated a special “flood hazard area” in any Flood Insurance Rate Map published by the Federal Emergency Management Agency (or any successor agency), (i) maintain flood insurance in such total amount as the Agent may from time to time reasonably require and otherwise sufficient to comply with all applicable rules and regulations promulgated pursuant to the Flood Insurance Laws and which shall otherwise be in form and substance reasonably satisfactory to the Agent and comply with the Flood Insurance Laws and (ii) deliver to the Agent evidence of such compliance in form and substance reasonably acceptable to the Agent including, without limitation, evidence of annual renewals of such insurance.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SECTION V.11</w:t>
      </w:r>
      <w:r>
        <w:rPr>
          <w:rFonts w:ascii="Times New Roman" w:cs="Times New Roman" w:eastAsia="Times New Roman" w:hAnsi="Times New Roman"/>
          <w:sz w:val="20"/>
          <w:szCs w:val="20"/>
          <w:u w:val="single" w:color="auto"/>
          <w:color w:val="auto"/>
        </w:rPr>
        <w:t>Additional Collateral; Further Assurances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240" w:firstLine="1304"/>
        <w:spacing w:after="0" w:line="275" w:lineRule="auto"/>
        <w:tabs>
          <w:tab w:leader="none" w:pos="1934"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Borrower shall cause (i) each of its Domestic Subsidiaries (other than any Excluded Subsidiary) which becomes a Domestic Subsidiary after the Closing Date (other than any Subsidiary created pursuant to and solely for the purpose of Section</w:t>
      </w:r>
    </w:p>
    <w:p>
      <w:pPr>
        <w:spacing w:after="0" w:line="24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6.06(r)) and (ii) any such Domestic Subsidiary that was an Excluded Subsidiary but, as of the end of the most recently ended fiscal quarter of the U.S. Borrower has ceased to qualify as an Immaterial Subsidiary (other than any Subsidiary which ceases to qualify as an Excluded Subsidiary pursuant to the Disposition permitted in Section 6.06(r)), to become a Loan Party as promptly thereafter as reasonably practicable (and in any event within 30 days of the date such Subsidiary becomes a Domestic Subsidiary or ceases to be an Excluded Subsidiary (or such longer time period as may be reasonably agreed to by the Agent)) by executing a Joinder Agreement in substantially the form set forth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Upon execution and delivery thereof, each such Person (i) shall automatically become a Loan Guarantor hereunder and thereupon shall have all of the rights, benefits, duties, and obligations in such capacity under the Loan Documents and (ii) will simultaneously therewith or as soon as practicable thereafter (and in any event within 30 days of the date such Subsidiary becomes a Domestic Subsidiary or ceases to be an Excluded Subsidiary (or such longer time period as may be reasonably agreed to by the Agent)) grant Liens to the Agent, for the benefit of the Agent and the other Secured Parties to the extent required by the terms of the Collateral Documents, in any property (subject to the limitations with respect to Equity Interests set forth in paragraph (b) of this Section 5.11 and the Security Agreement, the limitations with respect to real property set forth in paragraph (f) of this Section 5.11 and any other limitations set forth in the Security Agreement) of such Loan Party (other than Excluded Assets), on such terms as may be required pursuant to the terms of the Collateral Documents or otherwise constitute Excluded Assets.</w:t>
      </w:r>
    </w:p>
    <w:p>
      <w:pPr>
        <w:spacing w:after="0" w:line="194" w:lineRule="exact"/>
        <w:rPr>
          <w:rFonts w:ascii="Times New Roman" w:cs="Times New Roman" w:eastAsia="Times New Roman" w:hAnsi="Times New Roman"/>
          <w:sz w:val="19"/>
          <w:szCs w:val="19"/>
          <w:color w:val="auto"/>
        </w:rPr>
      </w:pPr>
    </w:p>
    <w:p>
      <w:pPr>
        <w:ind w:right="140" w:firstLine="1304"/>
        <w:spacing w:after="0" w:line="250" w:lineRule="auto"/>
        <w:tabs>
          <w:tab w:leader="none" w:pos="1932"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U.S. Borrower and each Domestic Subsidiary that is a Loan Party will cause (i) 100% of the issued and outstanding Equity Interests of each of its Domestic Subsidiaries, other than (x) any FSHCO, (y) any Receivables Subsidiary and (z) any Subsidiary created pursuant to and solely for the purpose of Section 6.06(r), and (ii) (A) 65% of the issued and outstanding Equity Interests entitled to vote (within the meaning of Treas. Reg. Section 1.956-2(c)(2)) and (B) 100% of the issued and outstanding Equity Interests not entitled to vote (within the meaning of Treas. Reg. Section 1.956-2(c)(2)) in each case of clause (A) and (B) above, of each Foreign Subsidiary and FSHCO owned directly by the U.S. Borrower or any Subsidiary Guarantor to be subject at all times to a first priority perfected Lien in favor of the Agent pursuant to the terms and conditions of the Loan Documents or other security documents as the Agent shall reasonably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(x) this clause (b) shall not require any Loan Party to grant a security interest in the Equity Interests of any Unrestricted Subsidiary and (y) no pledge of any Equity Interests shall be required to the extent such Equity Interests are excluded from the Collateral pursuant to the terms of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83" w:name="page284"/>
    <w:bookmarkEnd w:id="283"/>
    <w:p>
      <w:pPr>
        <w:ind w:right="80" w:firstLine="1304"/>
        <w:spacing w:after="0" w:line="252" w:lineRule="auto"/>
        <w:tabs>
          <w:tab w:leader="none" w:pos="1934"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each Loan Party (other than any Foreign Borrower) will, and will cause each Loan Party (other than any Foreign Borrower) to, execute and deliver, or cause to be executed and delivered, to the Agent such documents, agreements and instruments, and will take or cause to be taken such further actions (including the filing and recording of financing statements, fixture filings, mortgages, deeds of trust and other documents and such other actions or deliveries of the type required by Article IV, as applicable), which are required by law and which the Agent may, from time to time, reasonably request to carry out the terms and conditions of this Agreement and the other Loan Documents and to ensure perfection and priority of the Liens created or intended to be created by the Collateral Documents (subject to the limitations with respect to Equity Interests set forth in paragraph (b) of this Section 5.11, the limitations with respect to real property set forth in paragraph (f) of this Section 5.11 and any other limitations set forth in the Security Agreement), all at the expense of the Loan Parties.</w:t>
      </w:r>
    </w:p>
    <w:p>
      <w:pPr>
        <w:spacing w:after="0" w:line="175" w:lineRule="exact"/>
        <w:rPr>
          <w:rFonts w:ascii="Times New Roman" w:cs="Times New Roman" w:eastAsia="Times New Roman" w:hAnsi="Times New Roman"/>
          <w:sz w:val="20"/>
          <w:szCs w:val="20"/>
          <w:color w:val="auto"/>
        </w:rPr>
      </w:pPr>
    </w:p>
    <w:p>
      <w:pPr>
        <w:ind w:right="40" w:firstLine="1304"/>
        <w:spacing w:after="0" w:line="252" w:lineRule="auto"/>
        <w:tabs>
          <w:tab w:leader="none" w:pos="1932"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limitations set forth or referred to in this Section 5.11, if any material assets (including any real property or improvements thereto or any interest therein) are acquired by the U.S. Borrower or any Subsidiary that is a Loan Party after the Closing Date (other than (i) Excluded Assets and (ii) assets constituting Collateral under the Security Agreement that become subject to the Lien in favor of the Agent upon acquisition thereof), the U.S. Borrower will notify the Agent and the Lenders thereof, and the U.S. Borrower will cause such assets to be subjected to a Lien securing the Secured Obligations and will take, and cause the Loan Parties that are Subsidiaries to take, such actions (including, with respect to real property, the deliverables listed on Schedule 5.12) as shall be necessary or reasonably requested by the Agent to grant and perfect such Liens (in each case, to the extent required under clauses (a), (b) and (c) above, clause (f) below, Section 5.12 and by the Security Agreement), including actions described in clause (c) of this Section 5.11, all at the expense of the Loan Parties.</w:t>
      </w:r>
    </w:p>
    <w:p>
      <w:pPr>
        <w:spacing w:after="0" w:line="189" w:lineRule="exact"/>
        <w:rPr>
          <w:rFonts w:ascii="Times New Roman" w:cs="Times New Roman" w:eastAsia="Times New Roman" w:hAnsi="Times New Roman"/>
          <w:sz w:val="20"/>
          <w:szCs w:val="20"/>
          <w:color w:val="auto"/>
        </w:rPr>
      </w:pPr>
    </w:p>
    <w:p>
      <w:pPr>
        <w:ind w:right="260" w:firstLine="1304"/>
        <w:spacing w:after="0" w:line="269" w:lineRule="auto"/>
        <w:tabs>
          <w:tab w:leader="none" w:pos="1934"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and from time to time after the Closing Date, Domestic Subsidiaries that are Excluded Subsidiaries solely because they are Immaterial Subsidiaries comprise in the aggregate more than 5% of Total Assets as of the end of the most recently ended fiscal quarter of the U.S. Borrower or more than 5% of EBITDA of the U.S. Borrower for the most recently ended Test Period, then the U.S. Borrower shall, not later than 45 days after the date by which financial statements for such quarter are required to be delivered pursuant to this Agreement, cause one or more such Domestic Subsidiaries to become additional Loan Parties (notwithstanding that such Domestic Subsidiaries are, individually, Immaterial Subsidiaries) such that the foregoing condition ceases to be true.</w:t>
      </w:r>
    </w:p>
    <w:p>
      <w:pPr>
        <w:spacing w:after="0" w:line="164" w:lineRule="exact"/>
        <w:rPr>
          <w:rFonts w:ascii="Times New Roman" w:cs="Times New Roman" w:eastAsia="Times New Roman" w:hAnsi="Times New Roman"/>
          <w:sz w:val="19"/>
          <w:szCs w:val="19"/>
          <w:color w:val="auto"/>
        </w:rPr>
      </w:pPr>
    </w:p>
    <w:p>
      <w:pPr>
        <w:ind w:right="20" w:firstLine="1304"/>
        <w:spacing w:after="0" w:line="269" w:lineRule="auto"/>
        <w:tabs>
          <w:tab w:leader="none" w:pos="1939"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Section 5.11, real property required to be mortgaged under this Section 5.11 shall be limited to real property located in the United States of America owned in fee by a Loan Party having a fair market value at the time of the acquisition thereof of (x) prior to the 2024 Refinancing Amendments Effective Date, $15.0 million or more and (y) from and after the 2024 Refinancing Amendments Effective Date, $30.0 million or more, and in each case that does not otherwise constitute an Excluded Asset (as defined in the Security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cost of perfecting such Lien is not unreasonable in relation to the benefits to the Lenders of the security afforded thereby in the Agent’s reasonable judgment after consultation with the U.S. Borrower).</w:t>
      </w:r>
    </w:p>
    <w:p>
      <w:pPr>
        <w:spacing w:after="0" w:line="177" w:lineRule="exact"/>
        <w:rPr>
          <w:rFonts w:ascii="Times New Roman" w:cs="Times New Roman" w:eastAsia="Times New Roman" w:hAnsi="Times New Roman"/>
          <w:sz w:val="19"/>
          <w:szCs w:val="19"/>
          <w:color w:val="auto"/>
        </w:rPr>
      </w:pPr>
    </w:p>
    <w:p>
      <w:pPr>
        <w:ind w:firstLine="1304"/>
        <w:spacing w:after="0" w:line="258" w:lineRule="auto"/>
        <w:tabs>
          <w:tab w:leader="none" w:pos="1932"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of this definition or anything in this Agreement or any other Loan Document to the contrary, (a) the foregoing provisions of this Section 5.11 (or other provision of the Loan Documents) shall not require the creation or perfection of pledges of or security interests in, or the obtaining of title insurance, legal opinions or other deliverables with respect to, particular assets of the Loan Parties, or the provision of guarantees by any Subsidiary, if, and for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84" w:name="page285"/>
    <w:bookmarkEnd w:id="284"/>
    <w:p>
      <w:pPr>
        <w:spacing w:after="0" w:line="249" w:lineRule="auto"/>
        <w:rPr>
          <w:sz w:val="20"/>
          <w:szCs w:val="20"/>
          <w:color w:val="auto"/>
        </w:rPr>
      </w:pPr>
      <w:r>
        <w:rPr>
          <w:rFonts w:ascii="Times New Roman" w:cs="Times New Roman" w:eastAsia="Times New Roman" w:hAnsi="Times New Roman"/>
          <w:sz w:val="20"/>
          <w:szCs w:val="20"/>
          <w:color w:val="auto"/>
        </w:rPr>
        <w:t>long as and to the extent that the Agents and the U.S. Borrower reasonably agree in writing that the cost of creating or perfecting such pledges or security interests in such assets, or obtaining such title insurance, legal opinions or other deliverables in respect of such assets, or providing such guarantees (taking into account any material adverse Tax consequences to Holdings and its Subsidiaries (including the imposition of withholding or other material Taxes)), shall be excessive in view of the benefits to be obtained by the Lenders therefrom, (b) in no event shall control agreements or other control or similar arrangements be required with respect to deposit accounts, securities accounts or commodities accounts, (c) no perfection actions shall be required with respect to vehicles and other assets subject to certificates of title (other than the filing of UCC financing statements), (d) no perfection actions shall be required with respect to commercial tort claims with a value less than $10.0 million and no perfection actions shall be required with respect to promissory notes evidencing debt for borrowed money in a principal amount of less than $10.0 million (other than the filing of UCC financing statements), (e) no actions in any non-U.S. jurisdiction or required by the laws of any non-U.S. jurisdiction shall be required to be taken to create any security interests in assets located or titled outside of the United States (including any Equity Interests of Foreign Subsidiaries and any foreign intellectual property) or to perfect or make enforceable any security interests in any such assets (it being understood that there shall be no security agreements or pledge agreements governed under the laws of any non-U.S. jurisdiction), (f) no actions shall be required to perfect a security interest in letter of credit rights (other than the filing of UCC financing statements) and (g) in no event shall the Collateral include any Excluded Assets. The Agent may grant extensions of time or waivers for the creation and perfection of security interests in or the obtaining of title insurance, legal opinions or other deliverables with respect to particular assets or the provision of any guarantee by any Subsidiary where it determines that such action cannot be accomplished without undue effort or expense by the time or times at which it would otherwise be required to be accomplished by this Agreement or the other Loan Documents.</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SECTION V.12</w:t>
      </w:r>
      <w:r>
        <w:rPr>
          <w:rFonts w:ascii="Times New Roman" w:cs="Times New Roman" w:eastAsia="Times New Roman" w:hAnsi="Times New Roman"/>
          <w:sz w:val="20"/>
          <w:szCs w:val="20"/>
          <w:u w:val="single" w:color="auto"/>
          <w:color w:val="auto"/>
        </w:rPr>
        <w:t>Post-Closing Requirements</w:t>
      </w:r>
    </w:p>
    <w:p>
      <w:pPr>
        <w:spacing w:after="0" w:line="216" w:lineRule="exact"/>
        <w:rPr>
          <w:sz w:val="20"/>
          <w:szCs w:val="20"/>
          <w:color w:val="auto"/>
        </w:rPr>
      </w:pPr>
    </w:p>
    <w:p>
      <w:pPr>
        <w:jc w:val="both"/>
        <w:ind w:right="320" w:firstLine="8"/>
        <w:spacing w:after="0" w:line="261" w:lineRule="auto"/>
        <w:tabs>
          <w:tab w:leader="none" w:pos="99"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Agent in its sole discretion, the U.S. Borrower shall, and shall cause each of the other Loan Parties to, deliver each of the documents, instruments and agreements and take each of the actions set forth on Schedule 5.12, if any, within the time periods set forth therein (or such longer time periods as determined by the Agent in its sole discretion).</w:t>
      </w:r>
    </w:p>
    <w:p>
      <w:pPr>
        <w:spacing w:after="0" w:line="6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Until the Discharge of Obligations, the Loan Parties covenant and agree, jointly and severally, with the Lenders that:</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VI.1 </w:t>
      </w:r>
      <w:r>
        <w:rPr>
          <w:rFonts w:ascii="Times New Roman" w:cs="Times New Roman" w:eastAsia="Times New Roman" w:hAnsi="Times New Roman"/>
          <w:sz w:val="20"/>
          <w:szCs w:val="20"/>
          <w:u w:val="single" w:color="auto"/>
          <w:color w:val="auto"/>
        </w:rPr>
        <w:t>Limitation on Incurrence of Indebtedness and Issuance of Disqualified Stock and 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20" w:firstLine="1304"/>
        <w:spacing w:after="0" w:line="253" w:lineRule="auto"/>
        <w:tabs>
          <w:tab w:leader="none" w:pos="193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will not, and will not permit any Restricted Subsidiary to, directly or indirectly, create, incur, issue, assume, guarantee or otherwise become directly or indirectly liable, contingently or otherwise (collectively, “</w:t>
      </w:r>
      <w:r>
        <w:rPr>
          <w:rFonts w:ascii="Times New Roman" w:cs="Times New Roman" w:eastAsia="Times New Roman" w:hAnsi="Times New Roman"/>
          <w:sz w:val="20"/>
          <w:szCs w:val="20"/>
          <w:u w:val="single" w:color="auto"/>
          <w:color w:val="auto"/>
        </w:rPr>
        <w:t>incur</w:t>
      </w:r>
      <w:r>
        <w:rPr>
          <w:rFonts w:ascii="Times New Roman" w:cs="Times New Roman" w:eastAsia="Times New Roman" w:hAnsi="Times New Roman"/>
          <w:sz w:val="20"/>
          <w:szCs w:val="20"/>
          <w:color w:val="auto"/>
        </w:rPr>
        <w:t>” and collectively, an “</w:t>
      </w:r>
      <w:r>
        <w:rPr>
          <w:rFonts w:ascii="Times New Roman" w:cs="Times New Roman" w:eastAsia="Times New Roman" w:hAnsi="Times New Roman"/>
          <w:sz w:val="20"/>
          <w:szCs w:val="20"/>
          <w:u w:val="single" w:color="auto"/>
          <w:color w:val="auto"/>
        </w:rPr>
        <w:t>incurrence</w:t>
      </w:r>
      <w:r>
        <w:rPr>
          <w:rFonts w:ascii="Times New Roman" w:cs="Times New Roman" w:eastAsia="Times New Roman" w:hAnsi="Times New Roman"/>
          <w:sz w:val="20"/>
          <w:szCs w:val="20"/>
          <w:color w:val="auto"/>
        </w:rPr>
        <w:t xml:space="preserve">”), with respect to any Indebtedness (including Acquired Indebtedness), and the U.S. Borrower will not issue any shares of Disqualified Stock and will not permit any Restricted Subsidiary to issue any shares of Disqualified Stock or Preferred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Event of Default has occurred and is continuing the U.S. Borrower may incur Indebtedness (including Acquired Indebtedness) or issue shares of Disqualified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85" w:name="page286"/>
    <w:bookmarkEnd w:id="285"/>
    <w:p>
      <w:pPr>
        <w:spacing w:after="0" w:line="253" w:lineRule="auto"/>
        <w:rPr>
          <w:sz w:val="20"/>
          <w:szCs w:val="20"/>
          <w:color w:val="auto"/>
        </w:rPr>
      </w:pPr>
      <w:r>
        <w:rPr>
          <w:rFonts w:ascii="Times New Roman" w:cs="Times New Roman" w:eastAsia="Times New Roman" w:hAnsi="Times New Roman"/>
          <w:sz w:val="20"/>
          <w:szCs w:val="20"/>
          <w:color w:val="auto"/>
        </w:rPr>
        <w:t xml:space="preserve">Stock, and any Restricted Subsidiary may incur Indebtedness (including Acquired Indebtedness), issue shares of Disqualified Stock or issue shares of Preferred Stock, if the U.S. Borrower’s Interest Coverage Ratio for the U.S. Borrower’s most recently ended Test Period would have been at least 2.00 to 1.00, determined on a pro forma basis (including a pro forma application of the net proceeds therefrom), as if the additional Indebtedness had been incurred, or the Disqualified Stock or Preferred Stock had been issued, as the case may be, and the application of the proceeds therefrom had occurred at the beginning of such Test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incurrence of Indebtedness or issuance of Disqualified Stock or Preferred Stock by any Restricted Subsidiary that is not a Subsidiary Guarantor pursuant to this clause (a) shall be subject to the limitations set forth in Section 6.01(g).</w:t>
      </w:r>
    </w:p>
    <w:p>
      <w:pPr>
        <w:spacing w:after="0" w:line="179" w:lineRule="exact"/>
        <w:rPr>
          <w:sz w:val="20"/>
          <w:szCs w:val="20"/>
          <w:color w:val="auto"/>
        </w:rPr>
      </w:pPr>
    </w:p>
    <w:p>
      <w:pPr>
        <w:ind w:left="1940" w:hanging="636"/>
        <w:spacing w:after="0"/>
        <w:tabs>
          <w:tab w:leader="none" w:pos="194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limitations set forth in clause (a) of this Section 6.01 shall not apply to any of the following items:</w:t>
      </w:r>
    </w:p>
    <w:p>
      <w:pPr>
        <w:spacing w:after="0" w:line="229"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any Receivables Facility;</w:t>
      </w:r>
    </w:p>
    <w:p>
      <w:pPr>
        <w:spacing w:after="0" w:line="215"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U.S. Borrower and any of its Restricted Subsidiaries under the Loan Documents;</w:t>
      </w:r>
    </w:p>
    <w:p>
      <w:pPr>
        <w:spacing w:after="0" w:line="229" w:lineRule="exact"/>
        <w:rPr>
          <w:rFonts w:ascii="Times New Roman" w:cs="Times New Roman" w:eastAsia="Times New Roman" w:hAnsi="Times New Roman"/>
          <w:sz w:val="20"/>
          <w:szCs w:val="20"/>
          <w:color w:val="auto"/>
        </w:rPr>
      </w:pPr>
    </w:p>
    <w:p>
      <w:pPr>
        <w:ind w:left="660" w:right="180" w:firstLine="903"/>
        <w:spacing w:after="0" w:line="283" w:lineRule="auto"/>
        <w:tabs>
          <w:tab w:leader="none" w:pos="1945"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U.S. Borrower and any Subsidiary Guarantor of Indebtedness represented by the New Senior Notes issued prior to the Closing Date (including any guarantees thereof by the Subsidiary Guarantors);</w:t>
      </w:r>
    </w:p>
    <w:p>
      <w:pPr>
        <w:spacing w:after="0" w:line="146"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660" w:right="40" w:firstLine="903"/>
        <w:spacing w:after="0" w:line="253" w:lineRule="auto"/>
        <w:tabs>
          <w:tab w:leader="none" w:pos="1946"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(other than Indebtedness under any Receivables Facility) existing on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Indebtedness which is in excess of (x) $10.0 million individually or (y) $50.0 million in the aggregate (when taken together with all other Indebtedness outstanding in reliance on this clause (v) that is not set forth on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shall only be permitted under this clause (v) to the extent such Indebtedness is set forth on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(it being understood that such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shall be replaced by the Schedule 6.01 to be provided to the Agent on the 2024 Refinancing Amendments Effective Date, which shall be in form and substance reasonably satisfactory to the Agent);</w:t>
      </w:r>
    </w:p>
    <w:p>
      <w:pPr>
        <w:spacing w:after="0" w:line="178" w:lineRule="exact"/>
        <w:rPr>
          <w:rFonts w:ascii="Times New Roman" w:cs="Times New Roman" w:eastAsia="Times New Roman" w:hAnsi="Times New Roman"/>
          <w:sz w:val="20"/>
          <w:szCs w:val="20"/>
          <w:color w:val="auto"/>
        </w:rPr>
      </w:pPr>
    </w:p>
    <w:p>
      <w:pPr>
        <w:ind w:left="660" w:firstLine="903"/>
        <w:spacing w:after="0" w:line="251" w:lineRule="auto"/>
        <w:tabs>
          <w:tab w:leader="none" w:pos="1947"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(including Capitalized Lease Obligations), Disqualified Stock and Preferred Stock incurred by the U.S. Borrower or any of the Restricted Subsidiaries, to finance the development, construction, purchase, lease (other than the lease, pursuant to Sale and Lease-Back Transactions, of property (real or personal), equipment or other fixed or capital assets owned by the U.S. Borrower or any Restricted Subsidiary as of the Closing Date or acquired by the U.S. Borrower or any Restricted Subsidiary after the Closing Date in exchange for, or with the proceeds of the sale of, such assets owned by the U.S. Borrower or any Restricted Subsidiary as of the Closing Date), repairs, additions or improvement of property (real or personal), equipment or other fixed or capital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either (x) at the time of incurrence of such Indebtedness or issuance of such Disqualified Stock or Preferred Stock, the aggregate amount of all outstanding Indebtedness, Disqualified Stock and Preferred Stock incurred pursuant to this clause (vi), when aggregated with the then outstanding amount of Indebtedness under clause (xv) incurred to refinance Indebtedness incurred in reliance on this clause (vi), does not exceed (i) prior to the 2024 Refinancing Amendments Effective Date, the greater of (A) $400.0 million and (B) 30% of EBITDA and (ii) from and after the 2024 Refinancing Amendments Effective Date, the greater of (A) $645.0 million and (B) 50% of EBITDA, in each case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86" w:name="page287"/>
    <w:bookmarkEnd w:id="286"/>
    <w:p>
      <w:pPr>
        <w:ind w:left="660" w:right="200"/>
        <w:spacing w:after="0" w:line="258" w:lineRule="auto"/>
        <w:rPr>
          <w:sz w:val="20"/>
          <w:szCs w:val="20"/>
          <w:color w:val="auto"/>
        </w:rPr>
      </w:pPr>
      <w:r>
        <w:rPr>
          <w:rFonts w:ascii="Times New Roman" w:cs="Times New Roman" w:eastAsia="Times New Roman" w:hAnsi="Times New Roman"/>
          <w:sz w:val="20"/>
          <w:szCs w:val="20"/>
          <w:color w:val="auto"/>
        </w:rPr>
        <w:t>most recently ended Test Period as of the time any such Indebtedness is incurred or (y) after giving effect to the incurrence of such Indebtedness or issuance of such Disqualified Stock or Preferred Stock, the U.S. Borrower would be in compliance with a Consolidated Secured Debt Ratio of no greater than 4.50 to 1.00 as of the most recently ended fiscal quarter for which financial statements have been delivered pursuant to Section 5.01;</w:t>
      </w:r>
    </w:p>
    <w:p>
      <w:pPr>
        <w:spacing w:after="0" w:line="172" w:lineRule="exact"/>
        <w:rPr>
          <w:sz w:val="20"/>
          <w:szCs w:val="20"/>
          <w:color w:val="auto"/>
        </w:rPr>
      </w:pPr>
    </w:p>
    <w:p>
      <w:pPr>
        <w:ind w:left="660" w:right="320" w:firstLine="903"/>
        <w:spacing w:after="0" w:line="257" w:lineRule="auto"/>
        <w:tabs>
          <w:tab w:leader="none" w:pos="1948"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by the U.S. Borrower or any Restricted Subsidiary constituting reimbursement obligations with respect to letters of credit or surety bonds issued in the ordinary course of business, including letters of credit in respect of workers’ compensation claims, or other Indebtedness with respect to reimbursement type obligations regarding workers’ compensation claims;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drawing of such letters of credit or the incurrence of such Indebtedness, such obligations are reimbursed within thirty (30) days following such drawing or incurrence;</w:t>
      </w:r>
    </w:p>
    <w:p>
      <w:pPr>
        <w:spacing w:after="0" w:line="172" w:lineRule="exact"/>
        <w:rPr>
          <w:rFonts w:ascii="Times New Roman" w:cs="Times New Roman" w:eastAsia="Times New Roman" w:hAnsi="Times New Roman"/>
          <w:sz w:val="20"/>
          <w:szCs w:val="20"/>
          <w:color w:val="auto"/>
        </w:rPr>
      </w:pPr>
    </w:p>
    <w:p>
      <w:pPr>
        <w:ind w:left="660" w:right="60" w:firstLine="903"/>
        <w:spacing w:after="0" w:line="250" w:lineRule="auto"/>
        <w:tabs>
          <w:tab w:leader="none" w:pos="2597"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from agreements of the U.S. Borrower or a Restricted Subsidiary providing for indemnification, adjustment of purchase price or similar obligations, in each case, incurred or assumed in connection with the disposition of any business, assets or a Subsidiary, other than guarantees of Indebtedness incurred by any Person acquiring all or any portion of such business, assets or Subsidiary for the purpose of financing such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Indebtedness is not reflected on the balance sheet of the U.S. Borrower or any Restricted Subsidiary (contingent obligations referred to in a footnote to financial statements and not otherwise reflected on the balance sheet shall not be deemed to be reflected on such balance sheet for purposes of this clause (A)) and (B) the maximum assumable liability in respect of all such Indebtedness (other than for those indemnification obligations that are not customarily subject to a cap) shall at no time exceed the gross proceeds including noncash proceeds (the fair market value of such noncash proceeds being measured at the time received and without giving effect to any subsequent changes in value) actually received by the U.S. Borrower and the Restricted Subsidiaries in connection with such disposition;</w:t>
      </w:r>
    </w:p>
    <w:p>
      <w:pPr>
        <w:spacing w:after="0" w:line="199" w:lineRule="exact"/>
        <w:rPr>
          <w:rFonts w:ascii="Times New Roman" w:cs="Times New Roman" w:eastAsia="Times New Roman" w:hAnsi="Times New Roman"/>
          <w:sz w:val="20"/>
          <w:szCs w:val="20"/>
          <w:color w:val="auto"/>
        </w:rPr>
      </w:pPr>
    </w:p>
    <w:p>
      <w:pPr>
        <w:ind w:left="660" w:firstLine="903"/>
        <w:spacing w:after="0" w:line="253" w:lineRule="auto"/>
        <w:tabs>
          <w:tab w:leader="none" w:pos="1947"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U.S. Borrower to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owing to a Restricted Subsidiary that is not a Subsidiary Guarantor is subordinated in right of payment to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subsequent issuance or transfer of any Capital Stock or any other event which results in any such Restricted Subsidiary ceasing to be a Restricted Subsidiary or any other subsequent transfer of any such Indebtedness (except to the U.S. Borrower or another Restricted Subsidiary) shall be deemed, in each case, to be an incurrence of such Indebtedness;</w:t>
      </w:r>
    </w:p>
    <w:p>
      <w:pPr>
        <w:spacing w:after="0" w:line="191" w:lineRule="exact"/>
        <w:rPr>
          <w:rFonts w:ascii="Times New Roman" w:cs="Times New Roman" w:eastAsia="Times New Roman" w:hAnsi="Times New Roman"/>
          <w:sz w:val="20"/>
          <w:szCs w:val="20"/>
          <w:color w:val="auto"/>
        </w:rPr>
      </w:pPr>
    </w:p>
    <w:p>
      <w:pPr>
        <w:ind w:left="660" w:firstLine="903"/>
        <w:spacing w:after="0" w:line="253" w:lineRule="auto"/>
        <w:tabs>
          <w:tab w:leader="none" w:pos="1946"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Restricted Subsidiary to the U.S. Borrower or another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Subsidiary Guarantor incurs such Indebtedness to a Restricted Subsidiary that is not a Subsidiary Guarantor, such Indebtedness is subordinated in right of payment to the obligations of such Subsidiary Guarantor under its Loan Guaranty;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subsequent issuance or transfer of Capital Stock or any other event that results in any such Restricted Subsidiary ceasing to be a Restricted Subsidiary or any subsequent transfer of any such Indebtedness (except to the U.S. Borrower or another Restricted Subsidiary) shall be deemed, in each case, to be an incurrence of such Indebtedness not permitted by this clause (x);</w:t>
      </w:r>
    </w:p>
    <w:p>
      <w:pPr>
        <w:spacing w:after="0" w:line="178" w:lineRule="exact"/>
        <w:rPr>
          <w:rFonts w:ascii="Times New Roman" w:cs="Times New Roman" w:eastAsia="Times New Roman" w:hAnsi="Times New Roman"/>
          <w:sz w:val="20"/>
          <w:szCs w:val="20"/>
          <w:color w:val="auto"/>
        </w:rPr>
      </w:pPr>
    </w:p>
    <w:p>
      <w:pPr>
        <w:ind w:left="660" w:right="460" w:firstLine="903"/>
        <w:spacing w:after="0" w:line="283" w:lineRule="auto"/>
        <w:tabs>
          <w:tab w:leader="none" w:pos="1947"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compliance with Section 6.07, shares of Preferred Stock of a Restricted Subsidiary issued to the U.S. Borrower or another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87" w:name="page288"/>
    <w:bookmarkEnd w:id="287"/>
    <w:p>
      <w:pPr>
        <w:jc w:val="both"/>
        <w:ind w:left="660" w:right="420"/>
        <w:spacing w:after="0" w:line="281" w:lineRule="auto"/>
        <w:rPr>
          <w:sz w:val="20"/>
          <w:szCs w:val="20"/>
          <w:color w:val="auto"/>
        </w:rPr>
      </w:pPr>
      <w:r>
        <w:rPr>
          <w:rFonts w:ascii="Times New Roman" w:cs="Times New Roman" w:eastAsia="Times New Roman" w:hAnsi="Times New Roman"/>
          <w:sz w:val="19"/>
          <w:szCs w:val="19"/>
          <w:color w:val="auto"/>
        </w:rPr>
        <w:t>subsequent issuance or transfer of Capital Stock or any other event that results in any such Restricted Subsidiary ceasing to be a Restricted Subsidiary or any subsequent transfer of any such Preferred Stock (except to the U.S. Borrower or another Restricted Subsidiary) shall be deemed, in each case, to be an issuance of such shares of Preferred Stock not permitted by this clause (xi);</w:t>
      </w:r>
    </w:p>
    <w:p>
      <w:pPr>
        <w:spacing w:after="0" w:line="164" w:lineRule="exact"/>
        <w:rPr>
          <w:sz w:val="20"/>
          <w:szCs w:val="20"/>
          <w:color w:val="auto"/>
        </w:rPr>
      </w:pPr>
    </w:p>
    <w:p>
      <w:pPr>
        <w:ind w:left="1940" w:hanging="377"/>
        <w:spacing w:after="0"/>
        <w:tabs>
          <w:tab w:leader="none" w:pos="194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Obligations (excluding Hedging Obligations entered into for speculative purposes) for the purpose of</w:t>
      </w:r>
    </w:p>
    <w:p>
      <w:pPr>
        <w:spacing w:after="0" w:line="21" w:lineRule="exact"/>
        <w:rPr>
          <w:rFonts w:ascii="Times New Roman" w:cs="Times New Roman" w:eastAsia="Times New Roman" w:hAnsi="Times New Roman"/>
          <w:sz w:val="20"/>
          <w:szCs w:val="20"/>
          <w:color w:val="auto"/>
        </w:rPr>
      </w:pPr>
    </w:p>
    <w:p>
      <w:pPr>
        <w:ind w:left="660" w:right="70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(A) interest rate risk with respect to any Indebtedness that is permitted under this Agreement to be outstanding, (B) exchange rate risk or (C) commodity pricing risk;</w:t>
      </w:r>
    </w:p>
    <w:p>
      <w:pPr>
        <w:spacing w:after="0" w:line="181" w:lineRule="exact"/>
        <w:rPr>
          <w:rFonts w:ascii="Times New Roman" w:cs="Times New Roman" w:eastAsia="Times New Roman" w:hAnsi="Times New Roman"/>
          <w:sz w:val="20"/>
          <w:szCs w:val="20"/>
          <w:color w:val="auto"/>
        </w:rPr>
      </w:pPr>
    </w:p>
    <w:p>
      <w:pPr>
        <w:ind w:left="660" w:right="180" w:firstLine="903"/>
        <w:spacing w:after="0" w:line="269" w:lineRule="auto"/>
        <w:tabs>
          <w:tab w:leader="none" w:pos="2597"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performance, bid, appeal and surety bonds and completion guarantees and similar obligations provided by the U.S. Borrower or any Restricted Subsidiary in the ordinary course of business;</w:t>
      </w:r>
    </w:p>
    <w:p>
      <w:pPr>
        <w:spacing w:after="0" w:line="173" w:lineRule="exact"/>
        <w:rPr>
          <w:sz w:val="20"/>
          <w:szCs w:val="20"/>
          <w:color w:val="auto"/>
        </w:rPr>
      </w:pPr>
    </w:p>
    <w:p>
      <w:pPr>
        <w:ind w:left="660" w:firstLine="907"/>
        <w:spacing w:after="0" w:line="253" w:lineRule="auto"/>
        <w:rPr>
          <w:sz w:val="20"/>
          <w:szCs w:val="20"/>
          <w:color w:val="auto"/>
        </w:rPr>
      </w:pPr>
      <w:r>
        <w:rPr>
          <w:rFonts w:ascii="Times New Roman" w:cs="Times New Roman" w:eastAsia="Times New Roman" w:hAnsi="Times New Roman"/>
          <w:sz w:val="20"/>
          <w:szCs w:val="20"/>
          <w:color w:val="auto"/>
        </w:rPr>
        <w:t xml:space="preserve">(xiv)(A) any guarantee by the U.S. Borrower or a Restricted Subsidiary of Indebtedness or other obligations of any Restricted Subsidiary, so long as, in the case of any guarantee of Indebtedness, the incurrence of such Indebtedness is permitted under the terms of this Agreement or (B) any guarantee by a Restricted Subsidiary of Indebtedness of the U.S. Borrower permitted to be incurred under the terms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each case, that in the case of any guarantee of Indebtedness of the U.S. Borrower or any Subsidiary Guarantor by any Restricted Subsidiary that is not a Subsidiary Guarantor, such Restricted Subsidiary executes a Joinder Agreement in order to become a Subsidiary Guarantor under this Agreement;</w:t>
      </w:r>
    </w:p>
    <w:p>
      <w:pPr>
        <w:spacing w:after="0" w:line="179" w:lineRule="exact"/>
        <w:rPr>
          <w:sz w:val="20"/>
          <w:szCs w:val="20"/>
          <w:color w:val="auto"/>
        </w:rPr>
      </w:pPr>
    </w:p>
    <w:p>
      <w:pPr>
        <w:ind w:left="660" w:right="20" w:firstLine="903"/>
        <w:spacing w:after="0" w:line="249" w:lineRule="auto"/>
        <w:tabs>
          <w:tab w:leader="none" w:pos="1951"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U.S. Borrower or any Restricted Subsidiary of Indebtedness, Disqualified Stock or Preferred Stock that serves to extend, replace, refund, refinance, renew or defease any Indebtedness, Disqualified Stock or Preferred Stock of such Person incurred as permitted under paragraph (a) of this Section 6.01 and clauses (iii), (iv), (v) and (vi) above, this clause (xv) and clauses (xvi), (xvii), (xx)(B) and (xxii) of this paragraph (b) or any Indebtedness, Disqualified Stock or Preferred Stock issued to so extend, replace, refund, refinance, renew or defease such Indebtedness, Disqualified Stock or Preferred Stock including additional Indebtedness, Disqualified Stock or Preferred Stock incurred to pay premiums and fees (including reasonable lender premiums) in connection therewith (the “</w:t>
      </w:r>
      <w:r>
        <w:rPr>
          <w:rFonts w:ascii="Times New Roman" w:cs="Times New Roman" w:eastAsia="Times New Roman" w:hAnsi="Times New Roman"/>
          <w:sz w:val="20"/>
          <w:szCs w:val="20"/>
          <w:u w:val="single" w:color="auto"/>
          <w:color w:val="auto"/>
        </w:rPr>
        <w:t>Refinancing Indebtedness</w:t>
      </w:r>
      <w:r>
        <w:rPr>
          <w:rFonts w:ascii="Times New Roman" w:cs="Times New Roman" w:eastAsia="Times New Roman" w:hAnsi="Times New Roman"/>
          <w:sz w:val="20"/>
          <w:szCs w:val="20"/>
          <w:color w:val="auto"/>
        </w:rPr>
        <w:t xml:space="preserve">”) prior to its respective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Refinancing Indebtedness (A) has a Weighted Average Life to Maturity at the time such Refinancing Indebtedness is incurred which is not less than the remaining Weighted Average Life to Maturity of the Indebtedness, Disqualified Stock or Preferred Stock being extended, replaced, refunded, refinanced, renewed or defeased, (B) to the extent such Refinancing Indebtedness extends, replaces, refunds, refinances, renews or defeases (1) Indebtedness subordinated to the Obligations or the Loan Guaranty of any Subsidiary Guarantor, such Refinancing Indebtedness is subordinated to the Obligations or such Loan Guaranty at least to the same extent as the Indebtedness being extended, replaced, refunded, refinanced, renewed or defeased or (2) Disqualified Stock or Preferred Stock, such Refinancing Indebtedness must be Disqualified Stock or Preferred Stock, respectively, and (C) shall not include (1) Indebtedness, Disqualified Stock or Preferred Stock of a Restricted Subsidiary that is not a Subsidiary Guarantor that refinances Indebtedness, Disqualified Stock or Preferred Stock of the U.S. Borrower, (2) Indebtedness, Disqualified Stock or Preferred Stock of a Restricted Subsidiary that is not a Subsidiary Guarantor that refinances Indebtedness, Disqualified Stock or Preferred Stock of a Subsidiary Guarantor or (3) Indebtedness, Disqualified Stock or Preferred Stock of the U.S. Borrower or a Restricted Subsidiary that refinances Indebtedness, Disqualified Stock or Preferred Stock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88" w:name="page289"/>
    <w:bookmarkEnd w:id="288"/>
    <w:p>
      <w:pPr>
        <w:ind w:left="660" w:right="20"/>
        <w:spacing w:after="0" w:line="261" w:lineRule="auto"/>
        <w:rPr>
          <w:sz w:val="20"/>
          <w:szCs w:val="20"/>
          <w:color w:val="auto"/>
        </w:rPr>
      </w:pPr>
      <w:r>
        <w:rPr>
          <w:rFonts w:ascii="Times New Roman" w:cs="Times New Roman" w:eastAsia="Times New Roman" w:hAnsi="Times New Roman"/>
          <w:sz w:val="20"/>
          <w:szCs w:val="20"/>
          <w:color w:val="auto"/>
        </w:rPr>
        <w:t xml:space="preserve">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incurrence of Indebtedness or issuance of Disqualified Stock or Preferred Stock by any Restricted Subsidiary that is not a Subsidiary Guarantor pursuant to this clause (xv) shall be subject to the limitations set forth in Section 6.01(g) to the same extent as the Indebtedness refinanced;</w:t>
      </w:r>
    </w:p>
    <w:p>
      <w:pPr>
        <w:spacing w:after="0" w:line="181" w:lineRule="exact"/>
        <w:rPr>
          <w:sz w:val="20"/>
          <w:szCs w:val="20"/>
          <w:color w:val="auto"/>
        </w:rPr>
      </w:pPr>
    </w:p>
    <w:p>
      <w:pPr>
        <w:ind w:left="660" w:right="40" w:firstLine="907"/>
        <w:spacing w:after="0" w:line="262" w:lineRule="auto"/>
        <w:rPr>
          <w:sz w:val="20"/>
          <w:szCs w:val="20"/>
          <w:color w:val="auto"/>
        </w:rPr>
      </w:pPr>
      <w:r>
        <w:rPr>
          <w:rFonts w:ascii="Times New Roman" w:cs="Times New Roman" w:eastAsia="Times New Roman" w:hAnsi="Times New Roman"/>
          <w:sz w:val="19"/>
          <w:szCs w:val="19"/>
          <w:color w:val="auto"/>
        </w:rPr>
        <w:t xml:space="preserve">(xvi)Indebtedness, Disqualified Stock or Preferred Stock (x) of the U.S. Borrower or any Restricted Subsidiary incurred to finance any Investment permitted by clause (c)(i)(A) or (B) or (c)(iii) of the definition of “Permitted Investments” or (y) of Persons that are acquired by the U.S. Borrower or any Restricted Subsidiary or Persons that are merged into the U.S. Borrower or a Restricted Subsidiary in accordance with the terms of this Agreement or that is assumed by the U.S. Borrower or a Restricted Subsidiary in connection with such Investment;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in the case of Secured Indebtedness assumed under clause (y) above only, on a pro forma basis for the issuance or assumption of such Indebtedness, Disqualified Stock or Preferred Stock and the application of proceeds therefrom, the U.S. Borrower would be in compliance with Section 6.10 for the U.S. Borrower’s most recently ended Test Period; (B) in the case of clauses (x) and (y) above, on a pro forma basis for the issuance or assumption of such Indebtedness, Disqualified Stock or Preferred Stock and the application of proceeds therefrom, either (i) the U.S. Borrower would be permitted to incur at least $1.00 of additional Indebtedness pursuant to Section 6.01(a) or (ii) the Interest Coverage Ratio of the U.S. Borrower for the U.S. Borrower’s most recently ended Test Period would be greater than immediately prior to such acquisition or merger; (C) in the case of clause (x), such Indebtedness, Disqualified Stock or Preferred Stock is not Secured Indebtedness, (D) such Indebtedness, Disqualified Stock or Preferred Stock is not incurred while an Event of Default exists and no Event of Default shall result therefrom, (E) in the case of clause (x) above only, such Indebtedness, Disqualified Stock or Preferred Stock does not mature (and is not mandatorily redeemable in the case of Disqualified Stock or Preferred Stock) and does not require any payment of principal prior to the Latest Maturity Date in effect at such time; and (F) in the case of clause (y) above only, such Indebtedness, Disqualified Stock or Preferred Stock is not incurred in contemplation of such acquisition or merger;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any incurrence of Indebtedness or issuance of Disqualified Stock or Preferred Stock by any Restricted Subsidiary that is not a Subsidiary Guarantor pursuant to this clause (xvi) shall be subject to the limitations set forth in Section 6.01(g);</w:t>
      </w:r>
    </w:p>
    <w:p>
      <w:pPr>
        <w:spacing w:after="0" w:line="193" w:lineRule="exact"/>
        <w:rPr>
          <w:sz w:val="20"/>
          <w:szCs w:val="20"/>
          <w:color w:val="auto"/>
        </w:rPr>
      </w:pPr>
    </w:p>
    <w:p>
      <w:pPr>
        <w:ind w:left="660" w:right="280" w:firstLine="903"/>
        <w:spacing w:after="0" w:line="261" w:lineRule="auto"/>
        <w:tabs>
          <w:tab w:leader="none" w:pos="260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is extinguished within ten (10) Business Days of its incurrence;</w:t>
      </w:r>
    </w:p>
    <w:p>
      <w:pPr>
        <w:spacing w:after="0" w:line="181" w:lineRule="exact"/>
        <w:rPr>
          <w:rFonts w:ascii="Times New Roman" w:cs="Times New Roman" w:eastAsia="Times New Roman" w:hAnsi="Times New Roman"/>
          <w:sz w:val="20"/>
          <w:szCs w:val="20"/>
          <w:color w:val="auto"/>
        </w:rPr>
      </w:pPr>
    </w:p>
    <w:p>
      <w:pPr>
        <w:ind w:left="2600" w:hanging="1037"/>
        <w:spacing w:after="0"/>
        <w:tabs>
          <w:tab w:leader="none" w:pos="260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supported by a Letter of Credit in a principal amount not to exceed the face amount of such</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of Credit;</w:t>
      </w:r>
    </w:p>
    <w:p>
      <w:pPr>
        <w:spacing w:after="0" w:line="207" w:lineRule="exact"/>
        <w:rPr>
          <w:sz w:val="20"/>
          <w:szCs w:val="20"/>
          <w:color w:val="auto"/>
        </w:rPr>
      </w:pPr>
    </w:p>
    <w:p>
      <w:pPr>
        <w:ind w:left="660" w:firstLine="907"/>
        <w:spacing w:after="0" w:line="253" w:lineRule="auto"/>
        <w:rPr>
          <w:sz w:val="20"/>
          <w:szCs w:val="20"/>
          <w:color w:val="auto"/>
        </w:rPr>
      </w:pPr>
      <w:r>
        <w:rPr>
          <w:rFonts w:ascii="Times New Roman" w:cs="Times New Roman" w:eastAsia="Times New Roman" w:hAnsi="Times New Roman"/>
          <w:sz w:val="20"/>
          <w:szCs w:val="20"/>
          <w:color w:val="auto"/>
        </w:rPr>
        <w:t>(xix)Indebtedness incurred by a Foreign Subsidiary which, when aggregated with the principal amount of all other Indebtedness incurred pursuant to this clause (xix) and then outstanding, does not exceed (i) prior to the 2024 Refinancing Amendments Effective Date, the greater of (x) $150.0 million and (y) 10% of EBITDA and (ii) from and after the 2024 Refinancing Amendments Effective Date, the greater of (x) $195.0 million and (y) 15% of EBITDA, in each case for the most recently ended Test Period as of the time such Indebtedness is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89" w:name="page290"/>
    <w:bookmarkEnd w:id="289"/>
    <w:p>
      <w:pPr>
        <w:ind w:left="660" w:firstLine="903"/>
        <w:spacing w:after="0" w:line="262" w:lineRule="auto"/>
        <w:tabs>
          <w:tab w:leader="none" w:pos="1951" w:val="left"/>
        </w:tabs>
        <w:numPr>
          <w:ilvl w:val="1"/>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Disqualified Stock and Preferred Stock of the U.S. Borrower or any Restricted Subsidiary not otherwise permitted hereunder in an aggregate principal amount or liquidation preference which, when aggregated with the principal amount and liquidation preference of all other Indebtedness, Disqualified Stock and Preferred Stock incurred pursuant to this clause (xx) and then outstanding (together with any Refinancing Indebtedness in respect of any such Indebtedness, Disqualified Stock or Preferred Stock which is then outstanding in reliance on clause (xv) above), does not at any one time outstanding exceed the sum of (A)(i) prior to the 2024 Refinancing Amendments Effective Date, the greater of (I) $400.0 million and (II) 30% of EBITDA and (ii) from and after the 2024 Refinancing Amendments Effective Date, the greater of (I) $645.0 million and (II) 50% of EBITDA, in each case for the most recently ended Test Period as of the time such Indebtedness, Disqualified Stock or Preferred Stock is incurred (it being understood that any Indebtedness, Disqualified Stock and Preferred Stock incurred pursuant to this clause (xx) shall for purposes of this clause (xx) cease to be deemed incurred or outstanding under this clause (xx) but shall be deemed incurred pursuant to Section 6.01(a) from and after the first date on which the U.S. Borrower or such Restricted Subsidiary, as applicable, could have incurred such Indebtedness, Disqualified Stock or Preferred Stock pursuant to Section 6.01(a) without reliance on this clause (xx)(A)),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100% of the net cash proceeds received by the U.S. Borrower since the Closing Date from the issue or sale of Equity Interests of the U.S. Borrower or cash contributed to the capital of the U.S. Borrower (in each case, other than proceeds of Disqualified Stock or sales of Equity Interests to the U.S. Borrower or any of its Restricted Subsidiaries) as determined in accordance with clause (a)(ii) of the definition of “Applicable Amount” to the extent such net cash proceeds or cash has not been applied to make Restricted Payments or to make Permitted Investments (other than Permitted Investments of the type specified in clause (a) and</w:t>
      </w:r>
    </w:p>
    <w:p>
      <w:pPr>
        <w:spacing w:after="0" w:line="3" w:lineRule="exact"/>
        <w:rPr>
          <w:rFonts w:ascii="Times New Roman" w:cs="Times New Roman" w:eastAsia="Times New Roman" w:hAnsi="Times New Roman"/>
          <w:sz w:val="19"/>
          <w:szCs w:val="19"/>
          <w:color w:val="auto"/>
        </w:rPr>
      </w:pPr>
    </w:p>
    <w:p>
      <w:pPr>
        <w:ind w:left="920" w:hanging="264"/>
        <w:spacing w:after="0"/>
        <w:tabs>
          <w:tab w:leader="none" w:pos="92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definition thereof) (such amount, the “</w:t>
      </w:r>
      <w:r>
        <w:rPr>
          <w:rFonts w:ascii="Times New Roman" w:cs="Times New Roman" w:eastAsia="Times New Roman" w:hAnsi="Times New Roman"/>
          <w:sz w:val="20"/>
          <w:szCs w:val="20"/>
          <w:u w:val="single" w:color="auto"/>
          <w:color w:val="auto"/>
        </w:rPr>
        <w:t>Designated Equity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the excess of (I) $250.0 million over (II) the</w:t>
      </w:r>
    </w:p>
    <w:p>
      <w:pPr>
        <w:spacing w:after="0" w:line="6" w:lineRule="exact"/>
        <w:rPr>
          <w:sz w:val="20"/>
          <w:szCs w:val="20"/>
          <w:color w:val="auto"/>
        </w:rPr>
      </w:pPr>
    </w:p>
    <w:p>
      <w:pPr>
        <w:ind w:left="660" w:right="60"/>
        <w:spacing w:after="0" w:line="248" w:lineRule="auto"/>
        <w:rPr>
          <w:sz w:val="20"/>
          <w:szCs w:val="20"/>
          <w:color w:val="auto"/>
        </w:rPr>
      </w:pPr>
      <w:r>
        <w:rPr>
          <w:rFonts w:ascii="Times New Roman" w:cs="Times New Roman" w:eastAsia="Times New Roman" w:hAnsi="Times New Roman"/>
          <w:sz w:val="20"/>
          <w:szCs w:val="20"/>
          <w:color w:val="auto"/>
        </w:rPr>
        <w:t xml:space="preserve">amount of Indebtedness outstanding in reliance on clause (xxii) at the time any Indebtedness is incurred in reliance on this subclause (C);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the 2024 Refinancing Amendments Effective Date, any incurrence of Indebtedness or issuance of Disqualified Stock or Preferred Stock by any Restricted Subsidiary that is not a Subsidiary Guarantor pursuant to this clause (xx) shall be subject to the limitations set forth in Section 6.01(g);</w:t>
      </w:r>
    </w:p>
    <w:p>
      <w:pPr>
        <w:spacing w:after="0" w:line="195" w:lineRule="exact"/>
        <w:rPr>
          <w:sz w:val="20"/>
          <w:szCs w:val="20"/>
          <w:color w:val="auto"/>
        </w:rPr>
      </w:pPr>
    </w:p>
    <w:p>
      <w:pPr>
        <w:ind w:left="660" w:right="100" w:firstLine="907"/>
        <w:spacing w:after="0" w:line="269" w:lineRule="auto"/>
        <w:rPr>
          <w:sz w:val="20"/>
          <w:szCs w:val="20"/>
          <w:color w:val="auto"/>
        </w:rPr>
      </w:pPr>
      <w:r>
        <w:rPr>
          <w:rFonts w:ascii="Times New Roman" w:cs="Times New Roman" w:eastAsia="Times New Roman" w:hAnsi="Times New Roman"/>
          <w:sz w:val="19"/>
          <w:szCs w:val="19"/>
          <w:color w:val="auto"/>
        </w:rPr>
        <w:t xml:space="preserve">(xxi)Attributable Debt incurred by the U.S. Borrower or any Restricted Subsidiary pursuant to Sale and Lease-Back Transactions of property (real or personal), equipment or other fixed or capital assets owned by the U.S. Borrower or any Restricted Subsidiary as of the Closing Date or acquired by the U.S. Borrower or any Restricted Subsidiary after the Closing Date in exchange for, or with the proceeds of the sale of, such assets owned by the U.S. Borrower or any Restricted Subsidiary as of the Closing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Attributable Debt incurred under this clause (xxi) does not exceed the greater of (x) $250.0 million and (y) 20% of EBITDA for the most recently ended Test Period as of the time such Attributable Debt is incurred;</w:t>
      </w:r>
    </w:p>
    <w:p>
      <w:pPr>
        <w:spacing w:after="0" w:line="178" w:lineRule="exact"/>
        <w:rPr>
          <w:sz w:val="20"/>
          <w:szCs w:val="20"/>
          <w:color w:val="auto"/>
        </w:rPr>
      </w:pPr>
    </w:p>
    <w:p>
      <w:pPr>
        <w:ind w:left="660" w:right="60" w:firstLine="903"/>
        <w:spacing w:after="0" w:line="253" w:lineRule="auto"/>
        <w:tabs>
          <w:tab w:leader="none" w:pos="260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Disqualified Stock and Preferred Stock of the U.S. Borrower or any Restricted Subsidiary (A) assumed in connection with any Investment permitted by clause (c) of the definition of “Permitted Investments” or in connection with the acquisition of minority investments held by Persons other than the U.S. Borrower or a Wholly-Owned Subsidiary in any non-Wholly-Owned Subsidiary or (B) incurred to finance any Investment permitted by clause (c) of the definition of “Permitted Investments” or in connection with the acquisition of minority investments held by Persons other than the U.S. Borrower or a Wholly-Owned Subsidiary in any non-Wholly-Owned Subsidiary, in each case, that is secured only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90" w:name="page291"/>
    <w:bookmarkEnd w:id="290"/>
    <w:p>
      <w:pPr>
        <w:ind w:left="660"/>
        <w:spacing w:after="0" w:line="251" w:lineRule="auto"/>
        <w:rPr>
          <w:sz w:val="20"/>
          <w:szCs w:val="20"/>
          <w:color w:val="auto"/>
        </w:rPr>
      </w:pPr>
      <w:r>
        <w:rPr>
          <w:rFonts w:ascii="Times New Roman" w:cs="Times New Roman" w:eastAsia="Times New Roman" w:hAnsi="Times New Roman"/>
          <w:sz w:val="20"/>
          <w:szCs w:val="20"/>
          <w:color w:val="auto"/>
        </w:rPr>
        <w:t xml:space="preserve">assets or business acquired in the applicable Permitted Investment (including any acquired Equity Interests) and so long as both immediately prior and after giving effect thereto no Event of Default shall exist or result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or liquidation preference of such Indebtedness (when aggregated with any outstanding Refinancing Indebtedness in respect thereof) at any one time outstanding under this clause (xxii) does not exceed the excess of (x)(i) prior to the 2024 Refinancing Amendments Effective Date, the greater of (A) $325.0 million and (B) 22.5% of EBITDA and (ii) from and after the 2024 Refinancing Amendments Effective Date, the greater of (A) $645.0 million and (B) 50% of EBITDA, in each case for the most recently ended Test Period as of the time such Indebtedness, Disqualified Stock or Preferred Stock is incurred over (y) the aggregate amount of Indebtedness outstanding in reliance on this clause (xxii) at the time of any incurrence of Indebtedness in reliance on this clause (xxii);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incurrence of Indebtedness or issuance of Disqualified Stock or Preferred Stock by any Restricted Subsidiary that is not a Subsidiary Guarantor pursuant to subclause (B) of this clause (xxii) shall be subject to the limitations set forth in Section 6.01(g)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from and after the 2024 Refinancing Amendments Effective Date, this proviso shall not apply to Indebtedness assumed in connection with any such Investment);</w:t>
      </w:r>
    </w:p>
    <w:p>
      <w:pPr>
        <w:spacing w:after="0" w:line="178" w:lineRule="exact"/>
        <w:rPr>
          <w:sz w:val="20"/>
          <w:szCs w:val="20"/>
          <w:color w:val="auto"/>
        </w:rPr>
      </w:pPr>
    </w:p>
    <w:p>
      <w:pPr>
        <w:ind w:left="660" w:right="100" w:firstLine="903"/>
        <w:spacing w:after="0" w:line="257" w:lineRule="auto"/>
        <w:tabs>
          <w:tab w:leader="none" w:pos="2601"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Disqualified Stock and Preferred Stock of the U.S. Borrower issued to former, future and current employees, officers, managers, directors or consultants, (or their respective estates, Controlled Investment Affiliates or Immediate Family Members) of the U.S. Borrower, any of its Subsidiaries or any direct or indirect parent company of the U.S. Borrower in each case to finance the purchase or redemption of Equity Interests of the U.S. Borrower or any direct or indirect parent company of the U.S. Borrower permitted by Section 6.04(iii);</w:t>
      </w:r>
    </w:p>
    <w:p>
      <w:pPr>
        <w:spacing w:after="0" w:line="172" w:lineRule="exact"/>
        <w:rPr>
          <w:rFonts w:ascii="Times New Roman" w:cs="Times New Roman" w:eastAsia="Times New Roman" w:hAnsi="Times New Roman"/>
          <w:sz w:val="20"/>
          <w:szCs w:val="20"/>
          <w:color w:val="auto"/>
        </w:rPr>
      </w:pPr>
    </w:p>
    <w:p>
      <w:pPr>
        <w:ind w:left="2580" w:hanging="1017"/>
        <w:spacing w:after="0"/>
        <w:tabs>
          <w:tab w:leader="none" w:pos="258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660" w:right="20" w:firstLine="903"/>
        <w:spacing w:after="0" w:line="249" w:lineRule="auto"/>
        <w:tabs>
          <w:tab w:leader="none" w:pos="2603"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Loan Parties in respect of Permitted Refinancing Notes (A) issued for cash consideration to the extent that the Net Cash Proceeds therefrom are applied to permanently repay Term Loans or reduce Revolving Commitments in accordance with Section 2.09, (B) issued in exchange for all or any portion of the Term Loans under any Term Loan Facility (and with a principal amount not to exceed the principal amount of Term Loans received by the U.S. Borrower in exchange therefor) pursuant to an exchange offer by the U.S. Borrower conducted pursuant to exchange procedures satisfactory to the Agent and the U.S. Borrower (including, without limitation, with respect to compliance with United States Federal and State securities laws) for all or any portion of the Term Loans outstanding under any Term Loan Facility (or, in the case of an exchange offer of Permitted Refinancing Notes that have not been registered under the Securities Act, for all or any portion of such Term Loans that are held by Lenders that are “qualified institutional buyers” (as defined in Rule 144A promulgated pursuant to the Securities Act)), it being understood and agreed that no Lender shall be required to participate in any such exchange offer;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Term Loans acquired by the U.S. Borrower in connection with any such offer shall be deemed to have been repaid immediately upon the acquisition thereof by the U.S. Borrower and (C) any refinancing, refunding, renewal or extension of any Indebtedness specified in subclause (A) or (B)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principal amount of any such Indebtedness is not increased above the principal amount thereof outstanding immediately prior to such refinancing, refunding, renewal or extension (except for any original issue discount thereon, accrued and unpaid interest and the amount of fees, expenses and premium in connection with such refinancing) and (y) such refinancing, refunding, renewal or extension meets the requirements set forth in the definition of Permitted Refinancing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91" w:name="page292"/>
    <w:bookmarkEnd w:id="291"/>
    <w:p>
      <w:pPr>
        <w:ind w:left="660" w:firstLine="903"/>
        <w:spacing w:after="0" w:line="261" w:lineRule="auto"/>
        <w:tabs>
          <w:tab w:leader="none" w:pos="2590" w:val="left"/>
        </w:tabs>
        <w:numPr>
          <w:ilvl w:val="1"/>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 Designated Business which Indebtedness is incurred substantially concurrently with the disposition of such Designated Business pursuant to Section 6.04(xviii) and which Indebtedness is non-recourse to the U.S. Borrower and its Restricted Subsidiaries other than any Restricted Subsidiary included in such Designated Business; and</w:t>
      </w:r>
    </w:p>
    <w:p>
      <w:pPr>
        <w:spacing w:after="0" w:line="181" w:lineRule="exact"/>
        <w:rPr>
          <w:rFonts w:ascii="Times New Roman" w:cs="Times New Roman" w:eastAsia="Times New Roman" w:hAnsi="Times New Roman"/>
          <w:sz w:val="20"/>
          <w:szCs w:val="20"/>
          <w:color w:val="auto"/>
        </w:rPr>
      </w:pPr>
    </w:p>
    <w:p>
      <w:pPr>
        <w:ind w:left="660" w:right="20" w:firstLine="903"/>
        <w:spacing w:after="0" w:line="262" w:lineRule="auto"/>
        <w:tabs>
          <w:tab w:leader="none" w:pos="2591" w:val="left"/>
        </w:tabs>
        <w:numPr>
          <w:ilvl w:val="1"/>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Indebtedness (in the form of senior secured, senior unsecured, senior subordinated, or subordinated notes or junior lien or unsecured loans) incurred by the U.S. Borrower in an aggregate principal amount not to exceed the then remaining Maximum Incremental Amount deemed such Indebtedness to be incurred in reliance on, Section 2.19;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Indebtedness shall not mature earlier than the Latest Maturity Date in effect at such time, (ii) as of the date of the incurrence of such Indebtedness, the Weighted Average Life to Maturity of such Indebtedness in the form of notes or term loans shall be no shorter than that of the Weighted Average Life to Maturity of the existing Term Loans under any Term Loan Facility, (iii) no Restricted Subsidiary is a borrower or guarantor with respect to such Indebtedness other than any Loan Party (other than a Foreign Borrower),</w:t>
      </w:r>
    </w:p>
    <w:p>
      <w:pPr>
        <w:spacing w:after="0" w:line="6" w:lineRule="exact"/>
        <w:rPr>
          <w:rFonts w:ascii="Times New Roman" w:cs="Times New Roman" w:eastAsia="Times New Roman" w:hAnsi="Times New Roman"/>
          <w:sz w:val="19"/>
          <w:szCs w:val="19"/>
          <w:color w:val="auto"/>
        </w:rPr>
      </w:pPr>
    </w:p>
    <w:p>
      <w:pPr>
        <w:ind w:left="660" w:hanging="4"/>
        <w:spacing w:after="0" w:line="248" w:lineRule="auto"/>
        <w:tabs>
          <w:tab w:leader="none" w:pos="995"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covenants, events of default, guarantees, collateral and other terms of such Indebtedness (other than pricing and optional prepayment or redemption terms), taken as a whole, are not more materially restrictive to the U.S. Borrower and the Subsidiaries, as reasonably determined by the U.S. Borrower, than those set forth in this Agreement; (v) if such indebtedness is secured by Collateral, at the time of incurrence the holders of such Indebtedness (or a representative thereof on behalf of such holders) shall have entered into a First Lien Intercreditor Agreement or Junior Lien Intercreditor Agreement with the Agent agreeing that any Liens securing such Indebtedness are subject to the terms thereof, (vi) from and after the 2024 Refinancing Amendments Effective Date, such Indebtedness may provide for the ability to participate (A) on a pro rata basis or non-pro rata basis in any voluntary prepayment of Term Loans made pursuant to Section 2.08(b) and (B) to the extent secured on a pari passu basis with the Term Loans, on a pro rata basis (but not on a greater than pro rata basis other than in the case of a prepayment with proceeds of Indebtedness refinancing such Permitted Alternative Incremental Facilities Debt) in any mandatory prepayment of Term Loans required pursuant to Section 2.09(a) or (b) or less than a pro rata basis with the then-outstanding Term Loan Facility, and (vii) the U.S. Borrower has delivered to the Agent a certificate of a Responsible Officer of the U.S. Borrower, together with a reasonably detailed description of the material terms and conditions of such Indebtedness or drafts of the documentation relating thereto, stating that the U.S. Borrower has determined in good faith that such terms and conditions satisfy the foregoing requirements set forth in clauses (i)-(vi) (and which shall be conclusive evidence that such terms and conditions satisfy the foregoing requirement) (such Indebtedness incurred pursuant to this clause (xxvii) being referred to as “</w:t>
      </w:r>
      <w:r>
        <w:rPr>
          <w:rFonts w:ascii="Times New Roman" w:cs="Times New Roman" w:eastAsia="Times New Roman" w:hAnsi="Times New Roman"/>
          <w:sz w:val="20"/>
          <w:szCs w:val="20"/>
          <w:u w:val="single" w:color="auto"/>
          <w:color w:val="auto"/>
        </w:rPr>
        <w:t>Permitted Alternative Incremental Facilities 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from and after the 2024 Refinancing Amendments Effective Date, the requirements set forth in clauses (i) and (ii) shall not apply to customary bridge loans to finance Permitted Acquisitions or similar Investments so long as such bridge loans provide for the automatic exchange or conversion into indebtedness meeting the requirements set forth in this clause (A), and (B) any refinancing, refunding, renewal or extension of any Indebtedness specified in subclause (A)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principal amount of any such Indebtedness is not increased above the principal amount thereof outstanding immediately prior to such refinancing, refunding, renewal or extension (except for any original issue discount thereon, accrued and unpaid interest and the amount of fees, expenses and premium in connection with such refinancing) and (y) such refinancing, refunding, renewal or extension meets the requirements set forth in clauses (A)(i) through (A)(vii)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92" w:name="page293"/>
    <w:bookmarkEnd w:id="292"/>
    <w:p>
      <w:pPr>
        <w:ind w:firstLine="1304"/>
        <w:spacing w:after="0" w:line="250" w:lineRule="auto"/>
        <w:tabs>
          <w:tab w:leader="none" w:pos="1934"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with this Section 6.01, in the event that an item of Indebtedness, Disqualified Stock or Preferred Stock (or any portion thereof) at any time meets the criteria of more than one of the categories described in subclauses (i) through (xxvii) of clause (b) of this Section 6.01 or is entitled to be incurred pursuant to clause (a) of this Section 6.01, the U.S. Borrower, in its sole discretion, shall classify or reclassify, or later divide, classify or reclassify, such item of Indebtedness, Disqualified Stock or Preferred Stock (or any portion thereof) and shall only be required to include the amount and type of such Indebtedness, Disqualified Stock or Preferred Stock in one or more of the above clauses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all Indebtedness outstanding under the Loan Documents shall at all times be deemed to have been incurred in reliance on the exception in subclause (ii) of Section 6.01(b), (y) Indebtedness incurred in reliance on the Maximum Incremental Amount may not be later reclassified among the clauses set forth in such definition and (z) all Indebtedness outstanding under any Receivables Facility shall at all times be deemed to have been incurred in reliance on the exception in subclause (i) of Section 6.01(b).</w:t>
      </w:r>
    </w:p>
    <w:p>
      <w:pPr>
        <w:spacing w:after="0" w:line="196" w:lineRule="exact"/>
        <w:rPr>
          <w:rFonts w:ascii="Times New Roman" w:cs="Times New Roman" w:eastAsia="Times New Roman" w:hAnsi="Times New Roman"/>
          <w:sz w:val="20"/>
          <w:szCs w:val="20"/>
          <w:color w:val="auto"/>
        </w:rPr>
      </w:pPr>
    </w:p>
    <w:p>
      <w:pPr>
        <w:ind w:right="60" w:firstLine="1304"/>
        <w:spacing w:after="0" w:line="261" w:lineRule="auto"/>
        <w:tabs>
          <w:tab w:leader="none" w:pos="1932"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accrual of interest, the accretion of accreted value and the payment of interest in the form of additional Indebtedness, Disqualified Stock or Preferred Stock shall not be deemed to be an incurrence of Indebtedness, Disqualified Stock or Preferred Stock for purposes of this Section 6.01.</w:t>
      </w:r>
    </w:p>
    <w:p>
      <w:pPr>
        <w:spacing w:after="0" w:line="181" w:lineRule="exact"/>
        <w:rPr>
          <w:rFonts w:ascii="Times New Roman" w:cs="Times New Roman" w:eastAsia="Times New Roman" w:hAnsi="Times New Roman"/>
          <w:sz w:val="20"/>
          <w:szCs w:val="20"/>
          <w:color w:val="auto"/>
        </w:rPr>
      </w:pPr>
    </w:p>
    <w:p>
      <w:pPr>
        <w:ind w:right="20" w:firstLine="1304"/>
        <w:spacing w:after="0" w:line="250" w:lineRule="auto"/>
        <w:tabs>
          <w:tab w:leader="none" w:pos="1934"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Indebtedness is incurred to extend, replace, refund, refinance, renew or defease other Indebtedness denominated in a foreign currency,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w:t>
      </w:r>
    </w:p>
    <w:p>
      <w:pPr>
        <w:spacing w:after="0" w:line="192" w:lineRule="exact"/>
        <w:rPr>
          <w:rFonts w:ascii="Times New Roman" w:cs="Times New Roman" w:eastAsia="Times New Roman" w:hAnsi="Times New Roman"/>
          <w:sz w:val="20"/>
          <w:szCs w:val="20"/>
          <w:color w:val="auto"/>
        </w:rPr>
      </w:pPr>
    </w:p>
    <w:p>
      <w:pPr>
        <w:ind w:right="120" w:firstLine="1304"/>
        <w:spacing w:after="0" w:line="258" w:lineRule="auto"/>
        <w:tabs>
          <w:tab w:leader="none" w:pos="1939"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any Indebtedness incurred to extend, replace, refund, refinance, renew or defease other Indebtedness, if incurred in a different currency from the Indebtedness being extended, replaced, refunded, refinanced, renewed or defeased, shall be calculated based on the currency exchange rate applicable to the currencies in which such respective Indebtedness is denominated that is in effect on the date of such extension, replacement, refunding, refinancing, renewal or defeasance.</w:t>
      </w:r>
    </w:p>
    <w:p>
      <w:pPr>
        <w:spacing w:after="0" w:line="172" w:lineRule="exact"/>
        <w:rPr>
          <w:rFonts w:ascii="Times New Roman" w:cs="Times New Roman" w:eastAsia="Times New Roman" w:hAnsi="Times New Roman"/>
          <w:sz w:val="20"/>
          <w:szCs w:val="20"/>
          <w:color w:val="auto"/>
        </w:rPr>
      </w:pPr>
    </w:p>
    <w:p>
      <w:pPr>
        <w:ind w:right="140" w:firstLine="1304"/>
        <w:spacing w:after="0" w:line="252" w:lineRule="auto"/>
        <w:tabs>
          <w:tab w:leader="none" w:pos="1932"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clause (a) or (b) of this Section 6.01, no Restricted Subsidiary of the U.S. Borrower that is not a Subsidiary Guarantor shall incur any Indebtedness or issue any Disqualified Stock or Preferred Stock in reliance on Section 6.01(a) or under clauses (xvi), (xx) and (xxii) of Section 6.01(b) (the foregoing provisions (except to the extent specifically excluded) being referred to collectively as the “</w:t>
      </w:r>
      <w:r>
        <w:rPr>
          <w:rFonts w:ascii="Times New Roman" w:cs="Times New Roman" w:eastAsia="Times New Roman" w:hAnsi="Times New Roman"/>
          <w:sz w:val="20"/>
          <w:szCs w:val="20"/>
          <w:u w:val="single" w:color="auto"/>
          <w:color w:val="auto"/>
        </w:rPr>
        <w:t>Limited Guarantor Debt Exceptions</w:t>
      </w:r>
      <w:r>
        <w:rPr>
          <w:rFonts w:ascii="Times New Roman" w:cs="Times New Roman" w:eastAsia="Times New Roman" w:hAnsi="Times New Roman"/>
          <w:sz w:val="20"/>
          <w:szCs w:val="20"/>
          <w:color w:val="auto"/>
        </w:rPr>
        <w:t>”) if the amount of such Indebtedness, Disqualified Stock and Preferred Stock, when aggregated with the amount of all other Indebtedness, Disqualified Stock and Preferred Stock outstanding under the Limited Guarantor Debt Exceptions (together with any Refinancing Indebtedness in respect thereof) would exceed (i) prior to the 2024 Refinancing Amendments Effective Date, the greater of (A) $700.0 million and (B) 50.0% of EBITDA and (ii) from and after the 2024 Refinancing Amendments Effective Date, the greater of (A) $965.0 million and (B) 75.0% of EBITDA, in each case for the most recently ended Test Period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93" w:name="page294"/>
    <w:bookmarkEnd w:id="293"/>
    <w:p>
      <w:pPr>
        <w:ind w:right="60"/>
        <w:spacing w:after="0" w:line="253" w:lineRule="auto"/>
        <w:rPr>
          <w:sz w:val="20"/>
          <w:szCs w:val="20"/>
          <w:color w:val="auto"/>
        </w:rPr>
      </w:pPr>
      <w:r>
        <w:rPr>
          <w:rFonts w:ascii="Times New Roman" w:cs="Times New Roman" w:eastAsia="Times New Roman" w:hAnsi="Times New Roman"/>
          <w:sz w:val="20"/>
          <w:szCs w:val="20"/>
          <w:color w:val="auto"/>
        </w:rPr>
        <w:t xml:space="preserve">of the time such Indebtedness, Disqualified Stock or Preferred Stock is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Indebtedness, Disqualified Stock or Preferred Stock of any Restricted Subsidiary that is not a Subsidiary Guarantor (i) existing at the time it became a Restricted Subsidiary or (ii) assumed in connection with any acquisition, merger or acquisition of minority interests of a non-Wholly-Owned Subsidiary (and in the case of subclauses (i) and (ii), not created in contemplation of such Person becoming a Restricted Subsidiary or such acquisition, merger or acquisition of minority interests) be deemed to be Indebtedness outstanding under the Limited Guarantor Debt Exceptions for purposes of this clause (g).</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VI.2 </w:t>
      </w:r>
      <w:r>
        <w:rPr>
          <w:rFonts w:ascii="Times New Roman" w:cs="Times New Roman" w:eastAsia="Times New Roman" w:hAnsi="Times New Roman"/>
          <w:sz w:val="20"/>
          <w:szCs w:val="20"/>
          <w:u w:val="single" w:color="auto"/>
          <w:color w:val="auto"/>
        </w:rPr>
        <w:t>Limitation on Liens</w:t>
      </w:r>
    </w:p>
    <w:p>
      <w:pPr>
        <w:spacing w:after="0" w:line="216" w:lineRule="exact"/>
        <w:rPr>
          <w:sz w:val="20"/>
          <w:szCs w:val="20"/>
          <w:color w:val="auto"/>
        </w:rPr>
      </w:pPr>
    </w:p>
    <w:p>
      <w:pPr>
        <w:jc w:val="both"/>
        <w:ind w:right="140" w:firstLine="8"/>
        <w:spacing w:after="0" w:line="258" w:lineRule="auto"/>
        <w:tabs>
          <w:tab w:leader="none" w:pos="99"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the U.S. Borrower will not, and the U.S. Borrower will not permit any of the Subsidiary Guarantors to, directly or indirectly, create, incur, assume or suffer to exist any Lien (other than Permitted Liens) on any asset or property of Holdings, the U.S. Borrower or any Restricted Subsidiary now owned or hereafter acquired, or any income or profits therefrom, or assign or convey any right to receive income therefrom.</w:t>
      </w:r>
    </w:p>
    <w:p>
      <w:pPr>
        <w:spacing w:after="0" w:line="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VI.3 </w:t>
      </w:r>
      <w:r>
        <w:rPr>
          <w:rFonts w:ascii="Times New Roman" w:cs="Times New Roman" w:eastAsia="Times New Roman" w:hAnsi="Times New Roman"/>
          <w:sz w:val="20"/>
          <w:szCs w:val="20"/>
          <w:u w:val="single" w:color="auto"/>
          <w:color w:val="auto"/>
        </w:rPr>
        <w:t>Merger, Consolidation or Sale of All or Substantially All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40" w:firstLine="1304"/>
        <w:spacing w:after="0" w:line="258" w:lineRule="auto"/>
        <w:tabs>
          <w:tab w:leader="none" w:pos="1934"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shall not consolidate or merge with or into or wind up into (whether or not the U.S. Borrower is the surviving entity), or sell, assign, transfer, lease, convey or otherwise dispose of properties and assets constituting all or substantially all of the properties or assets of the U.S. Borrower and the Restricted Subsidiaries on a consolidated basis, in one or more related transactions, to any Person unless:</w:t>
      </w:r>
    </w:p>
    <w:p>
      <w:pPr>
        <w:spacing w:after="0" w:line="172" w:lineRule="exact"/>
        <w:rPr>
          <w:rFonts w:ascii="Times New Roman" w:cs="Times New Roman" w:eastAsia="Times New Roman" w:hAnsi="Times New Roman"/>
          <w:sz w:val="20"/>
          <w:szCs w:val="20"/>
          <w:color w:val="auto"/>
        </w:rPr>
      </w:pPr>
    </w:p>
    <w:p>
      <w:pPr>
        <w:ind w:left="660" w:firstLine="903"/>
        <w:spacing w:after="0" w:line="253" w:lineRule="auto"/>
        <w:tabs>
          <w:tab w:leader="none" w:pos="1943"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is the surviving corporation or the Person formed by or surviving any such consolidation or merger (if other than the U.S. Borrower) or to which such sale, assignment, transfer, lease, conveyance or other disposition shall have been made is a corporation, limited partnership or limited liability company organized or existing under the laws of the United States of America, any state thereof, the District of Columbia, or any territory thereof (the U.S. Borrower or such Person, as the case may be, being herein called the “</w:t>
      </w:r>
      <w:r>
        <w:rPr>
          <w:rFonts w:ascii="Times New Roman" w:cs="Times New Roman" w:eastAsia="Times New Roman" w:hAnsi="Times New Roman"/>
          <w:sz w:val="20"/>
          <w:szCs w:val="20"/>
          <w:u w:val="single" w:color="auto"/>
          <w:color w:val="auto"/>
        </w:rPr>
        <w:t>Successor U.S. Borrower</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ind w:left="660" w:right="100" w:firstLine="903"/>
        <w:spacing w:after="0" w:line="261" w:lineRule="auto"/>
        <w:tabs>
          <w:tab w:leader="none" w:pos="1944"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U.S. Borrower, if other than the U.S. Borrower, expressly assumes all the obligations of the U.S. Borrower under this Agreement and the other Loan Documents pursuant to supplements to the Loan Documents or other documents or instruments in form reasonably satisfactory to the Agent;</w:t>
      </w:r>
    </w:p>
    <w:p>
      <w:pPr>
        <w:spacing w:after="0" w:line="181"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such transaction, no Default exists;</w:t>
      </w:r>
    </w:p>
    <w:p>
      <w:pPr>
        <w:spacing w:after="0" w:line="215" w:lineRule="exact"/>
        <w:rPr>
          <w:rFonts w:ascii="Times New Roman" w:cs="Times New Roman" w:eastAsia="Times New Roman" w:hAnsi="Times New Roman"/>
          <w:sz w:val="20"/>
          <w:szCs w:val="20"/>
          <w:color w:val="auto"/>
        </w:rPr>
      </w:pPr>
    </w:p>
    <w:p>
      <w:pPr>
        <w:jc w:val="both"/>
        <w:ind w:left="660" w:right="80" w:firstLine="903"/>
        <w:spacing w:after="0" w:line="257" w:lineRule="auto"/>
        <w:tabs>
          <w:tab w:leader="none" w:pos="1947"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pro forma effect to such transaction, as if such transaction had occurred at the beginning of the most recently ended Test Period, either (A) the Successor U.S. Borrower would be permitted to incur at least $1.00 of additional Indebtedness pursuant to the Interest Coverage Ratio test set forth in Section 6.01(a) or (B) the Interest Coverage Ratio for the Successor U.S. Borrower and the Restricted Subsidiaries on a consolidated basis would be greater than such ratio for the U.S. Borrower and the Restricted Subsidiaries immediately prior to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94" w:name="page295"/>
    <w:bookmarkEnd w:id="294"/>
    <w:p>
      <w:pPr>
        <w:ind w:left="660" w:right="300" w:firstLine="903"/>
        <w:spacing w:after="0" w:line="261" w:lineRule="auto"/>
        <w:tabs>
          <w:tab w:leader="none" w:pos="1946"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Guarantor, unless it is the other party to the transactions described above and is not the Successor U.S. Borrower, shall have by supplement to the Loan Documents confirmed that its guarantee of the Obligations shall apply to such Successor U.S. Borrower’s obligations under the Loan Documents and the Loans; and</w:t>
      </w:r>
    </w:p>
    <w:p>
      <w:pPr>
        <w:spacing w:after="0" w:line="181" w:lineRule="exact"/>
        <w:rPr>
          <w:rFonts w:ascii="Times New Roman" w:cs="Times New Roman" w:eastAsia="Times New Roman" w:hAnsi="Times New Roman"/>
          <w:sz w:val="20"/>
          <w:szCs w:val="20"/>
          <w:color w:val="auto"/>
        </w:rPr>
      </w:pPr>
    </w:p>
    <w:p>
      <w:pPr>
        <w:ind w:left="660" w:firstLine="903"/>
        <w:spacing w:after="0" w:line="261" w:lineRule="auto"/>
        <w:tabs>
          <w:tab w:leader="none" w:pos="1947"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shall have delivered to the Agent an Officers’ Certificate and an opinion of counsel, each stating that such consolidation, merger or transfer and such supplements to the Loan Documents, if any, comply with this Agreement and the other Loan Documents;</w:t>
      </w:r>
    </w:p>
    <w:p>
      <w:pPr>
        <w:spacing w:after="0" w:line="18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U.S. Borrower shall promptly notify the Agent of any such transaction and shall take all required actions either prior to or within 30 days following such transaction (or such longer period as to which the Agent may consent) in order to preserve and protect the Liens on the Collateral securing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the U.S. Borrower shall, promptly following a request by the Agent (on behalf of itself or any Lender), provide all reasonable documentation and other information that the Agent or such Lender reasonably requests with respect to such Successor U.S. Borrower that is a Requirement of Law in order to comply with its ongoing obligations under applicable “know your customer” and anti-money laundering rules and regulations, including the USA PATRIOT Act .</w:t>
      </w:r>
    </w:p>
    <w:p>
      <w:pPr>
        <w:spacing w:after="0" w:line="1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Upon compliance with the foregoing requirements, the Successor U.S. Borrower shall succeed to, and be substituted for, the U.S. Borrower under this Agreement and the other Loan Documents and, except in the case of a lease transaction, the predecessor U.S. Borrower will be released from its obligations hereunder and thereunder. Notwithstanding clauses (iii) and (iv) of paragraph (a) of this Section 6.03, (i) any Restricted Subsidiary may consolidate with, merge into or transfer all or part of its properties and assets to, the U.S. Borrower, and (ii) the U.S. Borrower may merge with an Affiliate of the U.S. Borrower incorporated solely for the purpose of reincorporating the U.S. Borrower in another state of the United States of America so long as the amount of Indebtedness of the U.S. Borrower and the Restricted Subsidiaries is not increased thereby.</w:t>
      </w:r>
    </w:p>
    <w:p>
      <w:pPr>
        <w:spacing w:after="0" w:line="71" w:lineRule="exact"/>
        <w:rPr>
          <w:sz w:val="20"/>
          <w:szCs w:val="20"/>
          <w:color w:val="auto"/>
        </w:rPr>
      </w:pPr>
    </w:p>
    <w:p>
      <w:pPr>
        <w:ind w:right="20" w:firstLine="1304"/>
        <w:spacing w:after="0" w:line="258" w:lineRule="auto"/>
        <w:tabs>
          <w:tab w:leader="none" w:pos="1932"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10.12, no Subsidiary Guarantor shall, and the U.S. Borrower shall not permit any Subsidiary Guarantor to, consolidate or merge with or into or wind up into (whether or not such Subsidiary Guarantor is the surviving corporation), or sell, assign, transfer, lease, convey or otherwise dispose of all or substantially all of its properties or assets in one or more related transactions to, any Person unless:</w:t>
      </w:r>
    </w:p>
    <w:p>
      <w:pPr>
        <w:spacing w:after="0" w:line="185" w:lineRule="exact"/>
        <w:rPr>
          <w:rFonts w:ascii="Times New Roman" w:cs="Times New Roman" w:eastAsia="Times New Roman" w:hAnsi="Times New Roman"/>
          <w:sz w:val="20"/>
          <w:szCs w:val="20"/>
          <w:color w:val="auto"/>
        </w:rPr>
      </w:pPr>
    </w:p>
    <w:p>
      <w:pPr>
        <w:ind w:left="660" w:right="80" w:firstLine="903"/>
        <w:spacing w:after="0" w:line="250" w:lineRule="auto"/>
        <w:tabs>
          <w:tab w:leader="none" w:pos="1943"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Subsidiary Guarantor is the surviving corporation or the Person formed by or surviving any such consolidation or merger (if other than such Subsidiary Guarantor) or to which such sale, assignment, transfer, lease, conveyance or other disposition shall have been made is a corporation, partnership, limited partnership, limited liability company or trust organized or existing under the laws of the United States of America, any state thereof, the District of Columbia, or any territory thereof (such Subsidiary Guarantor or such Person, as the case may be, being herein called the “</w:t>
      </w:r>
      <w:r>
        <w:rPr>
          <w:rFonts w:ascii="Times New Roman" w:cs="Times New Roman" w:eastAsia="Times New Roman" w:hAnsi="Times New Roman"/>
          <w:sz w:val="20"/>
          <w:szCs w:val="20"/>
          <w:u w:val="single" w:color="auto"/>
          <w:color w:val="auto"/>
        </w:rPr>
        <w:t>Successor Person</w:t>
      </w:r>
      <w:r>
        <w:rPr>
          <w:rFonts w:ascii="Times New Roman" w:cs="Times New Roman" w:eastAsia="Times New Roman" w:hAnsi="Times New Roman"/>
          <w:sz w:val="20"/>
          <w:szCs w:val="20"/>
          <w:color w:val="auto"/>
        </w:rPr>
        <w:t>”), (B) the Successor Person, if other than such Subsidiary Guarantor, expressly assumes all the obligations of such Subsidiary Guarantor under such Subsidiary Guarantor’s Loan Guaranty and the other Loan Documents, pursuant to a Joinder Agreement and supplements to the Loan Documents or other documents or instruments in form reasonably satisfactory to the Agent, (C) immediately after such transaction, no Event of Default exists, and (D) the U.S. Borrower shall have delivered to the Agent an Officers’ Certificate and an opinion of counsel, each stating that such consolidation, merger or transfer and such Joinder Agreement and supplements, if any, comply with this Agreement and the other Loan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95" w:name="page296"/>
    <w:bookmarkEnd w:id="295"/>
    <w:p>
      <w:pPr>
        <w:ind w:left="1560"/>
        <w:spacing w:after="0"/>
        <w:rPr>
          <w:sz w:val="20"/>
          <w:szCs w:val="20"/>
          <w:color w:val="auto"/>
        </w:rPr>
      </w:pPr>
      <w:r>
        <w:rPr>
          <w:rFonts w:ascii="Times New Roman" w:cs="Times New Roman" w:eastAsia="Times New Roman" w:hAnsi="Times New Roman"/>
          <w:sz w:val="20"/>
          <w:szCs w:val="20"/>
          <w:color w:val="auto"/>
        </w:rPr>
        <w:t>(ii)  the transaction is made in compliance with Section 6.06 (other than clause (e) thereof) or Section 6.07;</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U.S. Borrower shall notify the Agent of any transaction referred to in subclause (i) above and shall take all required actions either prior to or within 30 days following such transaction (or such longer period as to which the Agent may consent) in order to preserve and protect the Liens on the Collateral securing the Secured Obligations.</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Upon compliance with the requirements of subclause (i) above, the Successor Person shall succeed to, and be substituted for, such Subsidiary Guarantor under such Subsidiary Guarantor’s Loan Guaranty and the other Loan Documents and, except in the case of a lease transaction, such Subsidiary Guarantor will be released from its obligations thereunder. Notwithstanding the foregoing, any Subsidiary Guarantor may merge into or transfer all or part of its properties and assets to another Subsidiary Guarantor or the U.S. Borrower.</w:t>
      </w:r>
    </w:p>
    <w:p>
      <w:pPr>
        <w:spacing w:after="0" w:line="78" w:lineRule="exact"/>
        <w:rPr>
          <w:sz w:val="20"/>
          <w:szCs w:val="20"/>
          <w:color w:val="auto"/>
        </w:rPr>
      </w:pPr>
    </w:p>
    <w:p>
      <w:pPr>
        <w:ind w:right="20" w:firstLine="1304"/>
        <w:spacing w:after="0" w:line="249" w:lineRule="auto"/>
        <w:tabs>
          <w:tab w:leader="none" w:pos="193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will not consolidate or merge with or into or wind up into (whether or not Holdings is the surviving corporation), or sell, assign, transfer, lease, convey or otherwise dispose of all or substantially all of its properties or assets in one or more related transactions to, any Person unless (i) Holdings is the surviving corporation or the Person formed by or surviving any such consolidation or merger (if other than Holdings) or to which such sale, assignment, transfer, lease, conveyance or other disposition shall have been made is a corporation, limited partnership or limited liability company organized or existing under the laws of the United States of America, any state thereof, the District of Columbia, or any territory thereof (Holdings or such Person, as the case may be, being herein called the “</w:t>
      </w:r>
      <w:r>
        <w:rPr>
          <w:rFonts w:ascii="Times New Roman" w:cs="Times New Roman" w:eastAsia="Times New Roman" w:hAnsi="Times New Roman"/>
          <w:sz w:val="20"/>
          <w:szCs w:val="20"/>
          <w:u w:val="single" w:color="auto"/>
          <w:color w:val="auto"/>
        </w:rPr>
        <w:t>Successor Holdings Guarantor</w:t>
      </w:r>
      <w:r>
        <w:rPr>
          <w:rFonts w:ascii="Times New Roman" w:cs="Times New Roman" w:eastAsia="Times New Roman" w:hAnsi="Times New Roman"/>
          <w:sz w:val="20"/>
          <w:szCs w:val="20"/>
          <w:color w:val="auto"/>
        </w:rPr>
        <w:t xml:space="preserve">”), (ii) the Successor Holdings Guarantor, if other than Holdings, expressly assumes all the obligations of Holdings under Holdings’ Loan Guaranty and the other Loan Documents, pursuant to a Joinder Agreement or other supplements or other documents or instruments in form reasonably satisfactory to the Agent, (iii) immediately after such transaction, no Event of Default or payment Default exists and (iv) the U.S. Borrower shall have delivered to the Agent an Officers’ Certificate and an opinion of counsel, each stating that such consolidation, merger or transfer and the Joinder Agreement and such supplements or other documents or instruments, if any, comply with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U.S. Borrower shall promptly notify the Agent of any such transaction and, if applicable, shall take all required actions either prior to or within 30 days following the consummation of such transaction (or such longer period as to which the Agent may consent) in order to preserve and protect the Liens on the Collateral owned by Holdings securing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the U.S. Borrower shall or shall cause to, promptly following a request by the Agent (on behalf of itself or any Lender), provide all reasonable documentation and other information that the Agent or such Lender reasonably requests with respect to such Successor Holdings Guarantor that is a Requirement of Law in order to comply with its ongoing obligations under applicable “know your customer” and anti-money laundering rules and regulations, including the USA PATRIOT Act.</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Upon compliance with the foregoing requirements, the Successor Holdings Guarantor will succeed to, and be substituted for, Holdings under Holdings’ Loan Guaranty and the other Loan Documents and, except in the case of a lease transaction, the predecessor Holdings will be released from its obligations thereunder. Notwithstanding the foregoing, Holdings may merge into or transfer all or part of its properties and assets to a Restricted Subsidiary or the U.S. Borrower, and Holdings may merge with an Affiliate of the U.S. Borrower incorporated solely for the purpose of reincorporating Holdings in another state of the United States of America so long as the amount of Indebtedness of Holdings, the U.S. Borrower and the Restricted Subsidiaries is not increased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296" w:name="page297"/>
    <w:bookmarkEnd w:id="296"/>
    <w:p>
      <w:pPr>
        <w:ind w:right="40" w:firstLine="1304"/>
        <w:spacing w:after="0" w:line="253" w:lineRule="auto"/>
        <w:tabs>
          <w:tab w:leader="none" w:pos="1932"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Foreign Borrower shall consolidate, amalgamate or merge with or into or wind up into (whether or not such Foreign Borrower is the surviving entity), or sell, assign, transfer, lease, convey or otherwise dispose of all or substantially all of its properties or assets, in one or more related transactions, to any Person unless (A) a Borrower or a Subsidiary Guarantor shall expressly assume all the Obligations of such Foreign Borrower under this Agreement and the other Loan Documents pursuant to supplements to the Loan Documents or other documents or instruments in form reasonably satisfactory to the Agent, (B) all such Obligations (other than contingent obligations for unasserted claims) of such Foreign Borrower shall have been repaid and no Letters of Credit issued for the account of such Foreign Borrower shall be outstanding or (C) the following conditions shall be satisfied:</w:t>
      </w:r>
    </w:p>
    <w:p>
      <w:pPr>
        <w:spacing w:after="0" w:line="179" w:lineRule="exact"/>
        <w:rPr>
          <w:rFonts w:ascii="Times New Roman" w:cs="Times New Roman" w:eastAsia="Times New Roman" w:hAnsi="Times New Roman"/>
          <w:sz w:val="20"/>
          <w:szCs w:val="20"/>
          <w:color w:val="auto"/>
        </w:rPr>
      </w:pPr>
    </w:p>
    <w:p>
      <w:pPr>
        <w:ind w:left="660" w:firstLine="903"/>
        <w:spacing w:after="0" w:line="257" w:lineRule="auto"/>
        <w:tabs>
          <w:tab w:leader="none" w:pos="1943"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Foreign Borrower is the surviving corporation or the Person formed by or surviving any such consolidation, amalgamation or merger (if other than such Foreign Borrower) or to which such sale, assignment, transfer, lease, conveyance or other disposition shall have been made is a corporation, limited partnership or other limited liability company organized or existing under the laws of the United States, the jurisdiction in which such Foreign Borrower is organized or incorporated, as the case may be (such Foreign Borrower or such Person, as the case may be, being herein called a “</w:t>
      </w:r>
      <w:r>
        <w:rPr>
          <w:rFonts w:ascii="Times New Roman" w:cs="Times New Roman" w:eastAsia="Times New Roman" w:hAnsi="Times New Roman"/>
          <w:sz w:val="20"/>
          <w:szCs w:val="20"/>
          <w:u w:val="single" w:color="auto"/>
          <w:color w:val="auto"/>
        </w:rPr>
        <w:t>Successor Foreign Borrower</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660" w:right="160" w:firstLine="903"/>
        <w:spacing w:after="0" w:line="310" w:lineRule="auto"/>
        <w:tabs>
          <w:tab w:leader="none" w:pos="1944" w:val="left"/>
        </w:tabs>
        <w:numPr>
          <w:ilvl w:val="1"/>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Successor Foreign Borrower, if other than such Foreign Borrower, expressly assumes all the obligations of such Foreign Borrower under this Agreement pursuant to a supplement to this Agreement in form reasonably satisfactory to the Agent;</w:t>
      </w:r>
    </w:p>
    <w:p>
      <w:pPr>
        <w:spacing w:after="0" w:line="124" w:lineRule="exact"/>
        <w:rPr>
          <w:rFonts w:ascii="Times New Roman" w:cs="Times New Roman" w:eastAsia="Times New Roman" w:hAnsi="Times New Roman"/>
          <w:sz w:val="19"/>
          <w:szCs w:val="19"/>
          <w:color w:val="auto"/>
        </w:rPr>
      </w:pPr>
    </w:p>
    <w:p>
      <w:pPr>
        <w:ind w:left="1940" w:hanging="377"/>
        <w:spacing w:after="0"/>
        <w:tabs>
          <w:tab w:leader="none" w:pos="194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such transaction, no Event of Default exists;</w:t>
      </w:r>
    </w:p>
    <w:p>
      <w:pPr>
        <w:spacing w:after="0" w:line="229" w:lineRule="exact"/>
        <w:rPr>
          <w:rFonts w:ascii="Times New Roman" w:cs="Times New Roman" w:eastAsia="Times New Roman" w:hAnsi="Times New Roman"/>
          <w:sz w:val="20"/>
          <w:szCs w:val="20"/>
          <w:color w:val="auto"/>
        </w:rPr>
      </w:pPr>
    </w:p>
    <w:p>
      <w:pPr>
        <w:ind w:left="660" w:right="400" w:firstLine="903"/>
        <w:spacing w:after="0" w:line="283" w:lineRule="auto"/>
        <w:tabs>
          <w:tab w:leader="none" w:pos="1947"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and each Loan Guarantor shall have by supplement to the Loan Documents confirmed that its guarantee of the Obligations shall apply to such Successor Foreign Borrower’s obligations under this Agreement; and</w:t>
      </w:r>
    </w:p>
    <w:p>
      <w:pPr>
        <w:spacing w:after="0" w:line="146" w:lineRule="exact"/>
        <w:rPr>
          <w:rFonts w:ascii="Times New Roman" w:cs="Times New Roman" w:eastAsia="Times New Roman" w:hAnsi="Times New Roman"/>
          <w:sz w:val="20"/>
          <w:szCs w:val="20"/>
          <w:color w:val="auto"/>
        </w:rPr>
      </w:pPr>
    </w:p>
    <w:p>
      <w:pPr>
        <w:ind w:left="660" w:right="180" w:firstLine="903"/>
        <w:spacing w:after="0" w:line="261" w:lineRule="auto"/>
        <w:tabs>
          <w:tab w:leader="none" w:pos="1946"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shall have delivered to the Agent an Officers’ Certificate and an opinion of counsel, each stating that such consolidation, amalgamation, merger or transfer and such supplements to the Loan Documents, if any, comply with this Agreement and the other Loan Documents;</w:t>
      </w:r>
    </w:p>
    <w:p>
      <w:pPr>
        <w:spacing w:after="0" w:line="1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the U.S. Borrower shall or shall cause to, promptly following a request by the Agent (on behalf of itself or any Lender), provide all reasonable documentation and other information that the Agent or such Lender reasonably requests with respect to such Successor Foreign Borrower that is a Requirement of Law in order to comply with its ongoing obligations under applicable “know your customer” and anti-money laundering rules and regulations, including the USA PATRIOT Act.</w:t>
      </w:r>
    </w:p>
    <w:p>
      <w:pPr>
        <w:spacing w:after="0" w:line="17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Upon compliance with the foregoing requirements, the Successor Foreign Borrower shall succeed to, and be substituted for, the applicable Foreign Borrower under this Agreement and, except in the case of a lease transaction, the applicable predecessor Foreign Borrower will be released from its obligations hereunder and thereunder. Notwithstanding the foregoing, any Foreign Borrower may transfer all or part of its properties and assets (other than through a merger or consolidation) to any Foreign Borrower, the U.S. Borrower or a Subsidiary Guarantor in compliance with Section 6.06 and Section 6.07.</w:t>
      </w:r>
    </w:p>
    <w:p>
      <w:pPr>
        <w:spacing w:after="0" w:line="65" w:lineRule="exact"/>
        <w:rPr>
          <w:sz w:val="20"/>
          <w:szCs w:val="20"/>
          <w:color w:val="auto"/>
        </w:rPr>
      </w:pPr>
    </w:p>
    <w:p>
      <w:pPr>
        <w:ind w:left="1940" w:hanging="636"/>
        <w:spacing w:after="0"/>
        <w:tabs>
          <w:tab w:leader="none" w:pos="194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right="500" w:firstLine="1304"/>
        <w:spacing w:after="0" w:line="269" w:lineRule="auto"/>
        <w:tabs>
          <w:tab w:leader="none" w:pos="1939"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6.03, the sale, lease, conveyance, assignment, transfer or other disposition of all or substantially all of the properties and assets of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297" w:name="page298"/>
    <w:bookmarkEnd w:id="297"/>
    <w:p>
      <w:pPr>
        <w:ind w:right="40"/>
        <w:spacing w:after="0" w:line="253" w:lineRule="auto"/>
        <w:rPr>
          <w:sz w:val="20"/>
          <w:szCs w:val="20"/>
          <w:color w:val="auto"/>
        </w:rPr>
      </w:pPr>
      <w:r>
        <w:rPr>
          <w:rFonts w:ascii="Times New Roman" w:cs="Times New Roman" w:eastAsia="Times New Roman" w:hAnsi="Times New Roman"/>
          <w:sz w:val="20"/>
          <w:szCs w:val="20"/>
          <w:color w:val="auto"/>
        </w:rPr>
        <w:t>Subsidiaries of the U.S. Borrower or Holdings, as applicable, which properties and assets, if held by the U.S. Borrower or Holdings, as applicable, instead of such Subsidiaries, would constitute all or substantially all of the properties and assets of the U.S. Borrower and its Restricted Subsidiaries on a consolidated basis or Holdings and its Subsidiaries on a consolidated basis, as applicable (excluding from such determination any Person that is not a Restricted Subsidiary of the U.S. Borrower), shall be deemed to be the transfer of all or substantially all of the properties and assets of the U.S. Borrower or Holdings, as applicable, on a consolidated basis. However, transfers of assets between or among the U.S. Borrower and the Restricted Subsidiaries in compliance with Section 6.06 and Section 6.07 shall not be subject to this Section 6.03(f).</w:t>
      </w:r>
    </w:p>
    <w:p>
      <w:pPr>
        <w:spacing w:after="0" w:line="179" w:lineRule="exact"/>
        <w:rPr>
          <w:sz w:val="20"/>
          <w:szCs w:val="20"/>
          <w:color w:val="auto"/>
        </w:rPr>
      </w:pPr>
    </w:p>
    <w:p>
      <w:pPr>
        <w:ind w:right="300" w:firstLine="1304"/>
        <w:spacing w:after="0" w:line="281" w:lineRule="auto"/>
        <w:tabs>
          <w:tab w:leader="none" w:pos="1932"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or any other Loan Document, the Disposition of a Designated Business shall not be deemed to be a sale, assignment, transfer, lease, conveyance or other disposition of properties or assets constituting all or substantially all of the properties or assets of the U.S. Borrower and the Restricted Subsidiaries on a consolidated basis.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VI.4 </w:t>
      </w:r>
      <w:r>
        <w:rPr>
          <w:rFonts w:ascii="Times New Roman" w:cs="Times New Roman" w:eastAsia="Times New Roman" w:hAnsi="Times New Roman"/>
          <w:sz w:val="20"/>
          <w:szCs w:val="20"/>
          <w:u w:val="single" w:color="auto"/>
          <w:color w:val="auto"/>
        </w:rPr>
        <w:t>Limitation on Restricted Payments</w:t>
      </w:r>
    </w:p>
    <w:p>
      <w:pPr>
        <w:spacing w:after="0" w:line="229" w:lineRule="exact"/>
        <w:rPr>
          <w:sz w:val="20"/>
          <w:szCs w:val="20"/>
          <w:color w:val="auto"/>
        </w:rPr>
      </w:pPr>
    </w:p>
    <w:p>
      <w:pPr>
        <w:ind w:right="20" w:firstLine="8"/>
        <w:spacing w:after="0" w:line="249" w:lineRule="auto"/>
        <w:tabs>
          <w:tab w:leader="none" w:pos="99"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shall not, and shall not permit any Restricted Subsidiary to, directly or indirectly (x) declare or pay any dividend or make any distribution on account of the U.S. Borrower’s or any Restricted Subsidiary’s Equity Interests, including any dividend or distribution payable in connection with any merger, amalgamation or consolidation, other than (A) dividends or distributions by the U.S. Borrower payable in Equity Interests (other than Disqualified Stock) of the U.S. Borrower or (B) dividends or distributions by a Restricted Subsidiary so long as, in the case of any dividend or distribution payable on or in respect of any class or series of securities issued by a Restricted Subsidiary other than a Wholly-Owned Subsidiary, the U.S. Borrower or a Restricted Subsidiary receives at least its pro rata share of such dividend or distribution in accordance with its Equity Interests in such class or series of securities, (y) purchase, redeem, defease or otherwise acquire or retire for value any Equity Interests of the U.S. Borrower or any direct or indirect parent of the U.S. Borrower, including in connection with any merger or consolidation, or (z) make any principal payment on, or redeem, repurchase, defease or otherwise acquire or retire for value in each case, prior to any scheduled repayment, sinking fund payment or maturity, any Subordinated Indebtedness (other than the purchase, repurchase or other acquisition of Subordinated Indebtedness purchased in anticipation of satisfying a sinking fund obligation, principal installment or final maturity, in each case due within one year of the date of purchase, repurchase or acquisition) (all such payments and other actions set forth in clauses (x) through (z) above being collectively referred to as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other than:</w:t>
      </w:r>
    </w:p>
    <w:p>
      <w:pPr>
        <w:spacing w:after="0" w:line="88" w:lineRule="exact"/>
        <w:rPr>
          <w:rFonts w:ascii="Times New Roman" w:cs="Times New Roman" w:eastAsia="Times New Roman" w:hAnsi="Times New Roman"/>
          <w:sz w:val="20"/>
          <w:szCs w:val="20"/>
          <w:color w:val="auto"/>
        </w:rPr>
      </w:pPr>
    </w:p>
    <w:p>
      <w:pPr>
        <w:ind w:left="660" w:right="20" w:firstLine="903"/>
        <w:spacing w:after="0" w:line="258" w:lineRule="auto"/>
        <w:tabs>
          <w:tab w:leader="none" w:pos="1943"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in an amount not to exceed the Applicable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any such Restricted Payment is made and after giving pro forma effect to such Restricted Payment (x) no Event of Default has occurred and is continuing and (y) prior to the 2024 Refinancing Amendments Effective Date, the U.S. Borrower would be permitted to incur at least $1.00 of Indebtedness pursuant to Section 6.01(a);</w:t>
      </w:r>
    </w:p>
    <w:p>
      <w:pPr>
        <w:spacing w:after="0" w:line="172" w:lineRule="exact"/>
        <w:rPr>
          <w:rFonts w:ascii="Times New Roman" w:cs="Times New Roman" w:eastAsia="Times New Roman" w:hAnsi="Times New Roman"/>
          <w:sz w:val="20"/>
          <w:szCs w:val="20"/>
          <w:color w:val="auto"/>
        </w:rPr>
      </w:pPr>
    </w:p>
    <w:p>
      <w:pPr>
        <w:ind w:left="660" w:firstLine="903"/>
        <w:spacing w:after="0" w:line="261" w:lineRule="auto"/>
        <w:tabs>
          <w:tab w:leader="none" w:pos="1944"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defeasance, redemption, repurchase or other acquisition or retirement of Subordinated Indebtedness of the U.S. Borrower or a Subsidiary Guarantor made by exchange for, or out of the proceeds of the substantially concurrent sale of, Refinancing Indebtedness of such Person that is incurred in compliance with Section 6.01(b)(xv);</w:t>
      </w:r>
    </w:p>
    <w:p>
      <w:pPr>
        <w:spacing w:after="0" w:line="181" w:lineRule="exact"/>
        <w:rPr>
          <w:rFonts w:ascii="Times New Roman" w:cs="Times New Roman" w:eastAsia="Times New Roman" w:hAnsi="Times New Roman"/>
          <w:sz w:val="20"/>
          <w:szCs w:val="20"/>
          <w:color w:val="auto"/>
        </w:rPr>
      </w:pPr>
    </w:p>
    <w:p>
      <w:pPr>
        <w:ind w:left="660" w:right="300" w:firstLine="903"/>
        <w:spacing w:after="0" w:line="261" w:lineRule="auto"/>
        <w:tabs>
          <w:tab w:leader="none" w:pos="1945"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Restricted Payment to pay for the repurchase, retirement or other acquisition or retirement for value of Equity Interests in any direct or indirect parent companies of the U.S. Borrower held by any future, present or former employee, director, manager or consultant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98" w:name="page299"/>
    <w:bookmarkEnd w:id="298"/>
    <w:p>
      <w:pPr>
        <w:ind w:left="660"/>
        <w:spacing w:after="0" w:line="249" w:lineRule="auto"/>
        <w:rPr>
          <w:sz w:val="20"/>
          <w:szCs w:val="20"/>
          <w:color w:val="auto"/>
        </w:rPr>
      </w:pPr>
      <w:r>
        <w:rPr>
          <w:rFonts w:ascii="Times New Roman" w:cs="Times New Roman" w:eastAsia="Times New Roman" w:hAnsi="Times New Roman"/>
          <w:sz w:val="20"/>
          <w:szCs w:val="20"/>
          <w:color w:val="auto"/>
        </w:rPr>
        <w:t xml:space="preserve">their respective estates, Controlled Investment Affiliates or Immediate Family Members) of the U.S. Borrower, any of its Subsidiaries or any of its direct or indirect parent companies or any other entity in which the U.S. Borrower or a Restricted Subsidiary has an Investment and that is designated in good faith as an “affiliate by the Board of Directors of the U.S. Borrower (or the compensation committee thereof), in each case pursuant to any stockholders’ agreement, any management equity plan or stock incentive plan or any other management or employee benefit plan 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Restricted Payments made under this clause (iii) do not exceed (x) prior to the 2024 Refinancing Amendments Effective Date, $60.0 million and (y) from and after the 2024 Refinancing Amendments Effective Date, $100.0 million in the first fiscal year following the Closing Date (with unused amounts in any fiscal year being carried over to succeeding fiscal years subject to a maximum (without giving effect to the following proviso) of (x) prior to the 2024 Refinancing Amendments Effective Date, $100.0 million and (y) from and after the 2024 Refinancing Amendments Effective Date, $150.0 million in any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such amount in any fiscal year may be increased by an amount not to exceed the (A) cash proceeds of key man life insurance policies received by the U.S. Borrower and the Restricted Subsidiaries after the Closing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cash proceeds from the sale of Equity Interests (other than Disqualified Stock) of the U.S. Borrower and, to the extent contributed to the U.S. Borrower, Equity Interest of any of the U.S. Borrower’s direct or indirect parent companies, in each case to members of management, directors, managers or consultants (or their respective estates, Controlled Investment Affiliates or Immediate Family Members), of the U.S. Borrower, any of its Subsidiaries or any of its direct or indirect parent companies that occurs after the Closing Date, to the extent the cash proceeds from the sale of such Equity Interests have not otherwise been applied to the payment of Restricted Payments in reliance on clause (i) of this Section 6.04 or the making of Investments in reliance on clause (q) of the definition of Permitted Investments,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(C) the amount of any Restricted Payments previously made pursuant to clauses (A) and (B) of this clause (iii);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cancellation of Indebtedness owing to the U.S. Borrower or any Restricted Subsidiary from members of management, directors, managers or consultants (or their respective estates, Controlled Investment Affiliates or Immediate Family Members), of the U.S. Borrower, any of its direct or indirect parent companies or any Restricted Subsidiary in connection with a repurchase of Equity Interests of any of the U.S. Borrower’s direct or indirect parent companies shall not be deemed to constitute a Restricted Payment for purposes of this Section 6.04 or any other provision of this Agreement;</w:t>
      </w:r>
    </w:p>
    <w:p>
      <w:pPr>
        <w:spacing w:after="0" w:line="187" w:lineRule="exact"/>
        <w:rPr>
          <w:sz w:val="20"/>
          <w:szCs w:val="20"/>
          <w:color w:val="auto"/>
        </w:rPr>
      </w:pPr>
    </w:p>
    <w:p>
      <w:pPr>
        <w:ind w:left="1940" w:hanging="377"/>
        <w:spacing w:after="0"/>
        <w:tabs>
          <w:tab w:leader="none" w:pos="194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that are made with Excluded Contributions;</w:t>
      </w:r>
    </w:p>
    <w:p>
      <w:pPr>
        <w:spacing w:after="0" w:line="229" w:lineRule="exact"/>
        <w:rPr>
          <w:rFonts w:ascii="Times New Roman" w:cs="Times New Roman" w:eastAsia="Times New Roman" w:hAnsi="Times New Roman"/>
          <w:sz w:val="20"/>
          <w:szCs w:val="20"/>
          <w:color w:val="auto"/>
        </w:rPr>
      </w:pPr>
    </w:p>
    <w:p>
      <w:pPr>
        <w:ind w:left="660" w:right="20" w:firstLine="903"/>
        <w:spacing w:after="0" w:line="250" w:lineRule="auto"/>
        <w:tabs>
          <w:tab w:leader="none" w:pos="1946"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declaration and payment of dividends by the U.S. Borrower to, or the making of loans to, its direct or indirect parent company in amounts required for the U.S. Borrower’s direct or indirect parent companies to pay, in each case without duplication, (A) franchise taxes, and other fees and expenses, required to maintain their corporate existence, (B) for any period in which the U.S. Borrower is a member of a group filing consolidated, combined or unitary income tax returns for which a direct or indirect parent of the U.S. Borrower is the common parent (a “Tax Group”), to pay the foreign, federal, state and/or local income taxes (as applicable) of such Tax Group for such taxable period, to the extent such income taxes are attributable to the income of the U.S. Borrower and its Restricted Subsidiaries and, to the extent of the amount actually received from its Unrestricted Subsidiaries for such purpose, income taxes to the extent attributable to the income of such Unrestricted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the amount of such payments for any fiscal year does not exceed the amount that the U.S. Borrower, its Restricted Subsidiaries and its Unrestricted Subsidiaries (to the extent described above)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299" w:name="page300"/>
    <w:bookmarkEnd w:id="299"/>
    <w:p>
      <w:pPr>
        <w:ind w:left="660"/>
        <w:spacing w:after="0" w:line="252" w:lineRule="auto"/>
        <w:rPr>
          <w:sz w:val="20"/>
          <w:szCs w:val="20"/>
          <w:color w:val="auto"/>
        </w:rPr>
      </w:pPr>
      <w:r>
        <w:rPr>
          <w:rFonts w:ascii="Times New Roman" w:cs="Times New Roman" w:eastAsia="Times New Roman" w:hAnsi="Times New Roman"/>
          <w:sz w:val="20"/>
          <w:szCs w:val="20"/>
          <w:color w:val="auto"/>
        </w:rPr>
        <w:t>be required to pay in respect of such foreign, federal, state and/or local income taxes (as applicable) for such fiscal year were the U.S. Borrower, its Restricted Subsidiaries and its Unrestricted Subsidiaries (to the extent described above) to pay such taxes as a stand-alone group, less any such taxes payable directly by the U.S. Borrower or its Restricted Subsidiaries; (C) customary salary, bonus and other benefits payable to officers and employees of any direct or indirect parent company of the U.S. Borrower to the extent such salaries, bonuses and other benefits are attributable to the ownership or operation of the U.S. Borrower and the Restricted Subsidiaries, (D) general corporate overhead expenses of any direct or indirect parent company of the U.S. Borrower to the extent such expenses are attributable to the ownership or operation of the U.S. Borrower and its Restricted Subsidiaries, and (E) reasonable fees and expenses incurred in connection with any unsuccessful debt or equity offering by such direct or indirect parent company of the U.S. Borrower;</w:t>
      </w:r>
    </w:p>
    <w:p>
      <w:pPr>
        <w:spacing w:after="0" w:line="176" w:lineRule="exact"/>
        <w:rPr>
          <w:sz w:val="20"/>
          <w:szCs w:val="20"/>
          <w:color w:val="auto"/>
        </w:rPr>
      </w:pPr>
    </w:p>
    <w:p>
      <w:pPr>
        <w:ind w:left="1940" w:hanging="377"/>
        <w:spacing w:after="0"/>
        <w:tabs>
          <w:tab w:leader="none" w:pos="194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or payments of Receivables Fees;</w:t>
      </w:r>
    </w:p>
    <w:p>
      <w:pPr>
        <w:spacing w:after="0" w:line="229" w:lineRule="exact"/>
        <w:rPr>
          <w:rFonts w:ascii="Times New Roman" w:cs="Times New Roman" w:eastAsia="Times New Roman" w:hAnsi="Times New Roman"/>
          <w:sz w:val="20"/>
          <w:szCs w:val="20"/>
          <w:color w:val="auto"/>
        </w:rPr>
      </w:pPr>
    </w:p>
    <w:p>
      <w:pPr>
        <w:ind w:left="660" w:right="40" w:firstLine="903"/>
        <w:spacing w:after="0" w:line="253" w:lineRule="auto"/>
        <w:tabs>
          <w:tab w:leader="none" w:pos="2597"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repurchase, retirement or other acquisition of any Equity Interests of the U.S. Borrower or any Equity Interests of any direct or indirect parent company of the U.S. Borrower, in exchange for, or out of the proceeds of the substantially concurrent sale (other than to a Restricted Subsidiary) of, Equity Interests of the U.S. Borrower (other than any Disqualified Stock) or, to the extent the proceeds thereof have actually been contributed to the U.S. Borrower, Equity Interests of any direct or indirect parent company of the U.S. Borrower (“</w:t>
      </w:r>
      <w:r>
        <w:rPr>
          <w:rFonts w:ascii="Times New Roman" w:cs="Times New Roman" w:eastAsia="Times New Roman" w:hAnsi="Times New Roman"/>
          <w:sz w:val="20"/>
          <w:szCs w:val="20"/>
          <w:u w:val="single" w:color="auto"/>
          <w:color w:val="auto"/>
        </w:rPr>
        <w:t>Refunding Capital Stock</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ind w:left="660" w:right="520" w:firstLine="903"/>
        <w:spacing w:after="0" w:line="269" w:lineRule="auto"/>
        <w:tabs>
          <w:tab w:leader="none" w:pos="1947"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any dividend or distribution within 60 days after the date of declaration thereof, if at the date of declaration such payment would have complied with the provisions of this Agreement;</w:t>
      </w:r>
    </w:p>
    <w:p>
      <w:pPr>
        <w:spacing w:after="0" w:line="172" w:lineRule="exact"/>
        <w:rPr>
          <w:rFonts w:ascii="Times New Roman" w:cs="Times New Roman" w:eastAsia="Times New Roman" w:hAnsi="Times New Roman"/>
          <w:sz w:val="20"/>
          <w:szCs w:val="20"/>
          <w:color w:val="auto"/>
        </w:rPr>
      </w:pPr>
    </w:p>
    <w:p>
      <w:pPr>
        <w:ind w:left="660" w:right="220" w:firstLine="903"/>
        <w:spacing w:after="0" w:line="269" w:lineRule="auto"/>
        <w:tabs>
          <w:tab w:leader="none" w:pos="1946"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Equity Interests deemed to occur upon exercise of stock options or warrants if such Equity Interests represent a portion of the exercise price of such options or warrants;</w:t>
      </w:r>
    </w:p>
    <w:p>
      <w:pPr>
        <w:spacing w:after="0" w:line="172" w:lineRule="exact"/>
        <w:rPr>
          <w:rFonts w:ascii="Times New Roman" w:cs="Times New Roman" w:eastAsia="Times New Roman" w:hAnsi="Times New Roman"/>
          <w:sz w:val="20"/>
          <w:szCs w:val="20"/>
          <w:color w:val="auto"/>
        </w:rPr>
      </w:pPr>
    </w:p>
    <w:p>
      <w:pPr>
        <w:jc w:val="both"/>
        <w:ind w:left="660" w:right="20" w:firstLine="903"/>
        <w:spacing w:after="0" w:line="261" w:lineRule="auto"/>
        <w:tabs>
          <w:tab w:leader="none" w:pos="1947"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made pursuant to agreements set forth on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 xml:space="preserve"> (it being understood that such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shall be replaced by the Schedule 6.04 to be provided to the Agent on the 2024 Refinancing Amendments Effective Date, which shall be in form and substance reasonably satisfactory to the Agent);</w:t>
      </w:r>
    </w:p>
    <w:p>
      <w:pPr>
        <w:spacing w:after="0" w:line="181" w:lineRule="exact"/>
        <w:rPr>
          <w:rFonts w:ascii="Times New Roman" w:cs="Times New Roman" w:eastAsia="Times New Roman" w:hAnsi="Times New Roman"/>
          <w:sz w:val="20"/>
          <w:szCs w:val="20"/>
          <w:color w:val="auto"/>
        </w:rPr>
      </w:pPr>
    </w:p>
    <w:p>
      <w:pPr>
        <w:ind w:left="660" w:right="100" w:firstLine="903"/>
        <w:spacing w:after="0" w:line="253" w:lineRule="auto"/>
        <w:tabs>
          <w:tab w:leader="none" w:pos="1948"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Restricted Payments in an amount which, when taken together with all other Restricted Payments made pursuant to this clause (xii) and all Investments outstanding in reliance on clause (u) of the definition of “Permitted Investments,” does not exceed (i) prior to the 2024 Refinancing Amendments Effective Date, the greater of (x) $200.0 million and (y) 15% of EBITDA and (ii) from and after the 2024 Refinancing Amendments Effective Date, the greater of (x) $320.0 million and (y) 25% of EBITDA, in each case for the most recently ended Test Period as of the time any such Restricted Payment is made;</w:t>
      </w:r>
    </w:p>
    <w:p>
      <w:pPr>
        <w:spacing w:after="0" w:line="191" w:lineRule="exact"/>
        <w:rPr>
          <w:rFonts w:ascii="Times New Roman" w:cs="Times New Roman" w:eastAsia="Times New Roman" w:hAnsi="Times New Roman"/>
          <w:sz w:val="20"/>
          <w:szCs w:val="20"/>
          <w:color w:val="auto"/>
        </w:rPr>
      </w:pPr>
    </w:p>
    <w:p>
      <w:pPr>
        <w:jc w:val="both"/>
        <w:ind w:left="660" w:right="620" w:firstLine="903"/>
        <w:spacing w:after="0" w:line="261" w:lineRule="auto"/>
        <w:tabs>
          <w:tab w:leader="none" w:pos="2597"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distribution, as a dividend or otherwise (and the declaration of such dividend), of shares of Equity Interest of, or Indebtedness issued to the U.S. Borrower or a Restricted Subsidiary by, any Unrestricted Subsidiary (other than Unrestricted Subsidiaries, the primary assets of which are cash and/or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00" w:name="page301"/>
    <w:bookmarkEnd w:id="300"/>
    <w:p>
      <w:pPr>
        <w:ind w:left="660" w:firstLine="907"/>
        <w:spacing w:after="0" w:line="261" w:lineRule="auto"/>
        <w:rPr>
          <w:sz w:val="20"/>
          <w:szCs w:val="20"/>
          <w:color w:val="auto"/>
        </w:rPr>
      </w:pPr>
      <w:r>
        <w:rPr>
          <w:rFonts w:ascii="Times New Roman" w:cs="Times New Roman" w:eastAsia="Times New Roman" w:hAnsi="Times New Roman"/>
          <w:sz w:val="20"/>
          <w:szCs w:val="20"/>
          <w:color w:val="auto"/>
        </w:rPr>
        <w:t>(xiv)the declaration and payment of dividends to holders of any class or series of Disqualified Stock of the U.S. Borrower or any Restricted Subsidiary issued in accordance with Section 6.01 to the extent such dividends are included in the definition of “Interest Charges”;</w:t>
      </w:r>
    </w:p>
    <w:p>
      <w:pPr>
        <w:spacing w:after="0" w:line="181" w:lineRule="exact"/>
        <w:rPr>
          <w:sz w:val="20"/>
          <w:szCs w:val="20"/>
          <w:color w:val="auto"/>
        </w:rPr>
      </w:pPr>
    </w:p>
    <w:p>
      <w:pPr>
        <w:ind w:left="660" w:right="40" w:firstLine="903"/>
        <w:spacing w:after="0" w:line="252" w:lineRule="auto"/>
        <w:tabs>
          <w:tab w:leader="none" w:pos="1951"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and payment of dividends (A) to holders of any class or series of Designated Preferred Stock (other than Disqualified Stock) issued by the U.S. Borrower after the Closing Date, (B) to a direct or indirect parent company of the U.S. Borrower, the proceeds of which will be used to fund the payment of dividends to holders of any class or series of Designated Preferred Stock (other than Disqualified Stock) of such parent company issued after the Closing Date, or (C) on Refunding Capital Stock that is Preferred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dividends paid pursuant to subclause (B) shall not exceed the aggregate amount of cash actually contributed to the U.S. Borrower from the sale of such Preferred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all such dividends are included in “Interest Charges” and (y) in the case of each of (A), (B) and (C) of this clause (xv), that for the most recently ended Test Period, after giving effect to such issuance or declaration on a pro forma basis, the U.S. Borrower and the Restricted Subsidiaries on a consolidated basis would have had an Interest Coverage Ratio of at least 2.00 to 1.00;</w:t>
      </w:r>
    </w:p>
    <w:p>
      <w:pPr>
        <w:spacing w:after="0" w:line="176" w:lineRule="exact"/>
        <w:rPr>
          <w:sz w:val="20"/>
          <w:szCs w:val="20"/>
          <w:color w:val="auto"/>
        </w:rPr>
      </w:pPr>
    </w:p>
    <w:p>
      <w:pPr>
        <w:ind w:left="660" w:right="20" w:firstLine="907"/>
        <w:spacing w:after="0" w:line="257" w:lineRule="auto"/>
        <w:rPr>
          <w:sz w:val="20"/>
          <w:szCs w:val="20"/>
          <w:color w:val="auto"/>
        </w:rPr>
      </w:pPr>
      <w:r>
        <w:rPr>
          <w:rFonts w:ascii="Times New Roman" w:cs="Times New Roman" w:eastAsia="Times New Roman" w:hAnsi="Times New Roman"/>
          <w:sz w:val="20"/>
          <w:szCs w:val="20"/>
          <w:color w:val="auto"/>
        </w:rPr>
        <w:t>(xvi)the declaration and payment of dividends on the U.S. Borrower’s common stock in an amount equal to 6% of the net proceeds received by or contributed to the U.S. Borrower in or from any public underwriting offering of any common stock of any direct or indirect parent company of the U.S. Borrower (including, for the avoidance of doubt, any such offering consummated after January 26, 2007 and prior to the Closing Date), other than public offerings with respect to the U.S. Borrower’s common stock registered on Form S−4 or Form S−8 and other than any public sale constituting an Excluded Contribution;</w:t>
      </w:r>
    </w:p>
    <w:p>
      <w:pPr>
        <w:spacing w:after="0" w:line="173" w:lineRule="exact"/>
        <w:rPr>
          <w:sz w:val="20"/>
          <w:szCs w:val="20"/>
          <w:color w:val="auto"/>
        </w:rPr>
      </w:pPr>
    </w:p>
    <w:p>
      <w:pPr>
        <w:ind w:left="660" w:right="80" w:firstLine="903"/>
        <w:spacing w:after="0" w:line="258" w:lineRule="auto"/>
        <w:tabs>
          <w:tab w:leader="none" w:pos="260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made or expected to be made by the U.S. Borrower or any Restricted Subsidiary in respect of any repurchases (including in respect of withholding or similar Taxes payable in connection therewith) of Equity Interests held by any future, present or former employee, director, manager or consultant (or their respective estates, Controlled Investment Affiliates or Immediate Family Members) including deemed repurchases in connection with the exercise of stock options;</w:t>
      </w:r>
    </w:p>
    <w:p>
      <w:pPr>
        <w:spacing w:after="0" w:line="172" w:lineRule="exact"/>
        <w:rPr>
          <w:rFonts w:ascii="Times New Roman" w:cs="Times New Roman" w:eastAsia="Times New Roman" w:hAnsi="Times New Roman"/>
          <w:sz w:val="20"/>
          <w:szCs w:val="20"/>
          <w:color w:val="auto"/>
        </w:rPr>
      </w:pPr>
    </w:p>
    <w:p>
      <w:pPr>
        <w:ind w:left="660" w:right="20" w:firstLine="903"/>
        <w:spacing w:after="0" w:line="253" w:lineRule="auto"/>
        <w:tabs>
          <w:tab w:leader="none" w:pos="2601"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consisting of a dividend or other distribution or exchange (and the declaration thereof) of Equity Interests of any entity or entities constituting the Designated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as of the last day of the most recently ended fiscal quarter for which financial statements have been delivered pursuant to Section 5.01(a) or (b) prior to the date of such Restricted Payment, after giving pro forma effect to such Restricted Payment (including the application of the net proceeds therefrom), the Consolidated Secured Debt Ratio at such time does not exceed 4.90:1.00 and (ii) no Event of Default has occurred and is continuing; and</w:t>
      </w:r>
    </w:p>
    <w:p>
      <w:pPr>
        <w:spacing w:after="0" w:line="192" w:lineRule="exact"/>
        <w:rPr>
          <w:sz w:val="20"/>
          <w:szCs w:val="20"/>
          <w:color w:val="auto"/>
        </w:rPr>
      </w:pPr>
    </w:p>
    <w:p>
      <w:pPr>
        <w:ind w:left="660" w:right="900" w:firstLine="907"/>
        <w:spacing w:after="0" w:line="283" w:lineRule="auto"/>
        <w:rPr>
          <w:sz w:val="20"/>
          <w:szCs w:val="20"/>
          <w:color w:val="auto"/>
        </w:rPr>
      </w:pPr>
      <w:r>
        <w:rPr>
          <w:rFonts w:ascii="Times New Roman" w:cs="Times New Roman" w:eastAsia="Times New Roman" w:hAnsi="Times New Roman"/>
          <w:sz w:val="20"/>
          <w:szCs w:val="20"/>
          <w:color w:val="auto"/>
        </w:rPr>
        <w:t>(xix)repurchases, redemptions or repayments of any Subordinated Indebtedness from net cash proceeds of any Indebtedness incurred pursuant to Section 6.01(b)(xxvi);</w:t>
      </w:r>
    </w:p>
    <w:p>
      <w:pPr>
        <w:spacing w:after="0" w:line="146"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at the time of, and after giving effect to, any Restricted Payment permitted under clauses (i), (xii) and (xvi) of this Section 6.04, no Default shall have occurred and be continuing or would occur as a consequence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301" w:name="page302"/>
    <w:bookmarkEnd w:id="301"/>
    <w:p>
      <w:pPr>
        <w:ind w:left="1300"/>
        <w:spacing w:after="0"/>
        <w:rPr>
          <w:sz w:val="20"/>
          <w:szCs w:val="20"/>
          <w:color w:val="auto"/>
        </w:rPr>
      </w:pPr>
      <w:r>
        <w:rPr>
          <w:rFonts w:ascii="Times New Roman" w:cs="Times New Roman" w:eastAsia="Times New Roman" w:hAnsi="Times New Roman"/>
          <w:sz w:val="20"/>
          <w:szCs w:val="20"/>
          <w:color w:val="auto"/>
        </w:rPr>
        <w:t xml:space="preserve">SECTION VI.5 </w:t>
      </w:r>
      <w:r>
        <w:rPr>
          <w:rFonts w:ascii="Times New Roman" w:cs="Times New Roman" w:eastAsia="Times New Roman" w:hAnsi="Times New Roman"/>
          <w:sz w:val="20"/>
          <w:szCs w:val="20"/>
          <w:u w:val="single" w:color="auto"/>
          <w:color w:val="auto"/>
        </w:rPr>
        <w:t>Limitations on Transactions with Affiliates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40" w:firstLine="1304"/>
        <w:spacing w:after="0" w:line="264" w:lineRule="auto"/>
        <w:tabs>
          <w:tab w:leader="none" w:pos="1934" w:val="left"/>
        </w:tabs>
        <w:numPr>
          <w:ilvl w:val="1"/>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Borrower shall not, and shall not permit any Restricted Subsidiary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U.S. Borrower (each of the foregoing, an “</w:t>
      </w:r>
      <w:r>
        <w:rPr>
          <w:rFonts w:ascii="Times New Roman" w:cs="Times New Roman" w:eastAsia="Times New Roman" w:hAnsi="Times New Roman"/>
          <w:sz w:val="19"/>
          <w:szCs w:val="19"/>
          <w:u w:val="single" w:color="auto"/>
          <w:color w:val="auto"/>
        </w:rPr>
        <w:t>Affiliate Transaction</w:t>
      </w:r>
      <w:r>
        <w:rPr>
          <w:rFonts w:ascii="Times New Roman" w:cs="Times New Roman" w:eastAsia="Times New Roman" w:hAnsi="Times New Roman"/>
          <w:sz w:val="19"/>
          <w:szCs w:val="19"/>
          <w:color w:val="auto"/>
        </w:rPr>
        <w:t>”) involving aggregate payments or consideration in excess of $20.0 million, unless (i) such Affiliate Transaction is on terms that are not materially less favorable to the U.S. Borrower or the relevant Restricted Subsidiary than those that would have been obtained in a comparable transaction by the U.S. Borrower or such Restricted Subsidiary with an unrelated Person and</w:t>
      </w:r>
    </w:p>
    <w:p>
      <w:pPr>
        <w:spacing w:after="0" w:line="4" w:lineRule="exact"/>
        <w:rPr>
          <w:rFonts w:ascii="Times New Roman" w:cs="Times New Roman" w:eastAsia="Times New Roman" w:hAnsi="Times New Roman"/>
          <w:sz w:val="19"/>
          <w:szCs w:val="19"/>
          <w:color w:val="auto"/>
        </w:rPr>
      </w:pPr>
    </w:p>
    <w:p>
      <w:pPr>
        <w:ind w:right="120" w:firstLine="8"/>
        <w:spacing w:after="0" w:line="253" w:lineRule="auto"/>
        <w:tabs>
          <w:tab w:leader="none" w:pos="291"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delivers to the Agent with respect to any Affiliate Transaction or series of related Affiliate Transactions involving aggregate payments or consideration in excess of $50.0 million, a Board Resolution adopted by the majority of the members of the Board of Directors of the U.S. Borrower approving such Affiliate Transaction and set forth in an Officers’ Certificate certifying that such Affiliate Transaction complies with clause (i) above.</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limitations set forth in paragraph (a) of this Section 6.05 shall not apply to:</w:t>
      </w:r>
    </w:p>
    <w:p>
      <w:pPr>
        <w:spacing w:after="0" w:line="229"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2"/>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the U.S. Borrower or any of the Restricted Subsidiaries;</w:t>
      </w:r>
    </w:p>
    <w:p>
      <w:pPr>
        <w:spacing w:after="0" w:line="215"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2"/>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that are permitted by the provisions of Section 6.04 and Permitted Investments;</w:t>
      </w:r>
    </w:p>
    <w:p>
      <w:pPr>
        <w:spacing w:after="0" w:line="229" w:lineRule="exact"/>
        <w:rPr>
          <w:rFonts w:ascii="Times New Roman" w:cs="Times New Roman" w:eastAsia="Times New Roman" w:hAnsi="Times New Roman"/>
          <w:sz w:val="20"/>
          <w:szCs w:val="20"/>
          <w:color w:val="auto"/>
        </w:rPr>
      </w:pPr>
    </w:p>
    <w:p>
      <w:pPr>
        <w:ind w:left="660" w:firstLine="903"/>
        <w:spacing w:after="0" w:line="310" w:lineRule="auto"/>
        <w:tabs>
          <w:tab w:leader="none" w:pos="1945" w:val="left"/>
        </w:tabs>
        <w:numPr>
          <w:ilvl w:val="2"/>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of reasonable and customary fees paid to, and indemnities provided on behalf of, officers, directors, managers, employees or consultants of the U.S. Borrower, any of its direct or indirect parent companies or any Restricted Subsidiary;</w:t>
      </w:r>
    </w:p>
    <w:p>
      <w:pPr>
        <w:spacing w:after="0" w:line="124" w:lineRule="exact"/>
        <w:rPr>
          <w:rFonts w:ascii="Times New Roman" w:cs="Times New Roman" w:eastAsia="Times New Roman" w:hAnsi="Times New Roman"/>
          <w:sz w:val="19"/>
          <w:szCs w:val="19"/>
          <w:color w:val="auto"/>
        </w:rPr>
      </w:pPr>
    </w:p>
    <w:p>
      <w:pPr>
        <w:ind w:left="1940" w:hanging="377"/>
        <w:spacing w:after="0"/>
        <w:tabs>
          <w:tab w:leader="none" w:pos="1940" w:val="left"/>
        </w:tabs>
        <w:numPr>
          <w:ilvl w:val="2"/>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660" w:right="160" w:firstLine="903"/>
        <w:spacing w:after="0" w:line="261" w:lineRule="auto"/>
        <w:tabs>
          <w:tab w:leader="none" w:pos="1946" w:val="left"/>
        </w:tabs>
        <w:numPr>
          <w:ilvl w:val="2"/>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 which the U.S. Borrower or any Restricted Subsidiary, as the case may be, delivers to the Agent a letter from an Independent Financial Advisor stating that such transaction is fair to the U.S. Borrower or such Restricted Subsidiary from a financial point of view or meets the requirements of clause (i) of paragraph (a) of this Section 6.05;</w:t>
      </w:r>
    </w:p>
    <w:p>
      <w:pPr>
        <w:spacing w:after="0" w:line="167" w:lineRule="exact"/>
        <w:rPr>
          <w:rFonts w:ascii="Times New Roman" w:cs="Times New Roman" w:eastAsia="Times New Roman" w:hAnsi="Times New Roman"/>
          <w:sz w:val="20"/>
          <w:szCs w:val="20"/>
          <w:color w:val="auto"/>
        </w:rPr>
      </w:pPr>
    </w:p>
    <w:p>
      <w:pPr>
        <w:ind w:left="660" w:firstLine="903"/>
        <w:spacing w:after="0" w:line="252" w:lineRule="auto"/>
        <w:tabs>
          <w:tab w:leader="none" w:pos="1947" w:val="left"/>
        </w:tabs>
        <w:numPr>
          <w:ilvl w:val="2"/>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payments and Indebtedness, Disqualified Stock and Preferred Stock (and cancellations of any thereof) of the U.S. Borrower and its Restricted Subsidiaries to any future, present or former employee, director, manager or consultant (or their respective estates, Controlled Investment Affiliates or Immediate Family Members) of the U.S. Borrower, any of its Subsidiaries or any of its direct or indirect parent companies or any other entity in which the U.S. Borrower or a Restricted Subsidiary has an Investment and that is designated in good faith as an “affiliate” by the Board of Directors of the U.S. Borrower (or the compensation committee thereof), in each case pursuant to any stockholders’ agreement, management equity plan or stock option plan or any other management or employee benefit, plan or agreement; and (B) any employment agreements, stock option plans and other compensatory arrangements (including, without limitation, the U.S. Borrower’s 2001 and 2005 Stock Unit Retirement Plans (and any successor plans thereto) and any supplemental executive retirement benefit plans or arrangements) with any such employees, directors, managers or consultants (or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02" w:name="page303"/>
    <w:bookmarkEnd w:id="302"/>
    <w:p>
      <w:pPr>
        <w:ind w:left="660" w:right="300"/>
        <w:spacing w:after="0" w:line="283" w:lineRule="auto"/>
        <w:rPr>
          <w:sz w:val="20"/>
          <w:szCs w:val="20"/>
          <w:color w:val="auto"/>
        </w:rPr>
      </w:pPr>
      <w:r>
        <w:rPr>
          <w:rFonts w:ascii="Times New Roman" w:cs="Times New Roman" w:eastAsia="Times New Roman" w:hAnsi="Times New Roman"/>
          <w:sz w:val="20"/>
          <w:szCs w:val="20"/>
          <w:color w:val="auto"/>
        </w:rPr>
        <w:t>estates, Controlled Investment Affiliates or Immediate Family Members) that are, in each case, approved by the U.S. Borrower in good faith;</w:t>
      </w:r>
    </w:p>
    <w:p>
      <w:pPr>
        <w:spacing w:after="0" w:line="146" w:lineRule="exact"/>
        <w:rPr>
          <w:sz w:val="20"/>
          <w:szCs w:val="20"/>
          <w:color w:val="auto"/>
        </w:rPr>
      </w:pPr>
    </w:p>
    <w:p>
      <w:pPr>
        <w:ind w:left="660" w:right="260" w:firstLine="903"/>
        <w:spacing w:after="0" w:line="253" w:lineRule="auto"/>
        <w:tabs>
          <w:tab w:leader="none" w:pos="1948"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 instrument or arrangement as in effect as of the Closing Date and, to the extent such agreement, instrument or arrangement was entered into after December 30, 2016 and involves an aggregate consideration in excess of $20.0 million, set forth on </w:t>
      </w:r>
      <w:r>
        <w:rPr>
          <w:rFonts w:ascii="Times New Roman" w:cs="Times New Roman" w:eastAsia="Times New Roman" w:hAnsi="Times New Roman"/>
          <w:sz w:val="20"/>
          <w:szCs w:val="20"/>
          <w:u w:val="single" w:color="auto"/>
          <w:color w:val="auto"/>
        </w:rPr>
        <w:t>Schedule 6.05</w:t>
      </w:r>
      <w:r>
        <w:rPr>
          <w:rFonts w:ascii="Times New Roman" w:cs="Times New Roman" w:eastAsia="Times New Roman" w:hAnsi="Times New Roman"/>
          <w:sz w:val="20"/>
          <w:szCs w:val="20"/>
          <w:color w:val="auto"/>
        </w:rPr>
        <w:t xml:space="preserve"> (it being understood that such </w:t>
      </w:r>
      <w:r>
        <w:rPr>
          <w:rFonts w:ascii="Times New Roman" w:cs="Times New Roman" w:eastAsia="Times New Roman" w:hAnsi="Times New Roman"/>
          <w:sz w:val="20"/>
          <w:szCs w:val="20"/>
          <w:u w:val="single" w:color="auto"/>
          <w:color w:val="auto"/>
        </w:rPr>
        <w:t>Schedule 6.05</w:t>
      </w:r>
      <w:r>
        <w:rPr>
          <w:rFonts w:ascii="Times New Roman" w:cs="Times New Roman" w:eastAsia="Times New Roman" w:hAnsi="Times New Roman"/>
          <w:sz w:val="20"/>
          <w:szCs w:val="20"/>
          <w:color w:val="auto"/>
        </w:rPr>
        <w:t xml:space="preserve"> shall be replaced by the Schedule 6.05 to be provided to the Agent on the 2024 Refinancing Amendments Effective Date, which shall be in form and substance reasonably satisfactory to the Agent), or any amendment thereto (so long as any such amendment is not disadvantageous to the Lenders when taken as a whole in any material respect as compared to the applicable agreement as in effect on the Closing Date as reasonably determined in good faith by the U.S. Borrower);</w:t>
      </w:r>
    </w:p>
    <w:p>
      <w:pPr>
        <w:spacing w:after="0" w:line="179" w:lineRule="exact"/>
        <w:rPr>
          <w:rFonts w:ascii="Times New Roman" w:cs="Times New Roman" w:eastAsia="Times New Roman" w:hAnsi="Times New Roman"/>
          <w:sz w:val="20"/>
          <w:szCs w:val="20"/>
          <w:color w:val="auto"/>
        </w:rPr>
      </w:pPr>
    </w:p>
    <w:p>
      <w:pPr>
        <w:ind w:left="660" w:firstLine="903"/>
        <w:spacing w:after="0" w:line="252" w:lineRule="auto"/>
        <w:tabs>
          <w:tab w:leader="none" w:pos="2597"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existence of, or the performance by the U.S. Borrower or any of the Restricted Subsidiaries of its obligations under the terms of, any stockholders agreement or its equivalent (including any registration rights agreement or purchase agreement related thereto) to which it is a party as of the Closing Date, and any similar agreements which it may enter into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existence of, or the performance by the U.S. Borrower or any Restricted Subsidiary of obligations under any future amendment to any such existing agreement or under any similar agreement entered into after the Closing Date shall only be permitted by this clause (viii) to the extent that the terms of any such existing agreement together with all amendments thereto, taken as a whole, or new agreement do not require payments by the U.S. Borrower or any Restricted Subsidiary that are materially in excess of those required pursuant to the terms of the original agreement in effect on the Closing Date as reasonably determined in good faith by the U.S. Borrower;</w:t>
      </w:r>
    </w:p>
    <w:p>
      <w:pPr>
        <w:spacing w:after="0" w:line="189"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660" w:right="40" w:firstLine="903"/>
        <w:spacing w:after="0" w:line="258" w:lineRule="auto"/>
        <w:tabs>
          <w:tab w:leader="none" w:pos="1946"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customers, clients, suppliers, or purchasers or sellers of goods or services, in each case in the ordinary course of business and otherwise in compliance with the terms of this Agreement that are fair to the U.S. Borrower and the Restricted Subsidiaries, in the reasonable determination of the Board of Directors or the senior management of the U.S. Borrower, or are on terms at least as favorable as might reasonably have been obtained at such time from an unaffiliated party;</w:t>
      </w:r>
    </w:p>
    <w:p>
      <w:pPr>
        <w:spacing w:after="0" w:line="185" w:lineRule="exact"/>
        <w:rPr>
          <w:rFonts w:ascii="Times New Roman" w:cs="Times New Roman" w:eastAsia="Times New Roman" w:hAnsi="Times New Roman"/>
          <w:sz w:val="20"/>
          <w:szCs w:val="20"/>
          <w:color w:val="auto"/>
        </w:rPr>
      </w:pPr>
    </w:p>
    <w:p>
      <w:pPr>
        <w:ind w:left="660" w:right="60" w:firstLine="903"/>
        <w:spacing w:after="0" w:line="254" w:lineRule="auto"/>
        <w:tabs>
          <w:tab w:leader="none" w:pos="1947"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or transfer of Equity Interests (other than Disqualified Stock) of Holdings to any Permitted Holder or to any former, current or future director, manager, officer, employee or consultant (or their respective estates, Controlled Investment Affiliates or Immediate Family Members) of the U.S. Borrower, any of its Subsidiaries or any direct or indirect parent company thereof;</w:t>
      </w:r>
    </w:p>
    <w:p>
      <w:pPr>
        <w:spacing w:after="0" w:line="187" w:lineRule="exact"/>
        <w:rPr>
          <w:rFonts w:ascii="Times New Roman" w:cs="Times New Roman" w:eastAsia="Times New Roman" w:hAnsi="Times New Roman"/>
          <w:sz w:val="20"/>
          <w:szCs w:val="20"/>
          <w:color w:val="auto"/>
        </w:rPr>
      </w:pPr>
    </w:p>
    <w:p>
      <w:pPr>
        <w:ind w:left="660" w:right="100" w:firstLine="903"/>
        <w:spacing w:after="0" w:line="283" w:lineRule="auto"/>
        <w:tabs>
          <w:tab w:leader="none" w:pos="1948"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accounts receivable, payment intangibles and related assets or participations therein, in connection with any Receivables Facility and Standard Receivables Facility Undertakings;</w:t>
      </w:r>
    </w:p>
    <w:p>
      <w:pPr>
        <w:spacing w:after="0" w:line="146" w:lineRule="exact"/>
        <w:rPr>
          <w:rFonts w:ascii="Times New Roman" w:cs="Times New Roman" w:eastAsia="Times New Roman" w:hAnsi="Times New Roman"/>
          <w:sz w:val="20"/>
          <w:szCs w:val="20"/>
          <w:color w:val="auto"/>
        </w:rPr>
      </w:pPr>
    </w:p>
    <w:p>
      <w:pPr>
        <w:ind w:left="2600" w:hanging="1037"/>
        <w:spacing w:after="0"/>
        <w:tabs>
          <w:tab w:leader="none" w:pos="260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(xiv)payments to or from, and transactions with, any joint venture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03" w:name="page304"/>
    <w:bookmarkEnd w:id="303"/>
    <w:p>
      <w:pPr>
        <w:ind w:left="1300"/>
        <w:spacing w:after="0"/>
        <w:rPr>
          <w:sz w:val="20"/>
          <w:szCs w:val="20"/>
          <w:color w:val="auto"/>
        </w:rPr>
      </w:pPr>
      <w:r>
        <w:rPr>
          <w:rFonts w:ascii="Times New Roman" w:cs="Times New Roman" w:eastAsia="Times New Roman" w:hAnsi="Times New Roman"/>
          <w:sz w:val="20"/>
          <w:szCs w:val="20"/>
          <w:color w:val="auto"/>
        </w:rPr>
        <w:t xml:space="preserve">SECTION VI.6 </w:t>
      </w:r>
      <w:r>
        <w:rPr>
          <w:rFonts w:ascii="Times New Roman" w:cs="Times New Roman" w:eastAsia="Times New Roman" w:hAnsi="Times New Roman"/>
          <w:sz w:val="20"/>
          <w:szCs w:val="20"/>
          <w:u w:val="single" w:color="auto"/>
          <w:color w:val="auto"/>
        </w:rPr>
        <w:t>Dispositions</w:t>
      </w:r>
    </w:p>
    <w:p>
      <w:pPr>
        <w:spacing w:after="0" w:line="229" w:lineRule="exact"/>
        <w:rPr>
          <w:sz w:val="20"/>
          <w:szCs w:val="20"/>
          <w:color w:val="auto"/>
        </w:rPr>
      </w:pPr>
    </w:p>
    <w:p>
      <w:pPr>
        <w:ind w:right="300" w:firstLine="8"/>
        <w:spacing w:after="0" w:line="269" w:lineRule="auto"/>
        <w:tabs>
          <w:tab w:leader="none" w:pos="99"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shall not and shall not permit any Restricted Subsidiary to make any Disposition or enter into any agreement to make any Disposition, except:</w:t>
      </w:r>
    </w:p>
    <w:p>
      <w:pPr>
        <w:spacing w:after="0" w:line="64" w:lineRule="exact"/>
        <w:rPr>
          <w:rFonts w:ascii="Times New Roman" w:cs="Times New Roman" w:eastAsia="Times New Roman" w:hAnsi="Times New Roman"/>
          <w:sz w:val="20"/>
          <w:szCs w:val="20"/>
          <w:color w:val="auto"/>
        </w:rPr>
      </w:pPr>
    </w:p>
    <w:p>
      <w:pPr>
        <w:ind w:left="660" w:right="60" w:firstLine="644"/>
        <w:spacing w:after="0" w:line="261" w:lineRule="auto"/>
        <w:tabs>
          <w:tab w:leader="none" w:pos="1725"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property, whether now owned or hereafter acquired, in the ordinary course of business and Dispositions of property no longer used or useful in the conduct of the business of the U.S. Borrower and the Restricted Subsidiaries;</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goods held for sale and immaterial assets in the ordinary course of business;</w:t>
      </w:r>
    </w:p>
    <w:p>
      <w:pPr>
        <w:spacing w:after="0" w:line="215" w:lineRule="exact"/>
        <w:rPr>
          <w:rFonts w:ascii="Times New Roman" w:cs="Times New Roman" w:eastAsia="Times New Roman" w:hAnsi="Times New Roman"/>
          <w:sz w:val="20"/>
          <w:szCs w:val="20"/>
          <w:color w:val="auto"/>
        </w:rPr>
      </w:pPr>
    </w:p>
    <w:p>
      <w:pPr>
        <w:ind w:left="660" w:right="80" w:firstLine="644"/>
        <w:spacing w:after="0" w:line="261" w:lineRule="auto"/>
        <w:tabs>
          <w:tab w:leader="none" w:pos="1725"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81" w:lineRule="exact"/>
        <w:rPr>
          <w:rFonts w:ascii="Times New Roman" w:cs="Times New Roman" w:eastAsia="Times New Roman" w:hAnsi="Times New Roman"/>
          <w:sz w:val="20"/>
          <w:szCs w:val="20"/>
          <w:color w:val="auto"/>
        </w:rPr>
      </w:pPr>
    </w:p>
    <w:p>
      <w:pPr>
        <w:ind w:left="660" w:right="300" w:firstLine="644"/>
        <w:spacing w:after="0" w:line="283" w:lineRule="auto"/>
        <w:tabs>
          <w:tab w:leader="none" w:pos="1737"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to the U.S. Borrower or to a Restricted Subsidiary (including through the dissolution of any Restricted Subsidiary);</w:t>
      </w:r>
    </w:p>
    <w:p>
      <w:pPr>
        <w:spacing w:after="0" w:line="14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permitted by Sections 6.03 and 6.04, Liens permitted by Section 6.02 and Investments permitted by</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6.07;</w:t>
      </w:r>
    </w:p>
    <w:p>
      <w:pPr>
        <w:spacing w:after="0" w:line="200"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Cash Equivalents;</w:t>
      </w:r>
    </w:p>
    <w:p>
      <w:pPr>
        <w:spacing w:after="0" w:line="229" w:lineRule="exact"/>
        <w:rPr>
          <w:rFonts w:ascii="Times New Roman" w:cs="Times New Roman" w:eastAsia="Times New Roman" w:hAnsi="Times New Roman"/>
          <w:sz w:val="20"/>
          <w:szCs w:val="20"/>
          <w:color w:val="auto"/>
        </w:rPr>
      </w:pPr>
    </w:p>
    <w:p>
      <w:pPr>
        <w:ind w:left="660" w:right="440" w:firstLine="644"/>
        <w:spacing w:after="0" w:line="261" w:lineRule="auto"/>
        <w:tabs>
          <w:tab w:leader="none" w:pos="1737"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in connection with the collection or compromise thereof or Dispositions of accounts receivable, payment intangibles and related assets in connection with any Receivables Facility permitted under Section 6.01(b)(i);</w:t>
      </w:r>
    </w:p>
    <w:p>
      <w:pPr>
        <w:spacing w:after="0" w:line="181" w:lineRule="exact"/>
        <w:rPr>
          <w:rFonts w:ascii="Times New Roman" w:cs="Times New Roman" w:eastAsia="Times New Roman" w:hAnsi="Times New Roman"/>
          <w:sz w:val="20"/>
          <w:szCs w:val="20"/>
          <w:color w:val="auto"/>
        </w:rPr>
      </w:pPr>
    </w:p>
    <w:p>
      <w:pPr>
        <w:ind w:left="660" w:right="40" w:firstLine="644"/>
        <w:spacing w:after="0" w:line="269" w:lineRule="auto"/>
        <w:tabs>
          <w:tab w:leader="none" w:pos="1737"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assignments, licenses or sublicenses, in each case in the ordinary course of business and which do not materially interfere with the business of Holdings, the U.S. Borrower and the Restricted Subsidiaries;</w:t>
      </w:r>
    </w:p>
    <w:p>
      <w:pPr>
        <w:spacing w:after="0" w:line="172"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property subject to Casualty Events upon receipt of the Net Cash Proceeds of such Casualty Event;</w:t>
      </w:r>
    </w:p>
    <w:p>
      <w:pPr>
        <w:spacing w:after="0" w:line="215" w:lineRule="exact"/>
        <w:rPr>
          <w:rFonts w:ascii="Times New Roman" w:cs="Times New Roman" w:eastAsia="Times New Roman" w:hAnsi="Times New Roman"/>
          <w:sz w:val="20"/>
          <w:szCs w:val="20"/>
          <w:color w:val="auto"/>
        </w:rPr>
      </w:pPr>
    </w:p>
    <w:p>
      <w:pPr>
        <w:ind w:left="660" w:firstLine="644"/>
        <w:spacing w:after="0" w:line="250" w:lineRule="auto"/>
        <w:tabs>
          <w:tab w:leader="none" w:pos="1693"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property (other than any disposition of assets in connection with a securitization transaction) not otherwise permitted under this Section 6.06;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at the time of such Disposition (other than any such Disposition made pursuant to a legally binding commitment entered into at a time when no Default exists), no Default shall exist or would result from such Disposition and (ii)(x) prior to the 2024 Refinancing Amendments Effective Date, with respect to any Disposition pursuant to this clause (j) with an aggregate fair market value in excess of $50.0 million and (y) from and after the 2024 Refinancing Amendments Effective Date, with respect to any Disposition pursuant to this clause (j) (calculated on a cumulative basis) with an aggregate fair market value in excess of, $75.0 million, the U.S. Borrower or a Restricted Subsidiary shall receive not less than 75% of such consideration in the form of cash or Cash Equivalents (in each case, free and clear of all Liens at the time received, other than nonconsensual Liens permitted by Section 7.02);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the purposes of this clause (ii), (A) any liabilities (as shown on the most recent consolidated balance sheet of the U.S. Borrower provided hereunder or in the footnotes thereto) of the U.S. Borrower or such Restricted Subsidiary, other than with respect to Indebtedness that is not secured by the assets disposed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04" w:name="page305"/>
    <w:bookmarkEnd w:id="304"/>
    <w:p>
      <w:pPr>
        <w:ind w:left="660" w:right="20"/>
        <w:spacing w:after="0" w:line="251" w:lineRule="auto"/>
        <w:rPr>
          <w:sz w:val="20"/>
          <w:szCs w:val="20"/>
          <w:color w:val="auto"/>
        </w:rPr>
      </w:pPr>
      <w:r>
        <w:rPr>
          <w:rFonts w:ascii="Times New Roman" w:cs="Times New Roman" w:eastAsia="Times New Roman" w:hAnsi="Times New Roman"/>
          <w:sz w:val="20"/>
          <w:szCs w:val="20"/>
          <w:color w:val="auto"/>
        </w:rPr>
        <w:t>that are assumed by the transferee with respect to the applicable Disposition and for which the U.S. Borrower and all of the Restricted Subsidiaries shall have been validly released by all applicable creditors, (B) any securities received by the U.S. Borrower or such Restricted Subsidiary from such transferee that are converted by the U.S. Borrower or such Restricted Subsidiary into cash (to the extent of the cash received) within 180 days following the closing of the applicable Disposition and (C) any Designated Noncash Consideration received by the U.S. Borrower or such Restricted Subsidiary in respect of such Disposition having an aggregate fair market value, taken together with all other Designated Noncash Consideration received pursuant to this clause (C) that is at that time outstanding, not in excess of (I) prior to the 2024 Refinancing Amendments Effective Date, the greater of (x) $300.0 million and (y) 3% of Total Assets of the U.S. Borrower and (II) from and after the 2024 Refinancing Amendments Effective Date, the greater of (x) $630.0 million and (y) 5% of Total Assets of the U.S. Borrower, in each case at the time of the receipt of such Designated Noncash Consideration, with the fair market value of each item of Designated Noncash Consideration being measured at the time received and without giving effect to subsequent changes in value, shall in each case of clauses (A), (B) and (C) be deemed to be cash;</w:t>
      </w:r>
    </w:p>
    <w:p>
      <w:pPr>
        <w:spacing w:after="0" w:line="178" w:lineRule="exact"/>
        <w:rPr>
          <w:sz w:val="20"/>
          <w:szCs w:val="20"/>
          <w:color w:val="auto"/>
        </w:rPr>
      </w:pPr>
    </w:p>
    <w:p>
      <w:pPr>
        <w:ind w:left="1740" w:hanging="436"/>
        <w:spacing w:after="0"/>
        <w:tabs>
          <w:tab w:leader="none" w:pos="174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or sale of Equity Interests in, or Indebtedness or other securities of, an Unrestricted Subsidiary;</w:t>
      </w:r>
    </w:p>
    <w:p>
      <w:pPr>
        <w:spacing w:after="0" w:line="229" w:lineRule="exact"/>
        <w:rPr>
          <w:rFonts w:ascii="Times New Roman" w:cs="Times New Roman" w:eastAsia="Times New Roman" w:hAnsi="Times New Roman"/>
          <w:sz w:val="20"/>
          <w:szCs w:val="20"/>
          <w:color w:val="auto"/>
        </w:rPr>
      </w:pPr>
    </w:p>
    <w:p>
      <w:pPr>
        <w:ind w:left="660" w:right="280" w:firstLine="644"/>
        <w:spacing w:after="0" w:line="269" w:lineRule="auto"/>
        <w:tabs>
          <w:tab w:leader="none" w:pos="1693"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allowable under Section 1031 of the Code (or comparable or successor provision), any exchange of like property (excluding any boot thereon permitted by such provision) for use in a Permitted Business;</w:t>
      </w:r>
    </w:p>
    <w:p>
      <w:pPr>
        <w:spacing w:after="0" w:line="172"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unwinding of any Hedging Obligations;</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 connection with Sale and Lease-Back Transactions permitted by Section 6.01(b)(xxi);</w:t>
      </w:r>
    </w:p>
    <w:p>
      <w:pPr>
        <w:spacing w:after="0" w:line="215" w:lineRule="exact"/>
        <w:rPr>
          <w:rFonts w:ascii="Times New Roman" w:cs="Times New Roman" w:eastAsia="Times New Roman" w:hAnsi="Times New Roman"/>
          <w:sz w:val="20"/>
          <w:szCs w:val="20"/>
          <w:color w:val="auto"/>
        </w:rPr>
      </w:pPr>
    </w:p>
    <w:p>
      <w:pPr>
        <w:ind w:left="660" w:right="720" w:firstLine="644"/>
        <w:spacing w:after="0" w:line="310" w:lineRule="auto"/>
        <w:tabs>
          <w:tab w:leader="none" w:pos="1737"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24" w:lineRule="exact"/>
        <w:rPr>
          <w:rFonts w:ascii="Times New Roman" w:cs="Times New Roman" w:eastAsia="Times New Roman" w:hAnsi="Times New Roman"/>
          <w:sz w:val="19"/>
          <w:szCs w:val="19"/>
          <w:color w:val="auto"/>
        </w:rPr>
      </w:pPr>
    </w:p>
    <w:p>
      <w:pPr>
        <w:ind w:left="660" w:right="420" w:firstLine="644"/>
        <w:spacing w:after="0" w:line="283" w:lineRule="auto"/>
        <w:tabs>
          <w:tab w:leader="none" w:pos="1737"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to the extent not involving property (when taken together with any related Disposition or series of Dispositions) with a fair market value in excess of $25.0 million;</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29" w:lineRule="exact"/>
        <w:rPr>
          <w:rFonts w:ascii="Times New Roman" w:cs="Times New Roman" w:eastAsia="Times New Roman" w:hAnsi="Times New Roman"/>
          <w:sz w:val="20"/>
          <w:szCs w:val="20"/>
          <w:color w:val="auto"/>
        </w:rPr>
      </w:pPr>
    </w:p>
    <w:p>
      <w:pPr>
        <w:ind w:left="660" w:firstLine="644"/>
        <w:spacing w:after="0" w:line="258" w:lineRule="auto"/>
        <w:tabs>
          <w:tab w:leader="none" w:pos="1704"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 connection with a Disposition of a Designated Business pursuant to Section 6.04(xviii), of assets comprising of such Designated Business to any existing Subsidiary of the U.S. Borrower or any newly formed Subsidiary of the U.S. Borrower prior to such Disposition of a Designated Business that are completed substantially concurrently with, or reasonably in advance of, the disposition of such Designated Business pursuant to Section 6.04(xviii);</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Disposition or series of related Dispositions of any property pursuant to this Section 6.06 (other than Section 6.06(d) or Section 6.06(r)) with a fair market value in excess of $50.0 million, shall be for no less than the fair market value of such property at the time of such Disposition. To the extent any Collateral is Disposed of as expressly permitted by this Section 6.06 to any Person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305" w:name="page306"/>
    <w:bookmarkEnd w:id="305"/>
    <w:p>
      <w:pPr>
        <w:spacing w:after="0" w:line="283" w:lineRule="auto"/>
        <w:rPr>
          <w:sz w:val="20"/>
          <w:szCs w:val="20"/>
          <w:color w:val="auto"/>
        </w:rPr>
      </w:pPr>
      <w:r>
        <w:rPr>
          <w:rFonts w:ascii="Times New Roman" w:cs="Times New Roman" w:eastAsia="Times New Roman" w:hAnsi="Times New Roman"/>
          <w:sz w:val="20"/>
          <w:szCs w:val="20"/>
          <w:color w:val="auto"/>
        </w:rPr>
        <w:t>Loan Party, such Collateral shall be sold free and clear of the Liens created by the Loan Documents, and the Agent shall be authorized to take any actions deemed appropriate in order to effect the foregoing.</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VI.7 </w:t>
      </w:r>
      <w:r>
        <w:rPr>
          <w:rFonts w:ascii="Times New Roman" w:cs="Times New Roman" w:eastAsia="Times New Roman" w:hAnsi="Times New Roman"/>
          <w:sz w:val="20"/>
          <w:szCs w:val="20"/>
          <w:u w:val="single" w:color="auto"/>
          <w:color w:val="auto"/>
        </w:rPr>
        <w:t>Limitation on Investments and Designation of Unrestricted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500" w:firstLine="1304"/>
        <w:spacing w:after="0" w:line="283" w:lineRule="auto"/>
        <w:tabs>
          <w:tab w:leader="none" w:pos="1934"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shall not, and shall not permit any Restricted Subsidiary to, directly or indirectly, make any Investment other than Permitted Investments.</w:t>
      </w:r>
    </w:p>
    <w:p>
      <w:pPr>
        <w:spacing w:after="0" w:line="159" w:lineRule="exact"/>
        <w:rPr>
          <w:rFonts w:ascii="Times New Roman" w:cs="Times New Roman" w:eastAsia="Times New Roman" w:hAnsi="Times New Roman"/>
          <w:sz w:val="20"/>
          <w:szCs w:val="20"/>
          <w:color w:val="auto"/>
        </w:rPr>
      </w:pPr>
    </w:p>
    <w:p>
      <w:pPr>
        <w:ind w:right="80" w:firstLine="1304"/>
        <w:spacing w:after="0" w:line="269" w:lineRule="auto"/>
        <w:tabs>
          <w:tab w:leader="none" w:pos="1932"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Borrower shall not permit any Unrestricted Subsidiary to become a Restricted Subsidiary except pursuant to the penultimate paragraph of the definition of “Unrestricted Subsidiary.” For purposes of designating any Restricted Subsidiary as an Unrestricted Subsidiary, all outstanding Investments by the U.S. Borrower and the Restricted Subsidiaries (except to the extent repaid) in the subsidiary so designated shall be deemed to be Investments in an amount determined as set forth in the last sentence of the definition of “Investment.” Such designation shall be permitted only if an Investment by the U.S. Borrower and its Restricted Subsidiaries pursuant to the definition of Permitted Investments and if such Subsidiary otherwise meets the definition of an “Unrestricted Subsidiary.”</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VI.8 </w:t>
      </w:r>
      <w:r>
        <w:rPr>
          <w:rFonts w:ascii="Times New Roman" w:cs="Times New Roman" w:eastAsia="Times New Roman" w:hAnsi="Times New Roman"/>
          <w:sz w:val="20"/>
          <w:szCs w:val="20"/>
          <w:u w:val="single" w:color="auto"/>
          <w:color w:val="auto"/>
        </w:rPr>
        <w:t>Dividends and Other Payment Restrictions Affecting Restricted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200" w:firstLine="1304"/>
        <w:spacing w:after="0" w:line="268" w:lineRule="auto"/>
        <w:tabs>
          <w:tab w:leader="none" w:pos="1934"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shall not, and shall not permit any Restricted Subsidiary that is not a Subsidiary Guarantor to, directly or indirectly, create or otherwise cause or suffer to exist or become effective any consensual encumbrance or consensual restriction on the ability of any such Restricted Subsidiary to:</w:t>
      </w:r>
    </w:p>
    <w:p>
      <w:pPr>
        <w:spacing w:after="0" w:line="161" w:lineRule="exact"/>
        <w:rPr>
          <w:rFonts w:ascii="Times New Roman" w:cs="Times New Roman" w:eastAsia="Times New Roman" w:hAnsi="Times New Roman"/>
          <w:sz w:val="20"/>
          <w:szCs w:val="20"/>
          <w:color w:val="auto"/>
        </w:rPr>
      </w:pPr>
    </w:p>
    <w:p>
      <w:pPr>
        <w:ind w:left="660" w:right="220" w:firstLine="903"/>
        <w:spacing w:after="0" w:line="261" w:lineRule="auto"/>
        <w:tabs>
          <w:tab w:leader="none" w:pos="1943"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 dividends or make any other distributions to the U.S. Borrower or any Restricted Subsidiary on its Capital Stock or with respect to any other interest or participation in, or measured by, its profits, or (B) pay any Indebtedness owed to the U.S. Borrower or any Restricted Subsidiary;</w:t>
      </w:r>
    </w:p>
    <w:p>
      <w:pPr>
        <w:spacing w:after="0" w:line="181"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loans or advances to the U.S. Borrower or any Restricted Subsidiary; or</w:t>
      </w:r>
    </w:p>
    <w:p>
      <w:pPr>
        <w:spacing w:after="0" w:line="215"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lease or transfer any of its properties or assets to the U.S. Borrower or any Restricted Subsidiary.</w:t>
      </w:r>
    </w:p>
    <w:p>
      <w:pPr>
        <w:spacing w:after="0" w:line="229" w:lineRule="exact"/>
        <w:rPr>
          <w:rFonts w:ascii="Times New Roman" w:cs="Times New Roman" w:eastAsia="Times New Roman" w:hAnsi="Times New Roman"/>
          <w:sz w:val="20"/>
          <w:szCs w:val="20"/>
          <w:color w:val="auto"/>
        </w:rPr>
      </w:pPr>
    </w:p>
    <w:p>
      <w:pPr>
        <w:ind w:right="400" w:firstLine="1304"/>
        <w:spacing w:after="0" w:line="283" w:lineRule="auto"/>
        <w:tabs>
          <w:tab w:leader="none" w:pos="1932"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limitations set forth in clause (a) of this Section 6.08 shall not apply (in each case) to such encumbrances or restrictions existing under or by reason of:</w:t>
      </w:r>
    </w:p>
    <w:p>
      <w:pPr>
        <w:spacing w:after="0" w:line="146" w:lineRule="exact"/>
        <w:rPr>
          <w:rFonts w:ascii="Times New Roman" w:cs="Times New Roman" w:eastAsia="Times New Roman" w:hAnsi="Times New Roman"/>
          <w:sz w:val="20"/>
          <w:szCs w:val="20"/>
          <w:color w:val="auto"/>
        </w:rPr>
      </w:pPr>
    </w:p>
    <w:p>
      <w:pPr>
        <w:ind w:left="660" w:right="280" w:firstLine="903"/>
        <w:spacing w:after="0" w:line="283" w:lineRule="auto"/>
        <w:tabs>
          <w:tab w:leader="none" w:pos="1943"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encumbrances or restrictions in effect on the Closing Date, including pursuant to the Loan Documents and the related documentation (including Collateral Documents) and Hedging Obligations;</w:t>
      </w:r>
    </w:p>
    <w:p>
      <w:pPr>
        <w:spacing w:after="0" w:line="146" w:lineRule="exact"/>
        <w:rPr>
          <w:rFonts w:ascii="Times New Roman" w:cs="Times New Roman" w:eastAsia="Times New Roman" w:hAnsi="Times New Roman"/>
          <w:sz w:val="20"/>
          <w:szCs w:val="20"/>
          <w:color w:val="auto"/>
        </w:rPr>
      </w:pPr>
    </w:p>
    <w:p>
      <w:pPr>
        <w:ind w:left="660" w:right="140" w:firstLine="903"/>
        <w:spacing w:after="0" w:line="283" w:lineRule="auto"/>
        <w:tabs>
          <w:tab w:leader="none" w:pos="1944"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Senior Note Documents and the New Senior Notes and the subsidiary guarantees of the New Senior Notes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06" w:name="page307"/>
    <w:bookmarkEnd w:id="306"/>
    <w:p>
      <w:pPr>
        <w:ind w:left="660" w:right="400" w:firstLine="903"/>
        <w:spacing w:after="0" w:line="261" w:lineRule="auto"/>
        <w:tabs>
          <w:tab w:leader="none" w:pos="1945"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money obligations for property acquired in the ordinary course of business and Capitalized Lease Obligations that impose restrictions of the nature described in clause (iii) of paragraph (a) of this Section 6.08 on the property so acquired;</w:t>
      </w:r>
    </w:p>
    <w:p>
      <w:pPr>
        <w:spacing w:after="0" w:line="181"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law or any applicable rule, regulation or order;</w:t>
      </w:r>
    </w:p>
    <w:p>
      <w:pPr>
        <w:spacing w:after="0" w:line="215" w:lineRule="exact"/>
        <w:rPr>
          <w:rFonts w:ascii="Times New Roman" w:cs="Times New Roman" w:eastAsia="Times New Roman" w:hAnsi="Times New Roman"/>
          <w:sz w:val="20"/>
          <w:szCs w:val="20"/>
          <w:color w:val="auto"/>
        </w:rPr>
      </w:pPr>
    </w:p>
    <w:p>
      <w:pPr>
        <w:ind w:left="660" w:right="20" w:firstLine="903"/>
        <w:spacing w:after="0" w:line="258" w:lineRule="auto"/>
        <w:tabs>
          <w:tab w:leader="none" w:pos="1946"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other instrument of a Person acquired by the U.S. Borrower or any Restricted Subsidiary in existence at the time of such acquisition (but not created in connection therewith or in contemplation thereof), which encumbrance or restriction is not applicable to any Person, or the properties or assets of any Person, other than the Person, or the property or assets of the Person, so acquired;</w:t>
      </w:r>
    </w:p>
    <w:p>
      <w:pPr>
        <w:spacing w:after="0" w:line="185" w:lineRule="exact"/>
        <w:rPr>
          <w:rFonts w:ascii="Times New Roman" w:cs="Times New Roman" w:eastAsia="Times New Roman" w:hAnsi="Times New Roman"/>
          <w:sz w:val="20"/>
          <w:szCs w:val="20"/>
          <w:color w:val="auto"/>
        </w:rPr>
      </w:pPr>
    </w:p>
    <w:p>
      <w:pPr>
        <w:ind w:left="660" w:firstLine="903"/>
        <w:spacing w:after="0" w:line="261" w:lineRule="auto"/>
        <w:tabs>
          <w:tab w:leader="none" w:pos="1947"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contracts for the sale of assets, including customary restrictions with respect to a Restricted Subsidiary pursuant to an agreement that has been entered into for the sale or disposition of all or substantially all of the Capital Stock or assets of such Restricted Subsidiary;</w:t>
      </w:r>
    </w:p>
    <w:p>
      <w:pPr>
        <w:spacing w:after="0" w:line="181" w:lineRule="exact"/>
        <w:rPr>
          <w:rFonts w:ascii="Times New Roman" w:cs="Times New Roman" w:eastAsia="Times New Roman" w:hAnsi="Times New Roman"/>
          <w:sz w:val="20"/>
          <w:szCs w:val="20"/>
          <w:color w:val="auto"/>
        </w:rPr>
      </w:pPr>
    </w:p>
    <w:p>
      <w:pPr>
        <w:ind w:left="660" w:right="20" w:firstLine="903"/>
        <w:spacing w:after="0" w:line="269" w:lineRule="auto"/>
        <w:tabs>
          <w:tab w:leader="none" w:pos="1948"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Indebtedness otherwise permitted to be incurred pursuant to Sections 6.01 and 6.02 that limit the right of the debtor to dispose of the assets securing such Indebtedness;</w:t>
      </w:r>
    </w:p>
    <w:p>
      <w:pPr>
        <w:spacing w:after="0" w:line="172" w:lineRule="exact"/>
        <w:rPr>
          <w:rFonts w:ascii="Times New Roman" w:cs="Times New Roman" w:eastAsia="Times New Roman" w:hAnsi="Times New Roman"/>
          <w:sz w:val="20"/>
          <w:szCs w:val="20"/>
          <w:color w:val="auto"/>
        </w:rPr>
      </w:pPr>
    </w:p>
    <w:p>
      <w:pPr>
        <w:ind w:left="660" w:right="140" w:firstLine="903"/>
        <w:spacing w:after="0" w:line="269" w:lineRule="auto"/>
        <w:tabs>
          <w:tab w:leader="none" w:pos="2597"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or other deposits or net worth imposed by customers under contracts entered into in the ordinary course of business;</w:t>
      </w:r>
    </w:p>
    <w:p>
      <w:pPr>
        <w:spacing w:after="0" w:line="172" w:lineRule="exact"/>
        <w:rPr>
          <w:rFonts w:ascii="Times New Roman" w:cs="Times New Roman" w:eastAsia="Times New Roman" w:hAnsi="Times New Roman"/>
          <w:sz w:val="20"/>
          <w:szCs w:val="20"/>
          <w:color w:val="auto"/>
        </w:rPr>
      </w:pPr>
    </w:p>
    <w:p>
      <w:pPr>
        <w:ind w:left="660" w:right="160" w:firstLine="903"/>
        <w:spacing w:after="0" w:line="283" w:lineRule="auto"/>
        <w:tabs>
          <w:tab w:leader="none" w:pos="1947"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Disqualified Stock or Preferred Stock of Foreign Subsidiaries permitted to be incurred after the Closing Date pursuant to Section 6.01;</w:t>
      </w:r>
    </w:p>
    <w:p>
      <w:pPr>
        <w:spacing w:after="0" w:line="146"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in joint venture agreements and other similar agreements;</w:t>
      </w:r>
    </w:p>
    <w:p>
      <w:pPr>
        <w:spacing w:after="0" w:line="229"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contained in leases and other agreements entered into in the ordinary course of business;</w:t>
      </w:r>
    </w:p>
    <w:p>
      <w:pPr>
        <w:spacing w:after="0" w:line="215" w:lineRule="exact"/>
        <w:rPr>
          <w:rFonts w:ascii="Times New Roman" w:cs="Times New Roman" w:eastAsia="Times New Roman" w:hAnsi="Times New Roman"/>
          <w:sz w:val="20"/>
          <w:szCs w:val="20"/>
          <w:color w:val="auto"/>
        </w:rPr>
      </w:pPr>
    </w:p>
    <w:p>
      <w:pPr>
        <w:ind w:left="660" w:right="80" w:firstLine="903"/>
        <w:spacing w:after="0" w:line="261" w:lineRule="auto"/>
        <w:tabs>
          <w:tab w:leader="none" w:pos="1948"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restrictions created in connection with any Receivables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Receivables Facilities established after the Closing Date, such restrictions are necessary or advisable, in the good faith determination of the U.S. Borrower, to effect such Receivables Facility;</w:t>
      </w:r>
    </w:p>
    <w:p>
      <w:pPr>
        <w:spacing w:after="0" w:line="181" w:lineRule="exact"/>
        <w:rPr>
          <w:rFonts w:ascii="Times New Roman" w:cs="Times New Roman" w:eastAsia="Times New Roman" w:hAnsi="Times New Roman"/>
          <w:sz w:val="20"/>
          <w:szCs w:val="20"/>
          <w:color w:val="auto"/>
        </w:rPr>
      </w:pPr>
    </w:p>
    <w:p>
      <w:pPr>
        <w:ind w:left="660" w:right="40" w:firstLine="903"/>
        <w:spacing w:after="0" w:line="253" w:lineRule="auto"/>
        <w:tabs>
          <w:tab w:leader="none" w:pos="2597"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restrictions or conditions contained in any trading, netting, operating, construction, service, supply, purchase or other agreement to which the U.S. Borrower or any of its Restricted Subsidiaries is a party entered into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prohibits the encumbrance of solely the property or assets of the U.S. Borrower or such Restricted Subsidiary that are the subject of such agreement, the payment rights arising thereunder or the proceeds thereof and does not extend to any other asset or property of the U.S. Borrower or such Restricted Subsidiary or the assets or property of any other Restricted Subsidiary; and</w:t>
      </w:r>
    </w:p>
    <w:p>
      <w:pPr>
        <w:spacing w:after="0" w:line="192" w:lineRule="exact"/>
        <w:rPr>
          <w:sz w:val="20"/>
          <w:szCs w:val="20"/>
          <w:color w:val="auto"/>
        </w:rPr>
      </w:pPr>
    </w:p>
    <w:p>
      <w:pPr>
        <w:ind w:left="660" w:right="40" w:firstLine="907"/>
        <w:spacing w:after="0" w:line="269" w:lineRule="auto"/>
        <w:rPr>
          <w:sz w:val="20"/>
          <w:szCs w:val="20"/>
          <w:color w:val="auto"/>
        </w:rPr>
      </w:pPr>
      <w:r>
        <w:rPr>
          <w:rFonts w:ascii="Times New Roman" w:cs="Times New Roman" w:eastAsia="Times New Roman" w:hAnsi="Times New Roman"/>
          <w:sz w:val="20"/>
          <w:szCs w:val="20"/>
          <w:color w:val="auto"/>
        </w:rPr>
        <w:t>(xiv)encumbrances or restrictions contained in Indebtedness permitted to be incurred pursuant to Section 6.01(b)(xxii)(B) that apply only to the Person or assets acquired with the proceeds of such Indebtedness;</w:t>
      </w:r>
    </w:p>
    <w:p>
      <w:pPr>
        <w:spacing w:after="0" w:line="173" w:lineRule="exact"/>
        <w:rPr>
          <w:sz w:val="20"/>
          <w:szCs w:val="20"/>
          <w:color w:val="auto"/>
        </w:rPr>
      </w:pPr>
    </w:p>
    <w:p>
      <w:pPr>
        <w:ind w:left="660" w:right="80" w:firstLine="903"/>
        <w:spacing w:after="0" w:line="269" w:lineRule="auto"/>
        <w:tabs>
          <w:tab w:leader="none" w:pos="1951"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or other deposits or net worth imposed by customers under contracts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07" w:name="page308"/>
    <w:bookmarkEnd w:id="307"/>
    <w:p>
      <w:pPr>
        <w:ind w:left="1560"/>
        <w:spacing w:after="0"/>
        <w:rPr>
          <w:sz w:val="20"/>
          <w:szCs w:val="20"/>
          <w:color w:val="auto"/>
        </w:rPr>
      </w:pPr>
      <w:r>
        <w:rPr>
          <w:rFonts w:ascii="Times New Roman" w:cs="Times New Roman" w:eastAsia="Times New Roman" w:hAnsi="Times New Roman"/>
          <w:sz w:val="20"/>
          <w:szCs w:val="20"/>
          <w:color w:val="auto"/>
        </w:rPr>
        <w:t>(xvi)any encumbrances or restrictions of the type referred to in clauses (i), (ii) and (iii) of paragraph (a) of this</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6.08 imposed by any amendments, modifications, restatements, renewals, increases, supplements, refundings, replacements</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or refinancings of the contracts, instruments or obligations referred to in clauses (i) through (xv) of this paragraph (b);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such amendments, modifications, restatements, renewals, increases, supplements, refundings, replacements or refinancings are, in the</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good faith judgment of the U.S. Borrower, not materially more restrictive with respect to such encumbrance and other restrictions</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than those prior to such amendment, modification, restatement, renewal, increase, supplement, refunding, replacement or</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refinancing;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with respect to contracts, instruments or obligations existing on the Closing Date, any</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amendments, modifications, restatements, renewals, increases, supplements, refundings, replacements or refinancings are not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materially more restrictive with respect to such encumbrances and other restrictions than those contained in such contracts,</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instruments or obligations as in effect on the Closing Date; and</w:t>
      </w:r>
    </w:p>
    <w:p>
      <w:pPr>
        <w:spacing w:after="0" w:line="207" w:lineRule="exact"/>
        <w:rPr>
          <w:sz w:val="20"/>
          <w:szCs w:val="20"/>
          <w:color w:val="auto"/>
        </w:rPr>
      </w:pPr>
    </w:p>
    <w:p>
      <w:pPr>
        <w:ind w:left="2600" w:hanging="1037"/>
        <w:spacing w:after="0"/>
        <w:tabs>
          <w:tab w:leader="none" w:pos="2600"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encumbrances or restrictions contained in Indebtedness permitted to be incurred by Section 6.01(b)</w:t>
      </w:r>
    </w:p>
    <w:p>
      <w:pPr>
        <w:spacing w:after="0" w:line="28"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apply only to the Designated Business incurring such Indebtedness.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VI.9 </w:t>
      </w:r>
      <w:r>
        <w:rPr>
          <w:rFonts w:ascii="Times New Roman" w:cs="Times New Roman" w:eastAsia="Times New Roman" w:hAnsi="Times New Roman"/>
          <w:sz w:val="20"/>
          <w:szCs w:val="20"/>
          <w:u w:val="single" w:color="auto"/>
          <w:color w:val="auto"/>
        </w:rPr>
        <w:t>Amendments to Subordinated Indebtedness</w:t>
      </w:r>
    </w:p>
    <w:p>
      <w:pPr>
        <w:spacing w:after="0" w:line="229" w:lineRule="exact"/>
        <w:rPr>
          <w:sz w:val="20"/>
          <w:szCs w:val="20"/>
          <w:color w:val="auto"/>
        </w:rPr>
      </w:pPr>
    </w:p>
    <w:p>
      <w:pPr>
        <w:ind w:right="260" w:firstLine="8"/>
        <w:spacing w:after="0" w:line="261" w:lineRule="auto"/>
        <w:tabs>
          <w:tab w:leader="none" w:pos="99"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U.S. Borrower will not, and will not permit any Subsidiary Guarantor to, amend, modify or alter the documentation governing any Subordinated Indebtedness in any manner that is materially adverse to the interests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Section 6.09 shall no longer apply from and after the 2024 Refinancing Amendments Effective Date.</w:t>
      </w:r>
    </w:p>
    <w:p>
      <w:pPr>
        <w:spacing w:after="0" w:line="73"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VI.10</w:t>
      </w:r>
      <w:r>
        <w:rPr>
          <w:sz w:val="20"/>
          <w:szCs w:val="20"/>
          <w:color w:val="auto"/>
        </w:rPr>
        <w:tab/>
      </w:r>
      <w:r>
        <w:rPr>
          <w:rFonts w:ascii="Times New Roman" w:cs="Times New Roman" w:eastAsia="Times New Roman" w:hAnsi="Times New Roman"/>
          <w:sz w:val="19"/>
          <w:szCs w:val="19"/>
          <w:u w:val="single" w:color="auto"/>
          <w:color w:val="auto"/>
        </w:rPr>
        <w:t>Maximum Consolidated Secured Debt Ratio</w:t>
      </w:r>
    </w:p>
    <w:p>
      <w:pPr>
        <w:spacing w:after="0" w:line="216" w:lineRule="exact"/>
        <w:rPr>
          <w:sz w:val="20"/>
          <w:szCs w:val="20"/>
          <w:color w:val="auto"/>
        </w:rPr>
      </w:pPr>
    </w:p>
    <w:p>
      <w:pPr>
        <w:ind w:right="40" w:firstLine="8"/>
        <w:spacing w:after="0" w:line="261" w:lineRule="auto"/>
        <w:tabs>
          <w:tab w:leader="none" w:pos="99"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so long as any Revolving Commitment, 2024 Refinancing Term A Loan, New Term A Loan or Extended Term Loan in respect of any of the foregoing is outstanding, the U.S. Borrower shall maintain a Consolidated Secured Debt Ratio, as determined as of the last day of each fiscal quarter of the U.S. Borrower, commencing with the fiscal quarter ending June 30, 2017, not to exceed 5.125 to 1.00.</w:t>
      </w:r>
    </w:p>
    <w:p>
      <w:pPr>
        <w:spacing w:after="0" w:line="73"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VI.11</w:t>
      </w:r>
      <w:r>
        <w:rPr>
          <w:sz w:val="20"/>
          <w:szCs w:val="20"/>
          <w:color w:val="auto"/>
        </w:rPr>
        <w:tab/>
      </w:r>
      <w:r>
        <w:rPr>
          <w:rFonts w:ascii="Times New Roman" w:cs="Times New Roman" w:eastAsia="Times New Roman" w:hAnsi="Times New Roman"/>
          <w:sz w:val="19"/>
          <w:szCs w:val="19"/>
          <w:u w:val="single" w:color="auto"/>
          <w:color w:val="auto"/>
        </w:rPr>
        <w:t>Business of U.S. Borrower and Restricted Subsidiaries</w:t>
      </w:r>
    </w:p>
    <w:p>
      <w:pPr>
        <w:spacing w:after="0" w:line="216" w:lineRule="exact"/>
        <w:rPr>
          <w:sz w:val="20"/>
          <w:szCs w:val="20"/>
          <w:color w:val="auto"/>
        </w:rPr>
      </w:pPr>
    </w:p>
    <w:p>
      <w:pPr>
        <w:ind w:right="180" w:firstLine="8"/>
        <w:spacing w:after="0" w:line="258" w:lineRule="auto"/>
        <w:tabs>
          <w:tab w:leader="none" w:pos="99"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and the Restricted Subsidiaries, taken as a whole, will not fundamentally and substantially alter the character of their business, taken as a whole, from the business conducted by the U.S. Borrower and the Restricted Subsidiaries, taken as a whole, on the Closing Date. For the avoidance of doubt, the Disposition of a Designated Business shall not be deemed to fundamentally and substantially alter the character of the business, taken as a whole of the U.S. Borrower and the Restricted Subsidiaries, taken as a whole.</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EVENTS OF DEFAULT</w:t>
      </w:r>
    </w:p>
    <w:p>
      <w:pPr>
        <w:spacing w:after="0" w:line="233"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VII.1</w:t>
      </w:r>
      <w:r>
        <w:rPr>
          <w:sz w:val="20"/>
          <w:szCs w:val="20"/>
          <w:color w:val="auto"/>
        </w:rPr>
        <w:tab/>
      </w:r>
      <w:r>
        <w:rPr>
          <w:rFonts w:ascii="Times New Roman" w:cs="Times New Roman" w:eastAsia="Times New Roman" w:hAnsi="Times New Roman"/>
          <w:sz w:val="19"/>
          <w:szCs w:val="19"/>
          <w:u w:val="single" w:color="auto"/>
          <w:color w:val="auto"/>
        </w:rPr>
        <w:t>Events of Default</w:t>
      </w:r>
    </w:p>
    <w:p>
      <w:pPr>
        <w:spacing w:after="0" w:line="216" w:lineRule="exact"/>
        <w:rPr>
          <w:sz w:val="20"/>
          <w:szCs w:val="20"/>
          <w:color w:val="auto"/>
        </w:rPr>
      </w:pPr>
    </w:p>
    <w:p>
      <w:pPr>
        <w:ind w:left="100" w:hanging="92"/>
        <w:spacing w:after="0"/>
        <w:tabs>
          <w:tab w:leader="none" w:pos="100"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of the following events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shall occur:</w:t>
      </w:r>
    </w:p>
    <w:p>
      <w:pPr>
        <w:spacing w:after="0" w:line="121" w:lineRule="exact"/>
        <w:rPr>
          <w:rFonts w:ascii="Times New Roman" w:cs="Times New Roman" w:eastAsia="Times New Roman" w:hAnsi="Times New Roman"/>
          <w:sz w:val="20"/>
          <w:szCs w:val="20"/>
          <w:color w:val="auto"/>
        </w:rPr>
      </w:pPr>
    </w:p>
    <w:p>
      <w:pPr>
        <w:ind w:left="660" w:right="560" w:firstLine="644"/>
        <w:spacing w:after="0" w:line="269" w:lineRule="auto"/>
        <w:tabs>
          <w:tab w:leader="none" w:pos="1725" w:val="left"/>
        </w:tabs>
        <w:numPr>
          <w:ilvl w:val="1"/>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Any Borrower or any other Loan Party fails to pay (i) when and as required to be paid herein, any amount of principal of any Loan, or (ii) within ten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08" w:name="page309"/>
    <w:bookmarkEnd w:id="308"/>
    <w:p>
      <w:pPr>
        <w:ind w:left="660" w:right="220"/>
        <w:spacing w:after="0" w:line="283" w:lineRule="auto"/>
        <w:rPr>
          <w:sz w:val="20"/>
          <w:szCs w:val="20"/>
          <w:color w:val="auto"/>
        </w:rPr>
      </w:pPr>
      <w:r>
        <w:rPr>
          <w:rFonts w:ascii="Times New Roman" w:cs="Times New Roman" w:eastAsia="Times New Roman" w:hAnsi="Times New Roman"/>
          <w:sz w:val="20"/>
          <w:szCs w:val="20"/>
          <w:color w:val="auto"/>
        </w:rPr>
        <w:t>Business Days after the same becomes due, any interest on any Loan or any other amount payable hereunder or with respect to any other Loan Document; or</w:t>
      </w:r>
    </w:p>
    <w:p>
      <w:pPr>
        <w:spacing w:after="0" w:line="146" w:lineRule="exact"/>
        <w:rPr>
          <w:sz w:val="20"/>
          <w:szCs w:val="20"/>
          <w:color w:val="auto"/>
        </w:rPr>
      </w:pPr>
    </w:p>
    <w:p>
      <w:pPr>
        <w:ind w:left="660" w:right="40" w:firstLine="644"/>
        <w:spacing w:after="0" w:line="269" w:lineRule="auto"/>
        <w:tabs>
          <w:tab w:leader="none" w:pos="1736" w:val="left"/>
        </w:tabs>
        <w:numPr>
          <w:ilvl w:val="1"/>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Specific Covenants</w:t>
      </w:r>
      <w:r>
        <w:rPr>
          <w:rFonts w:ascii="Times New Roman" w:cs="Times New Roman" w:eastAsia="Times New Roman" w:hAnsi="Times New Roman"/>
          <w:sz w:val="19"/>
          <w:szCs w:val="19"/>
          <w:color w:val="auto"/>
        </w:rPr>
        <w:t xml:space="preserve">. The U.S. Borrower fails to perform or observe any term, covenant or agreement contained in any of Sections 5.02(a) or 5.03 (solely with respect to Holdings and the Borrowers), Section 5.09(b) or Article 6;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Event of Default under Section 6.10 shall not constitute an Event of Default with respect to any Term Loans (other than Term Loans referred to in clause (b) of the definition of “Required Financial Covenant Lenders”) until the date on which the Required Financial Covenant Lenders exercise any remedies with respect to the Revolving Facilities and the Term Loans referred to in the definition of “Required Financial Covenant Lenders” in accordance with Section 7.02;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any Event of Default under Section 6.10 may be waived, amended or otherwise modified from time to time by the Required Financial Covenant Lenders; or</w:t>
      </w:r>
    </w:p>
    <w:p>
      <w:pPr>
        <w:spacing w:after="0" w:line="162" w:lineRule="exact"/>
        <w:rPr>
          <w:rFonts w:ascii="Times New Roman" w:cs="Times New Roman" w:eastAsia="Times New Roman" w:hAnsi="Times New Roman"/>
          <w:sz w:val="19"/>
          <w:szCs w:val="19"/>
          <w:color w:val="auto"/>
        </w:rPr>
      </w:pPr>
    </w:p>
    <w:p>
      <w:pPr>
        <w:jc w:val="both"/>
        <w:ind w:left="660" w:right="200" w:firstLine="644"/>
        <w:spacing w:after="0" w:line="275" w:lineRule="auto"/>
        <w:tabs>
          <w:tab w:leader="none" w:pos="1725" w:val="left"/>
        </w:tabs>
        <w:numPr>
          <w:ilvl w:val="1"/>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Defaults</w:t>
      </w:r>
      <w:r>
        <w:rPr>
          <w:rFonts w:ascii="Times New Roman" w:cs="Times New Roman" w:eastAsia="Times New Roman" w:hAnsi="Times New Roman"/>
          <w:sz w:val="19"/>
          <w:szCs w:val="19"/>
          <w:color w:val="auto"/>
        </w:rPr>
        <w:t>. Any Loan Party fails to perform or observe any other covenant or agreement (not specified in Section 7.01(a) or (b) above) contained in any Loan Document on its part to be performed or observed and such failure continues for thirty</w:t>
      </w:r>
    </w:p>
    <w:p>
      <w:pPr>
        <w:ind w:left="1040" w:hanging="384"/>
        <w:spacing w:after="0"/>
        <w:tabs>
          <w:tab w:leader="none" w:pos="104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notice thereof by the Agent to the U.S. Borrower; or</w:t>
      </w:r>
    </w:p>
    <w:p>
      <w:pPr>
        <w:spacing w:after="0" w:line="200" w:lineRule="exact"/>
        <w:rPr>
          <w:rFonts w:ascii="Times New Roman" w:cs="Times New Roman" w:eastAsia="Times New Roman" w:hAnsi="Times New Roman"/>
          <w:sz w:val="20"/>
          <w:szCs w:val="20"/>
          <w:color w:val="auto"/>
        </w:rPr>
      </w:pPr>
    </w:p>
    <w:p>
      <w:pPr>
        <w:ind w:left="660" w:firstLine="644"/>
        <w:spacing w:after="0" w:line="281" w:lineRule="auto"/>
        <w:tabs>
          <w:tab w:leader="none" w:pos="1736" w:val="left"/>
        </w:tabs>
        <w:numPr>
          <w:ilvl w:val="1"/>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Any representation, warranty, certification or statement of fact made or deemed made by or on behalf of the U.S. Borrower or any other Loan Party herein, in any other Loan Document, or in any document required to be delivered in connection herewith or therewith shall be incorrect or misleading in any material respect when made or deemed made; or</w:t>
      </w:r>
    </w:p>
    <w:p>
      <w:pPr>
        <w:spacing w:after="0" w:line="164" w:lineRule="exact"/>
        <w:rPr>
          <w:rFonts w:ascii="Times New Roman" w:cs="Times New Roman" w:eastAsia="Times New Roman" w:hAnsi="Times New Roman"/>
          <w:sz w:val="19"/>
          <w:szCs w:val="19"/>
          <w:color w:val="auto"/>
        </w:rPr>
      </w:pPr>
    </w:p>
    <w:p>
      <w:pPr>
        <w:ind w:left="660" w:right="20" w:firstLine="644"/>
        <w:spacing w:after="0" w:line="249" w:lineRule="auto"/>
        <w:tabs>
          <w:tab w:leader="none" w:pos="1725"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xml:space="preserve">. Any Loan Party or any Restricted Subsidiary (A) fails to make any payment beyond the applicable grace period with respect thereto, if any (whether by scheduled maturity, required prepayment, acceleration, demand, or otherwise) in respect of any Material Indebtedness, or (B) fails to observe or perform any other agreement or condition relating to any such Material Indebtedness, or any other event occurs, the effect of which default or other event is to cause, or to permit the holder or holders of such Material Indebtedness (or a trustee or agent on behalf of such holder or holders or beneficiary or beneficiaries) to cause, with the giving of notice if required, such Material Indebtedness to become due or to be repurchased, prepaid, defeased or redeemed (automatically or otherwise), or an offer to repurchase, prepay, defease or redeem such Indebtedness to be made, prior to its stated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(e)(B) shall not apply to (i) secured Material Indebtedness that becomes due as a result of the voluntary sale or transfer of the property or assets securing such Material Indebtedness, if such sale or transfer is permitted hereunder or (ii) termination events or similar events occurring under any Hedge Agreement that constitutes Material Indebtedness (it being understood that clause (e)(B) will apply to any failure to make any payment required as a result of any such termination or similar event); or</w:t>
      </w:r>
    </w:p>
    <w:p>
      <w:pPr>
        <w:spacing w:after="0" w:line="201" w:lineRule="exact"/>
        <w:rPr>
          <w:rFonts w:ascii="Times New Roman" w:cs="Times New Roman" w:eastAsia="Times New Roman" w:hAnsi="Times New Roman"/>
          <w:sz w:val="20"/>
          <w:szCs w:val="20"/>
          <w:color w:val="auto"/>
        </w:rPr>
      </w:pPr>
    </w:p>
    <w:p>
      <w:pPr>
        <w:ind w:left="660" w:right="60" w:firstLine="644"/>
        <w:spacing w:after="0" w:line="270" w:lineRule="auto"/>
        <w:tabs>
          <w:tab w:leader="none" w:pos="1704" w:val="left"/>
        </w:tabs>
        <w:numPr>
          <w:ilvl w:val="1"/>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Insolvency Proceedings, Etc</w:t>
      </w:r>
      <w:r>
        <w:rPr>
          <w:rFonts w:ascii="Times New Roman" w:cs="Times New Roman" w:eastAsia="Times New Roman" w:hAnsi="Times New Roman"/>
          <w:sz w:val="19"/>
          <w:szCs w:val="19"/>
          <w:color w:val="auto"/>
        </w:rPr>
        <w:t>. Holdings, any Borrower or any Significant Subsidiary institutes or consents to the institution of any proceeding under any Debtor Relief Law, or makes an assignment for the benefit of creditors; or applies for or consents to the appointment of any receiver, receiver-manager, trustee, custodian, conservator, liquidator, rehabilitator, administrator, administrative receiver, examiner or similar officer for it or for all or any material part of its property; or any receiver, trustee, custodian, conservator, liquidator, rehabilitator, administrator, administrative receiver, examiner or similar officer is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09" w:name="page310"/>
    <w:bookmarkEnd w:id="309"/>
    <w:p>
      <w:pPr>
        <w:ind w:left="660"/>
        <w:spacing w:after="0" w:line="265" w:lineRule="auto"/>
        <w:rPr>
          <w:sz w:val="20"/>
          <w:szCs w:val="20"/>
          <w:color w:val="auto"/>
        </w:rPr>
      </w:pPr>
      <w:r>
        <w:rPr>
          <w:rFonts w:ascii="Times New Roman" w:cs="Times New Roman" w:eastAsia="Times New Roman" w:hAnsi="Times New Roman"/>
          <w:sz w:val="19"/>
          <w:szCs w:val="19"/>
          <w:color w:val="auto"/>
        </w:rPr>
        <w:t>without the application or consent of such Person and (except in the case of the U.K. Borrower) the appointment continues undischarged or unstayed for sixty (60) calendar days; or any proceeding under any Debtor Relief Law relating to any such Person or to all or any material part of its property is instituted without the consent of such Person and (x) except in the case of the U.K. Borrower, continues undismissed or unstayed for sixty (60) calendar days, or an order for relief is entered in any such proceeding and</w:t>
      </w:r>
    </w:p>
    <w:p>
      <w:pPr>
        <w:spacing w:after="0" w:line="2" w:lineRule="exact"/>
        <w:rPr>
          <w:sz w:val="20"/>
          <w:szCs w:val="20"/>
          <w:color w:val="auto"/>
        </w:rPr>
      </w:pPr>
    </w:p>
    <w:p>
      <w:pPr>
        <w:ind w:left="660" w:right="320" w:hanging="4"/>
        <w:spacing w:after="0" w:line="260" w:lineRule="auto"/>
        <w:tabs>
          <w:tab w:leader="none" w:pos="940"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winding-up petition relating to a U.K. Borrower, continues undismissed or unstayed for fourteen (14) calendar days from the commencement; or</w:t>
      </w:r>
    </w:p>
    <w:p>
      <w:pPr>
        <w:spacing w:after="0" w:line="181" w:lineRule="exact"/>
        <w:rPr>
          <w:rFonts w:ascii="Times New Roman" w:cs="Times New Roman" w:eastAsia="Times New Roman" w:hAnsi="Times New Roman"/>
          <w:sz w:val="20"/>
          <w:szCs w:val="20"/>
          <w:color w:val="auto"/>
        </w:rPr>
      </w:pPr>
    </w:p>
    <w:p>
      <w:pPr>
        <w:ind w:left="660" w:firstLine="644"/>
        <w:spacing w:after="0" w:line="254" w:lineRule="auto"/>
        <w:tabs>
          <w:tab w:leader="none" w:pos="1736"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(i) Holdings, any Borrower or any Significant Subsidiary becomes unable or admits in writing its inability or fails generally to pay its Material Indebtedness as it becomes due, or (ii) any writ or warrant of attachment or execution or similar process is issued or levied against all or any material part of the property of the Loan Parties, taken as a whole, and is not released, vacated or fully bonded within sixty (60) days after its issue or levy; or</w:t>
      </w:r>
    </w:p>
    <w:p>
      <w:pPr>
        <w:spacing w:after="0" w:line="187" w:lineRule="exact"/>
        <w:rPr>
          <w:rFonts w:ascii="Times New Roman" w:cs="Times New Roman" w:eastAsia="Times New Roman" w:hAnsi="Times New Roman"/>
          <w:sz w:val="20"/>
          <w:szCs w:val="20"/>
          <w:color w:val="auto"/>
        </w:rPr>
      </w:pPr>
    </w:p>
    <w:p>
      <w:pPr>
        <w:ind w:left="660" w:right="80" w:firstLine="644"/>
        <w:spacing w:after="0" w:line="253" w:lineRule="auto"/>
        <w:tabs>
          <w:tab w:leader="none" w:pos="1736"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any Loan Party or any Restricted Subsidiary a final judgment or order for the payment of money in an aggregate amount exceeding $100.0 million (to the extent not covered by independent third-party insurance as to which the insurer has been notified of such judgment or order and has not denied coverage, it being understood for purposes of this Agreement that the issuance of reservation of rights letter will not be considered a denial of coverage) and such judgment or order shall not have been satisfied, vacated, discharged or stayed or bonded pending an appeal for a period of sixty (60) consecutive days; or</w:t>
      </w:r>
    </w:p>
    <w:p>
      <w:pPr>
        <w:spacing w:after="0" w:line="192" w:lineRule="exact"/>
        <w:rPr>
          <w:rFonts w:ascii="Times New Roman" w:cs="Times New Roman" w:eastAsia="Times New Roman" w:hAnsi="Times New Roman"/>
          <w:sz w:val="20"/>
          <w:szCs w:val="20"/>
          <w:color w:val="auto"/>
        </w:rPr>
      </w:pPr>
    </w:p>
    <w:p>
      <w:pPr>
        <w:ind w:left="660" w:right="240" w:firstLine="644"/>
        <w:spacing w:after="0" w:line="251" w:lineRule="auto"/>
        <w:tabs>
          <w:tab w:leader="none" w:pos="1693"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Plan or Multiemployer Plan which has resulted or could reasonably be expected to result in liability of any Loan Party under Title IV of ERISA in an aggregate amount which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in an aggregate amount which could reasonably be expected to result in a Material Adverse Effect; or</w:t>
      </w:r>
    </w:p>
    <w:p>
      <w:pPr>
        <w:spacing w:after="0" w:line="190" w:lineRule="exact"/>
        <w:rPr>
          <w:rFonts w:ascii="Times New Roman" w:cs="Times New Roman" w:eastAsia="Times New Roman" w:hAnsi="Times New Roman"/>
          <w:sz w:val="20"/>
          <w:szCs w:val="20"/>
          <w:color w:val="auto"/>
        </w:rPr>
      </w:pPr>
    </w:p>
    <w:p>
      <w:pPr>
        <w:ind w:left="660" w:firstLine="644"/>
        <w:spacing w:after="0" w:line="269" w:lineRule="auto"/>
        <w:tabs>
          <w:tab w:leader="none" w:pos="1693" w:val="left"/>
        </w:tabs>
        <w:numPr>
          <w:ilvl w:val="1"/>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Invalidity of Loan Documents</w:t>
      </w:r>
      <w:r>
        <w:rPr>
          <w:rFonts w:ascii="Times New Roman" w:cs="Times New Roman" w:eastAsia="Times New Roman" w:hAnsi="Times New Roman"/>
          <w:sz w:val="19"/>
          <w:szCs w:val="19"/>
          <w:color w:val="auto"/>
        </w:rPr>
        <w:t>. Any material provision of any Loan Document, at any time after its execution and delivery and for any reason other than as expressly permitted hereunder or thereunder (including as a result of a transaction permitted under Section 6.03 or 6.05) or as a result of acts or omissions by the Agent or any Lender or the Discharge of Obligations, ceases to be in full force and effect; or any Loan Party or Foreign Borrower contests in writing the validity or enforceability of any provision of any Loan Document; or any Loan Party or Foreign Borrower denies in writing that it has any or further liability or obligation under any Loan Document (other than as a result of the discharge of such Loan Party’s or Foreign Borrower’s obligations hereunder in accordance with the terms of this Agreement), or purports in writing to revoke or rescind any Loan Document; or</w:t>
      </w:r>
    </w:p>
    <w:p>
      <w:pPr>
        <w:spacing w:after="0" w:line="162"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 or</w:t>
      </w:r>
    </w:p>
    <w:p>
      <w:pPr>
        <w:spacing w:after="0" w:line="229" w:lineRule="exact"/>
        <w:rPr>
          <w:rFonts w:ascii="Times New Roman" w:cs="Times New Roman" w:eastAsia="Times New Roman" w:hAnsi="Times New Roman"/>
          <w:sz w:val="20"/>
          <w:szCs w:val="20"/>
          <w:color w:val="auto"/>
        </w:rPr>
      </w:pPr>
    </w:p>
    <w:p>
      <w:pPr>
        <w:ind w:left="660" w:right="220" w:firstLine="644"/>
        <w:spacing w:after="0" w:line="261" w:lineRule="auto"/>
        <w:tabs>
          <w:tab w:leader="none" w:pos="1693"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To the extent unremedied for a period of 10 Business Days (i) after any Responsible Officer of Holdings or the U.S. Borrower obtains knowledge thereof (including upon notice thereof by the Agent to Holdings or the U.S. Borrower) or reasonably should have known thereof, any Collateral Document after delivery thereof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10" w:name="page311"/>
    <w:bookmarkEnd w:id="310"/>
    <w:p>
      <w:pPr>
        <w:ind w:left="660" w:right="40"/>
        <w:spacing w:after="0" w:line="250" w:lineRule="auto"/>
        <w:rPr>
          <w:sz w:val="20"/>
          <w:szCs w:val="20"/>
          <w:color w:val="auto"/>
        </w:rPr>
      </w:pPr>
      <w:r>
        <w:rPr>
          <w:rFonts w:ascii="Times New Roman" w:cs="Times New Roman" w:eastAsia="Times New Roman" w:hAnsi="Times New Roman"/>
          <w:sz w:val="20"/>
          <w:szCs w:val="20"/>
          <w:color w:val="auto"/>
        </w:rPr>
        <w:t>to Section 4.01, 5.11 or 5.12 or pursuant to the Collateral Documents shall for any reason (other than pursuant to the terms thereof including as a result of a transaction permitted under Section 6.03 or 6.05) cease to create a valid and perfected lien, with the priority required by the Collateral Documents, (or other security purported to be created on the applicable Collateral) on and security interest in any portion of the Collateral purported to be covered thereby, subject to Liens permitted under Section 6.02, except to the extent that any such loss of perfection or priority results from the failure of the Agent to maintain possession of certificates actually delivered to it representing securities pledged under the Collateral Documents or to file UCC continuation statements and except as to Collateral consisting of real property to the extent that such losses are covered by a lender’s title insurance policy and such insurer has not denied coverage, or (ii) any of the Equity Interests of the U.S. Borrower ceasing to be pledged pursuant to the Security Agreement free of Liens other than Liens created by the Security Agreement or any nonconsensual Liens arising solely by operation of law, in the case of clauses (i) and (ii), to the extent such Equity Interests or other Collateral have an aggregate fair market value in excess of $100.0 million.</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Notwithstanding anything to the contrary in this Agreement, with respect to any Default or Event of Default, the words “exists,” “is continuing” or similar expressions with respect thereto shall mean that the Default or Event of Default has occurred and has not yet been cured or waived. If any Default or Event of Default (any such Default or Event of Default, an “</w:t>
      </w:r>
      <w:r>
        <w:rPr>
          <w:rFonts w:ascii="Times New Roman" w:cs="Times New Roman" w:eastAsia="Times New Roman" w:hAnsi="Times New Roman"/>
          <w:sz w:val="19"/>
          <w:szCs w:val="19"/>
          <w:u w:val="single" w:color="auto"/>
          <w:color w:val="auto"/>
        </w:rPr>
        <w:t>Initial Default</w:t>
      </w:r>
      <w:r>
        <w:rPr>
          <w:rFonts w:ascii="Times New Roman" w:cs="Times New Roman" w:eastAsia="Times New Roman" w:hAnsi="Times New Roman"/>
          <w:sz w:val="19"/>
          <w:szCs w:val="19"/>
          <w:color w:val="auto"/>
        </w:rPr>
        <w:t>”) occurs due to (i) the failure by any Loan Party to take any action by a specified time, such Initial Default shall be deemed to have been cured at the time, if any, that the applicable Loan Party takes such action or (ii) the taking of any action by any Loan Party that is not then permitted by the terms of this Agreement or any other Loan Document, such Initial Default shall be deemed to be cured on the earlier to occur of (x) the date on which such action would be permitted at such time to be taken under this Agreement and the other Loan Documents) and (y) the date on which such action is unwound or otherwise modified to the extent necessary for such revised action to be permitted at such time by this Agreement and the other Loan Documents. If any Initial Default occurs that is subsequently cured (a “</w:t>
      </w:r>
      <w:r>
        <w:rPr>
          <w:rFonts w:ascii="Times New Roman" w:cs="Times New Roman" w:eastAsia="Times New Roman" w:hAnsi="Times New Roman"/>
          <w:sz w:val="19"/>
          <w:szCs w:val="19"/>
          <w:u w:val="single" w:color="auto"/>
          <w:color w:val="auto"/>
        </w:rPr>
        <w:t>Cured Default</w:t>
      </w:r>
      <w:r>
        <w:rPr>
          <w:rFonts w:ascii="Times New Roman" w:cs="Times New Roman" w:eastAsia="Times New Roman" w:hAnsi="Times New Roman"/>
          <w:sz w:val="19"/>
          <w:szCs w:val="19"/>
          <w:color w:val="auto"/>
        </w:rPr>
        <w:t>”), any other Default or Event of Default resulting from the making or deemed making of any representation or warranty by any Loan Party or the taking of any action by any Loan Party or any Subsidiary of any Loan Party, in each case which subsequent Default or Event of Default would not have arisen had the Cured Default not occurred, shall be deemed to be cured automatically upon, and simultaneous with, the cure of the Cured Default, so long as at the time of such representation, warranty or action, no Responsible Officer of the U.S. Borrower had knowledge of such Initial Default. To the extent not already so notified, the Borrower will provide prompt written notice of any such cure to the Administrative Agent after a Responsible Officer of the U.S. Borrower knows of the occurrence of any such cure. Notwithstanding anything to the contrary in this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7.01, an Initial Default may not be cured pursuant to this Section 7.01:</w:t>
      </w:r>
    </w:p>
    <w:p>
      <w:pPr>
        <w:spacing w:after="0" w:line="207" w:lineRule="exact"/>
        <w:rPr>
          <w:sz w:val="20"/>
          <w:szCs w:val="20"/>
          <w:color w:val="auto"/>
        </w:rPr>
      </w:pPr>
    </w:p>
    <w:p>
      <w:pPr>
        <w:ind w:left="660" w:right="520" w:firstLine="725"/>
        <w:spacing w:after="0" w:line="283" w:lineRule="auto"/>
        <w:tabs>
          <w:tab w:leader="none" w:pos="1944"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Initial Default was due to a failure to perform any covenant set forth in Section 5.09 or Section 6.10, or pursuant to clauses (f), (g), (j), (k) or (l) of this Section 7.01;</w:t>
      </w:r>
    </w:p>
    <w:p>
      <w:pPr>
        <w:spacing w:after="0" w:line="146" w:lineRule="exact"/>
        <w:rPr>
          <w:rFonts w:ascii="Times New Roman" w:cs="Times New Roman" w:eastAsia="Times New Roman" w:hAnsi="Times New Roman"/>
          <w:sz w:val="20"/>
          <w:szCs w:val="20"/>
          <w:color w:val="auto"/>
        </w:rPr>
      </w:pPr>
    </w:p>
    <w:p>
      <w:pPr>
        <w:ind w:left="660" w:right="340" w:firstLine="725"/>
        <w:spacing w:after="0" w:line="283" w:lineRule="auto"/>
        <w:tabs>
          <w:tab w:leader="none" w:pos="1944"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has commenced any remedial action in accordance with Section 7.02 or as otherwise permitted by the Loan Documents;</w:t>
      </w:r>
    </w:p>
    <w:p>
      <w:pPr>
        <w:spacing w:after="0" w:line="146" w:lineRule="exact"/>
        <w:rPr>
          <w:rFonts w:ascii="Times New Roman" w:cs="Times New Roman" w:eastAsia="Times New Roman" w:hAnsi="Times New Roman"/>
          <w:sz w:val="20"/>
          <w:szCs w:val="20"/>
          <w:color w:val="auto"/>
        </w:rPr>
      </w:pPr>
    </w:p>
    <w:p>
      <w:pPr>
        <w:ind w:left="660" w:right="120" w:firstLine="725"/>
        <w:spacing w:after="0" w:line="288" w:lineRule="auto"/>
        <w:tabs>
          <w:tab w:leader="none" w:pos="1944"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(x) any Loan Party or Subsidiary of a Loan Party takes any action that is not permitted during, and as a result of, the continuance of such Initial Default, (y) such action results in the cure of such Initial Default and (z) the applicable Loan Party or Subsidiary had actual knowledge at the time of taking any such action that the Initial Default had occurred and was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11" w:name="page312"/>
    <w:bookmarkEnd w:id="311"/>
    <w:p>
      <w:pPr>
        <w:ind w:left="660" w:right="280" w:firstLine="725"/>
        <w:spacing w:after="0" w:line="310" w:lineRule="auto"/>
        <w:tabs>
          <w:tab w:leader="none" w:pos="1944" w:val="left"/>
        </w:tabs>
        <w:numPr>
          <w:ilvl w:val="0"/>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cure results in material impairment of the rights and remedies of the Lenders, Collateral Agent and Administrative Agent under the Loan Documents with respect to any Default or Event of Default other than the Initial Default; or</w:t>
      </w:r>
    </w:p>
    <w:p>
      <w:pPr>
        <w:spacing w:after="0" w:line="124" w:lineRule="exact"/>
        <w:rPr>
          <w:rFonts w:ascii="Times New Roman" w:cs="Times New Roman" w:eastAsia="Times New Roman" w:hAnsi="Times New Roman"/>
          <w:sz w:val="19"/>
          <w:szCs w:val="19"/>
          <w:color w:val="auto"/>
        </w:rPr>
      </w:pPr>
    </w:p>
    <w:p>
      <w:pPr>
        <w:ind w:left="660" w:firstLine="725"/>
        <w:spacing w:after="0" w:line="261" w:lineRule="auto"/>
        <w:tabs>
          <w:tab w:leader="none" w:pos="1944"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Initial Default for which (x) the U.S. Borrower failed to give notice to the Administrative Agent and the Lenders of such Initial Default in accordance with Section 5.02(a) of this Agreement and (y) the U.S. Borrower had actual knowledge of such failure to give such notice.</w:t>
      </w:r>
    </w:p>
    <w:p>
      <w:pPr>
        <w:spacing w:after="0" w:line="181"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VII.2</w:t>
      </w:r>
      <w:r>
        <w:rPr>
          <w:sz w:val="20"/>
          <w:szCs w:val="20"/>
          <w:color w:val="auto"/>
        </w:rPr>
        <w:tab/>
      </w:r>
      <w:r>
        <w:rPr>
          <w:rFonts w:ascii="Times New Roman" w:cs="Times New Roman" w:eastAsia="Times New Roman" w:hAnsi="Times New Roman"/>
          <w:sz w:val="19"/>
          <w:szCs w:val="19"/>
          <w:u w:val="single" w:color="auto"/>
          <w:color w:val="auto"/>
        </w:rPr>
        <w:t>Remedies upon Event of Default</w:t>
      </w:r>
    </w:p>
    <w:p>
      <w:pPr>
        <w:spacing w:after="0" w:line="229" w:lineRule="exact"/>
        <w:rPr>
          <w:sz w:val="20"/>
          <w:szCs w:val="20"/>
          <w:color w:val="auto"/>
        </w:rPr>
      </w:pPr>
    </w:p>
    <w:p>
      <w:pPr>
        <w:ind w:firstLine="8"/>
        <w:spacing w:after="0" w:line="253" w:lineRule="auto"/>
        <w:tabs>
          <w:tab w:leader="none" w:pos="99"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Event of Default occurs and is continuing, the Agent, at the request of the Required Lenders, shall take any or all of the following actions (it being understood that during any period during which an Event of Default under Section 6.10 exists solely with respect to the Revolving Facilities and the Term Loans included in the definition of “Required Financial Covenant Lenders”, the Agent at the request of the Required Financial Covenant Lenders, shall take any of the actions described below solely as they relate to the Revolving Facilities and the Term Loans included in clause (b) of the definition of “Required Financial Covenant Lenders”):</w:t>
      </w:r>
    </w:p>
    <w:p>
      <w:pPr>
        <w:spacing w:after="0" w:line="83" w:lineRule="exact"/>
        <w:rPr>
          <w:rFonts w:ascii="Times New Roman" w:cs="Times New Roman" w:eastAsia="Times New Roman" w:hAnsi="Times New Roman"/>
          <w:sz w:val="20"/>
          <w:szCs w:val="20"/>
          <w:color w:val="auto"/>
        </w:rPr>
      </w:pPr>
    </w:p>
    <w:p>
      <w:pPr>
        <w:ind w:left="660" w:right="440" w:firstLine="644"/>
        <w:spacing w:after="0" w:line="269" w:lineRule="auto"/>
        <w:tabs>
          <w:tab w:leader="none" w:pos="1725"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Issuing Banks to issue, amend or renew Letters of Credit to be terminated, whereupon such commitments and obligation shall be terminated;</w:t>
      </w:r>
    </w:p>
    <w:p>
      <w:pPr>
        <w:spacing w:after="0" w:line="172" w:lineRule="exact"/>
        <w:rPr>
          <w:rFonts w:ascii="Times New Roman" w:cs="Times New Roman" w:eastAsia="Times New Roman" w:hAnsi="Times New Roman"/>
          <w:sz w:val="20"/>
          <w:szCs w:val="20"/>
          <w:color w:val="auto"/>
        </w:rPr>
      </w:pPr>
    </w:p>
    <w:p>
      <w:pPr>
        <w:ind w:left="660" w:right="200" w:firstLine="644"/>
        <w:spacing w:after="0" w:line="258" w:lineRule="auto"/>
        <w:tabs>
          <w:tab w:leader="none" w:pos="1737"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 and require all outstanding Letters of Credit to be cash collateralized in accordance with Section 2.04(j); and</w:t>
      </w:r>
    </w:p>
    <w:p>
      <w:pPr>
        <w:spacing w:after="0" w:line="172" w:lineRule="exact"/>
        <w:rPr>
          <w:rFonts w:ascii="Times New Roman" w:cs="Times New Roman" w:eastAsia="Times New Roman" w:hAnsi="Times New Roman"/>
          <w:sz w:val="20"/>
          <w:szCs w:val="20"/>
          <w:color w:val="auto"/>
        </w:rPr>
      </w:pPr>
    </w:p>
    <w:p>
      <w:pPr>
        <w:ind w:left="660" w:right="80" w:firstLine="644"/>
        <w:spacing w:after="0" w:line="283" w:lineRule="auto"/>
        <w:tabs>
          <w:tab w:leader="none" w:pos="1725"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Issuing Banks and the Lenders all rights and remedies available to it, the Issuing Banks and the Lenders under the Loan Documents or applicable law;</w:t>
      </w:r>
    </w:p>
    <w:p>
      <w:pPr>
        <w:spacing w:after="0" w:line="14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occurrence of an actual or deemed entry of an order for relief with respect to the U.S. Borrower under the Bankruptcy Code of the United States, the obligation of each Lender to make Loans and any obligation of the Issuing Banks to issue, amend or renew Letters of Credit shall automatically terminate, the unpaid principal amount of all outstanding Loans and all interest and other amounts as aforesaid shall automatically become due and payable, in each case without further act of the Agent, the Issuing Banks or any Lender.</w:t>
      </w:r>
    </w:p>
    <w:p>
      <w:pPr>
        <w:spacing w:after="0" w:line="17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In connection with any acceleration of the Obligations as contemplated above, the Designated Obligations shall, automatically and with no further action required by the Agent, any Loan Party or any Lender, be converted into the Dollar Equivalent, determined as of the date of such acceleration (or, in the case of any LC Disbursements following the date of such acceleration, as of the date of drawing under the applicable Letter of Credit) and from and after such date all amounts accruing and owed to the Lenders in respect of such Designated Obligations shall accrue and be payable in Dollars at the rate otherwise applicable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312" w:name="page313"/>
    <w:bookmarkEnd w:id="312"/>
    <w:p>
      <w:pPr>
        <w:ind w:left="466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AGENT</w:t>
      </w:r>
    </w:p>
    <w:p>
      <w:pPr>
        <w:spacing w:after="0" w:line="23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20"/>
          <w:szCs w:val="20"/>
          <w:color w:val="auto"/>
        </w:rPr>
        <w:t>Each of the Lenders hereby irrevocably appoints the Agent (together with its Affiliates and branches) as its agent and authorizes the Agent to take such actions on its behalf, including execution of the other Loan Documents, and to exercise such powers as are delegated to the Agent by the terms of the Loan Documents, together with such actions and powers as are reasonably incidental thereto.</w:t>
      </w:r>
    </w:p>
    <w:p>
      <w:pPr>
        <w:spacing w:after="0" w:line="73"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The bank serving as the Agent hereunder shall have the same rights and powers in its capacity as a Lender as any other Lender and may exercise the same as though it were not the Agent, and such bank and its Affiliates may accept deposits from, lend money to and generally engage in any kind of business with the Loan Parties or any Subsidiary of a Loan Party or other Affiliate thereof as if it were not the Agent hereunder.</w:t>
      </w:r>
    </w:p>
    <w:p>
      <w:pPr>
        <w:spacing w:after="0" w:line="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The Agent shall also act as the “collateral agent” under the Loan Documents, and each of the Lenders and Issuing Banks (including in its capacities as a holder of Secured Hedging Obligations and Secured Cash Management, as “collateral agent” and any co-agents, sub-agents and attorneys-in-fact appointed by the Agent for purposes of holding or enforcing any Lien on the Collateral (or any portion thereof) granted under the Collateral Documents, or for exercising any rights and remedies thereunder at the direction of the Agent, shall be entitled to the benefits of all provisions of this Article VIII and Article IX (as though such co-agents, sub-agents and attorneys-in-fact were the “collateral agent” under the Loan Documents) as if set forth in full herein with respect thereto.</w:t>
      </w:r>
    </w:p>
    <w:p>
      <w:pPr>
        <w:spacing w:after="0" w:line="8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The Agent shall not have any duties or obligations except those expressly set forth in the Loan Documents. Without limiting the generality of the foregoing, (a) the Agent shall not be subject to any fiduciary or other implied duties, regardless of whether a Default has occurred and is continuing, (b) the Agent shall not have any duty to take any discretionary action or exercise any discretionary powers, except discretionary rights and powers expressly contemplated by the Loan Documents that the Agent is required to exercise in writing as directed by the Required Lenders (or such other number or percentage of the Lenders as shall be necessary under the circumstances as provided in Section</w:t>
      </w:r>
    </w:p>
    <w:p>
      <w:pPr>
        <w:spacing w:after="0" w:line="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9.02), and (c) except as expressly set forth in the Loan Documents, the Agent shall not have any duty to disclose, and shall not be liable for the failure to disclose, any information relating to any Loan Party or any of its Subsidiaries that is communicated to or obtained by the bank serving as Agent or any of its Affiliates in any capacity. The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court of competent jurisdiction by a final and nonappealable judgment. The Agent shall be deemed not to have knowledge of any Default unless and until written notice thereof is given to the Agent by the U.S. Borrower or a Lender, and the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value or sufficiency of the Collateral or the creation, perfection or priority of Liens on the Collateral or the existence of the Collateral, or (vi) the satisfaction of any condition set forth in Article IV or elsewhere in any Loan Document, other than to confirm receipt of items expressly required to be delivered to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09" w:right="339" w:bottom="1440" w:gutter="0" w:footer="0" w:header="0"/>
        </w:sectPr>
      </w:pPr>
    </w:p>
    <w:bookmarkStart w:id="313" w:name="page314"/>
    <w:bookmarkEnd w:id="313"/>
    <w:p>
      <w:pPr>
        <w:ind w:right="60"/>
        <w:spacing w:after="0" w:line="253" w:lineRule="auto"/>
        <w:rPr>
          <w:sz w:val="20"/>
          <w:szCs w:val="20"/>
          <w:color w:val="auto"/>
        </w:rPr>
      </w:pPr>
      <w:r>
        <w:rPr>
          <w:rFonts w:ascii="Times New Roman" w:cs="Times New Roman" w:eastAsia="Times New Roman" w:hAnsi="Times New Roman"/>
          <w:sz w:val="20"/>
          <w:szCs w:val="20"/>
          <w:color w:val="auto"/>
        </w:rPr>
        <w:t>The Agent shall be entitled to rely upon, and shall not incur any liability for relying upon, any notice, request, certificate, consent, statement, instrument, document or other writing believed by it to be genuine and to have been signed or sent by the proper Person. The Agent also may rely upon any statement made to it orally or by telephone and believed by it to be made by the proper Person, and shall not incur any liability for relying thereon. The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Agent may perform any and all its duties and exercise its rights and powers by or through any one or more sub-agents appointed by the Agent. The Agent and any such sub-agent may perform any and all its duties and exercise its rights and powers through their respective Related Parties. The exculpatory provisions of the preceding paragraphs shall apply to any such sub-agent and to the Related Parties of the Agent and any such sub-agent, and shall apply to their respective activities in connection with the syndication of the credit facilities provided for herein as well as activities as Agent.</w:t>
      </w:r>
    </w:p>
    <w:p>
      <w:pPr>
        <w:spacing w:after="0" w:line="84" w:lineRule="exact"/>
        <w:rPr>
          <w:sz w:val="20"/>
          <w:szCs w:val="20"/>
          <w:color w:val="auto"/>
        </w:rPr>
      </w:pPr>
    </w:p>
    <w:p>
      <w:pPr>
        <w:ind w:right="440"/>
        <w:spacing w:after="0" w:line="254" w:lineRule="auto"/>
        <w:rPr>
          <w:sz w:val="20"/>
          <w:szCs w:val="20"/>
          <w:color w:val="auto"/>
        </w:rPr>
      </w:pPr>
      <w:r>
        <w:rPr>
          <w:rFonts w:ascii="Times New Roman" w:cs="Times New Roman" w:eastAsia="Times New Roman" w:hAnsi="Times New Roman"/>
          <w:sz w:val="20"/>
          <w:szCs w:val="20"/>
          <w:color w:val="auto"/>
        </w:rPr>
        <w:t>Each of the Lenders, the Issuing Banks and the Loan Parties agree, that the Agent may, but shall not be obligated to, make the Approved Electronic Communications available to the Lenders and the Issuing Banks by posting such Approved Electronic Communications on IntraLinks™ or a substantially similar electronic platform chosen by the Agent to be its electronic transmission system (the “</w:t>
      </w:r>
      <w:r>
        <w:rPr>
          <w:rFonts w:ascii="Times New Roman" w:cs="Times New Roman" w:eastAsia="Times New Roman" w:hAnsi="Times New Roman"/>
          <w:sz w:val="20"/>
          <w:szCs w:val="20"/>
          <w:u w:val="single" w:color="auto"/>
          <w:color w:val="auto"/>
        </w:rPr>
        <w:t>Approved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Electronic Platform</w:t>
      </w:r>
      <w:r>
        <w:rPr>
          <w:rFonts w:ascii="Times New Roman" w:cs="Times New Roman" w:eastAsia="Times New Roman" w:hAnsi="Times New Roman"/>
          <w:sz w:val="20"/>
          <w:szCs w:val="20"/>
          <w:color w:val="auto"/>
        </w:rPr>
        <w:t>”).</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Agent from time to time (including, as of the Closing Date, a dual firewall and a User ID/Password Authorization System) and the Approved Electronic Platform is secured through a single-user-per-deal authorization method whereby each user may access the Approved Electronic Platform only on a deal-by-deal basis, each of the Lenders and the Issuing Banks and the Loan Parties acknowledge and agree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Lenders, the Loan Parties and the Issuing Banks hereby approve distribution of the Approved Electronic Communications through the Approved Electronic Platform and understands and assumes the risks of such distribution.</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Approved Electronic Communications and the Approved Electronic Platform are provided “as is” and “as available.” None of the Agent or any of its Affiliates or any of their respective officers, directors, employees, agents, advisors or representatives (the “</w:t>
      </w:r>
      <w:r>
        <w:rPr>
          <w:rFonts w:ascii="Times New Roman" w:cs="Times New Roman" w:eastAsia="Times New Roman" w:hAnsi="Times New Roman"/>
          <w:sz w:val="20"/>
          <w:szCs w:val="20"/>
          <w:u w:val="single" w:color="auto"/>
          <w:color w:val="auto"/>
        </w:rPr>
        <w:t>Agent Affiliates</w:t>
      </w:r>
      <w:r>
        <w:rPr>
          <w:rFonts w:ascii="Times New Roman" w:cs="Times New Roman" w:eastAsia="Times New Roman" w:hAnsi="Times New Roman"/>
          <w:sz w:val="20"/>
          <w:szCs w:val="20"/>
          <w:color w:val="auto"/>
        </w:rPr>
        <w:t>”) warrant the accuracy, adequacy or completeness of the Approved Electronic Communications and the Approved Electronic Platform and each expressly disclaims liability for errors or omissions in the Approved Electronic Communications and the Approved Electronic Platform. No warranty of any kind, express, implied or statutory (including, without limitation, any warranty of merchantability, fitness for a particular purpose, noninfringement of third party rights or freedom from viruses or other code defects) is made by the Agent Affiliates in connection with the approved electronic communications or the approved electronic platform.</w:t>
      </w:r>
    </w:p>
    <w:p>
      <w:pPr>
        <w:spacing w:after="0" w:line="7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20"/>
          <w:szCs w:val="20"/>
          <w:color w:val="auto"/>
        </w:rPr>
        <w:t>Each of the Lenders, the Issuing Banks and the Loan Parties agrees that the Agent may, but (except as may be required by applicable law) shall not be obligated to, store the Approved Electronic Communications on the Approved Electronic Platform in accordance with the Agent’s generally-applicable document retention procedures and policies.</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Subject to the appointment and acceptance of a successor Agent as provided in this paragraph, the Agent may resign at any time by notifying the Lenders, the Issuing Banks and the U.S. Borrower. Upon any such resignation, the Required Lenders shall have the right, with the consent (not to be unreasonably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14" w:name="page315"/>
    <w:bookmarkEnd w:id="314"/>
    <w:p>
      <w:pPr>
        <w:ind w:right="20"/>
        <w:spacing w:after="0" w:line="250" w:lineRule="auto"/>
        <w:rPr>
          <w:sz w:val="20"/>
          <w:szCs w:val="20"/>
          <w:color w:val="auto"/>
        </w:rPr>
      </w:pPr>
      <w:r>
        <w:rPr>
          <w:rFonts w:ascii="Times New Roman" w:cs="Times New Roman" w:eastAsia="Times New Roman" w:hAnsi="Times New Roman"/>
          <w:sz w:val="20"/>
          <w:szCs w:val="20"/>
          <w:color w:val="auto"/>
        </w:rPr>
        <w:t xml:space="preserve">withheld or delayed) of the U.S. Borrower, to appoint a successor;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the existence and continuation of an Event of Default, no consent of the U.S. Borrower shall be required. If no successor shall have been so appointed by the Required Lenders and shall have accepted such appointment within thirty (30) days after the retiring Agent gives notice of its resignation, then the retiring Agent may, on behalf of the Lenders and the Issuing Banks appoint a successor Agent which shall be a commercial bank or an Affiliate of any such commercial bank reasonably acceptable to the U.S. Borrower.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Borrowers to a successor Agent shall be the same as those payable to its predecessor unless otherwise agreed between the Borrowers and such successor. After the Agent’s resignation hereunder, the provisions of this Article and Section 9.03 shall continue in effect for the benefit of such retiring Agent, its sub-agents and their respective Related Parties in respect of any actions taken or omitted to be taken by any of them while it was acting as Agent.</w:t>
      </w:r>
    </w:p>
    <w:p>
      <w:pPr>
        <w:spacing w:after="0" w:line="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Each Lender acknowledges that it has, independently and without reliance upon the Agent, any Joint Lead Arranger, any Co-Documentation Agent or any other Lender or a Related Party of any of the foregoing and based on such documents and information as it has deemed appropriate, made its own credit analysis and decision to enter into this Agreement. Each Lender also acknowledges that it will, independently and without reliance upon the Agent, any Joint Lead Arranger, any Co-Documentation Agent or any other Lender or a Related Party of any of the foregoing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w:t>
      </w:r>
    </w:p>
    <w:p>
      <w:pPr>
        <w:spacing w:after="0" w:line="71"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The co-arrangers, joint bookrunners, co-syndication agents and the co-documentation agent shall not have any right, power, obligation, liability, responsibility or duty under this Agreement other than those applicable to all Lenders as such.</w:t>
      </w:r>
    </w:p>
    <w:p>
      <w:pPr>
        <w:spacing w:after="0" w:line="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Each Lender authorizes and directs the Agent to, upon the request of the U.S. Borrower, enter into any intercreditor agreement with any agent under any Receivables Facility of the U.S. Borrower or any of its Restricted Subsidiaries and each Lender agrees to be bound by the terms thereof that are applicable to it thereunder.</w:t>
      </w:r>
    </w:p>
    <w:p>
      <w:pPr>
        <w:spacing w:after="0" w:line="73"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20"/>
          <w:szCs w:val="20"/>
          <w:color w:val="auto"/>
        </w:rPr>
        <w:t>Any supplement to this agreement effecting any Subsidiary of the U.S. Borrower becoming an Additional Foreign Borrower may include “parallel debt” provisions or similar customary provisions for credit facilities of borrowers organized in the jurisdiction of organization of such Additional Foreign Borrower.</w:t>
      </w:r>
    </w:p>
    <w:p>
      <w:pPr>
        <w:spacing w:after="0" w:line="73"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VIII.1</w:t>
      </w:r>
      <w:r>
        <w:rPr>
          <w:sz w:val="20"/>
          <w:szCs w:val="20"/>
          <w:color w:val="auto"/>
        </w:rPr>
        <w:tab/>
      </w:r>
      <w:r>
        <w:rPr>
          <w:rFonts w:ascii="Times New Roman" w:cs="Times New Roman" w:eastAsia="Times New Roman" w:hAnsi="Times New Roman"/>
          <w:sz w:val="19"/>
          <w:szCs w:val="19"/>
          <w:u w:val="single" w:color="auto"/>
          <w:color w:val="auto"/>
        </w:rPr>
        <w:t>Credit Bidding</w:t>
      </w:r>
    </w:p>
    <w:p>
      <w:pPr>
        <w:spacing w:after="0" w:line="216" w:lineRule="exact"/>
        <w:rPr>
          <w:sz w:val="20"/>
          <w:szCs w:val="20"/>
          <w:color w:val="auto"/>
        </w:rPr>
      </w:pPr>
    </w:p>
    <w:p>
      <w:pPr>
        <w:ind w:right="100" w:firstLine="8"/>
        <w:spacing w:after="0" w:line="266" w:lineRule="auto"/>
        <w:tabs>
          <w:tab w:leader="none" w:pos="99"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Secured Parties hereby irrevocably authorize the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or (b) at any other sale, foreclosure or acceptance of collateral in lieu of debt conducted by (or with the consent or at the direction of) the Agent (whether by judicial action or otherwise) in accordance with any applicable law. In connection with any such credit bid and purchase, the Obligations owed to the Secured Parties shall be entitled to be, and shall be, credit bid by the Agent at the direction of the Required Lenders on a ratable basis (with Obligations with respect to contingent or unliquidated claims receiving contingent interests in the acquired assets on a ratable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15" w:name="page316"/>
    <w:bookmarkEnd w:id="315"/>
    <w:p>
      <w:pPr>
        <w:ind w:right="20"/>
        <w:spacing w:after="0" w:line="249" w:lineRule="auto"/>
        <w:rPr>
          <w:sz w:val="20"/>
          <w:szCs w:val="20"/>
          <w:color w:val="auto"/>
        </w:rPr>
      </w:pPr>
      <w:r>
        <w:rPr>
          <w:rFonts w:ascii="Times New Roman" w:cs="Times New Roman" w:eastAsia="Times New Roman" w:hAnsi="Times New Roman"/>
          <w:sz w:val="20"/>
          <w:szCs w:val="20"/>
          <w:color w:val="auto"/>
        </w:rPr>
        <w:t>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Agent shall be authorized to adopt documents providing for the governance of the acquisition vehicle or vehicles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actions by the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Agent may reasonably request in connection with the formation of any acquisition vehicle, the formulation or submission of any credit bid or the consummation of the transactions contemplated by such credit bid.</w:t>
      </w:r>
    </w:p>
    <w:p>
      <w:pPr>
        <w:spacing w:after="0" w:line="79"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VIII.2</w:t>
      </w:r>
      <w:r>
        <w:rPr>
          <w:sz w:val="20"/>
          <w:szCs w:val="20"/>
          <w:color w:val="auto"/>
        </w:rPr>
        <w:tab/>
      </w:r>
      <w:r>
        <w:rPr>
          <w:rFonts w:ascii="Times New Roman" w:cs="Times New Roman" w:eastAsia="Times New Roman" w:hAnsi="Times New Roman"/>
          <w:sz w:val="19"/>
          <w:szCs w:val="19"/>
          <w:u w:val="single" w:color="auto"/>
          <w:color w:val="auto"/>
        </w:rPr>
        <w:t>Withholding Taxes</w:t>
      </w:r>
    </w:p>
    <w:p>
      <w:pPr>
        <w:spacing w:after="0" w:line="229" w:lineRule="exact"/>
        <w:rPr>
          <w:sz w:val="20"/>
          <w:szCs w:val="20"/>
          <w:color w:val="auto"/>
        </w:rPr>
      </w:pPr>
    </w:p>
    <w:p>
      <w:pPr>
        <w:ind w:firstLine="1304"/>
        <w:spacing w:after="0" w:line="250" w:lineRule="auto"/>
        <w:tabs>
          <w:tab w:leader="none" w:pos="1934"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To the extent required by any applicable laws, the Agent may withhold from any payment to any Lender an amount equivalent to any applicable withholding Tax. Without limiting or expanding the provisions of Section 2.15, each Lender shall indemnify and hold harmless the Agent against, within ten (10) days after written demand therefor, any and all Taxes and any and all related losses, claims, liabilities and expenses (including fees, charges and disbursements of any counsel for the Agent) incurred by or asserted against the Agent by the IRS or any other Governmental Authority as a result of the failure of the Agent to properly withhold Tax from amounts paid to or for the account of any Lender for any reason (including, without limitation, because the appropriate form was not delivered or not properly executed, or because such Lender failed to notify the Agent of a change in circumstance that rendered the exemption from, or reduction of withholding Tax ineffective).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against any amount due the Agent under this Article VIII. For the avoidance of doubt, a “Lender” shall,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16" w:name="page317"/>
    <w:bookmarkEnd w:id="316"/>
    <w:p>
      <w:pPr>
        <w:ind w:right="20"/>
        <w:spacing w:after="0" w:line="261" w:lineRule="auto"/>
        <w:rPr>
          <w:sz w:val="20"/>
          <w:szCs w:val="20"/>
          <w:color w:val="auto"/>
        </w:rPr>
      </w:pPr>
      <w:r>
        <w:rPr>
          <w:rFonts w:ascii="Times New Roman" w:cs="Times New Roman" w:eastAsia="Times New Roman" w:hAnsi="Times New Roman"/>
          <w:sz w:val="20"/>
          <w:szCs w:val="20"/>
          <w:color w:val="auto"/>
        </w:rPr>
        <w:t>paragraph, include any Issuing Bank. The agreements in this paragraph shall survive the resignation and/or replacement of the Agent, any assignment of rights by, or the replacement of, a Lender, the termination of the Commitments and the repayment, satisfaction or discharge of all other Obligations.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IX.1 </w:t>
      </w:r>
      <w:r>
        <w:rPr>
          <w:rFonts w:ascii="Times New Roman" w:cs="Times New Roman" w:eastAsia="Times New Roman" w:hAnsi="Times New Roman"/>
          <w:sz w:val="20"/>
          <w:szCs w:val="20"/>
          <w:u w:val="single" w:color="auto"/>
          <w:color w:val="auto"/>
        </w:rPr>
        <w:t>Notices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1304"/>
        <w:spacing w:after="0" w:line="261" w:lineRule="auto"/>
        <w:tabs>
          <w:tab w:leader="none" w:pos="1934"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facsimile, as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any Loan Party or any Foreign Borrower, to it in care of the U.S. Borrower at:</w:t>
      </w:r>
    </w:p>
    <w:p>
      <w:pPr>
        <w:spacing w:after="0" w:line="1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Aramark Services,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1101 Market Street</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Philadelphia, PA 19107</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Treasurer</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Facsimile No: (215) 413-8841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w:t>
      </w:r>
    </w:p>
    <w:p>
      <w:pPr>
        <w:spacing w:after="0" w:line="1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Aramark Services, Inc.</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1101 Market Street</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Philadelphia, PA 19107</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Facsimile No: (215) 238-3388</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Simpson Thacher &amp; Bartlett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425 Lexington Avenue</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New York, New York 10017</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Eli Isak</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Fax No.: (212) 455-2722</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Address: eisak@stblaw.com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60"/>
          </w:cols>
          <w:pgMar w:left="320" w:top="1413" w:right="419" w:bottom="1440" w:gutter="0" w:footer="0" w:header="0"/>
        </w:sectPr>
      </w:pPr>
    </w:p>
    <w:bookmarkStart w:id="317" w:name="page318"/>
    <w:bookmarkEnd w:id="317"/>
    <w:p>
      <w:pPr>
        <w:ind w:left="1300"/>
        <w:spacing w:after="0"/>
        <w:rPr>
          <w:sz w:val="20"/>
          <w:szCs w:val="20"/>
          <w:color w:val="auto"/>
        </w:rPr>
      </w:pPr>
      <w:r>
        <w:rPr>
          <w:rFonts w:ascii="Times New Roman" w:cs="Times New Roman" w:eastAsia="Times New Roman" w:hAnsi="Times New Roman"/>
          <w:sz w:val="20"/>
          <w:szCs w:val="20"/>
          <w:color w:val="auto"/>
        </w:rPr>
        <w:t>if to the Administrative Agent, to it at the notice information provided separately to the U.S. Borrower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w:t>
      </w:r>
    </w:p>
    <w:p>
      <w:pPr>
        <w:spacing w:after="0" w:line="1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1271 Avenue of the Americas</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New York, New York 10020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Corey Wright</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Address: corey.wright@lw.com</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Collateral Agent, to it at the notice information provided separately to the U.S. Borrower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w:t>
      </w:r>
    </w:p>
    <w:p>
      <w:pPr>
        <w:spacing w:after="0" w:line="1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1271 Avenue of the Americas</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New York, New York 10020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Corey Wright</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Address: corey.wright@lw.com</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respective Issuing Banks for Letters of Credit (as applicable):</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JPMorgan Chase Bank, N.A., at the notice information provided separately to the U.S. Borrower</w:t>
      </w:r>
    </w:p>
    <w:p>
      <w:pPr>
        <w:spacing w:after="0" w:line="26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JPMorgan Chase Bank, N.A., at the notice information provided separately to the U.S. Borrower</w:t>
      </w:r>
    </w:p>
    <w:p>
      <w:pPr>
        <w:spacing w:after="0" w:line="26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Goldman Sachs Lending Partners LLC</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C/o Goldman Sachs Loan Operations</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Letter of Credit Dpt. Manager</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6011 Connection Drive</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Irving, TX 75039</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Facimile No.: 917-977-4587</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E-mail Address: </w:t>
      </w:r>
      <w:r>
        <w:rPr>
          <w:rFonts w:ascii="Times New Roman" w:cs="Times New Roman" w:eastAsia="Times New Roman" w:hAnsi="Times New Roman"/>
          <w:sz w:val="20"/>
          <w:szCs w:val="20"/>
          <w:u w:val="single" w:color="auto"/>
          <w:color w:val="0000FF"/>
        </w:rPr>
        <w:t>GS-LOC-OPERATIONS@NY.EMAIL.GS.COM</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 Fleet Way</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PA6-580-02-30</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Scranton, PA 18507-1999</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Charles Herron</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Facsimile No.: 800-755-8743</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E-mail Address: </w:t>
      </w:r>
      <w:r>
        <w:rPr>
          <w:rFonts w:ascii="Times New Roman" w:cs="Times New Roman" w:eastAsia="Times New Roman" w:hAnsi="Times New Roman"/>
          <w:sz w:val="20"/>
          <w:szCs w:val="20"/>
          <w:u w:val="single" w:color="auto"/>
          <w:color w:val="0000FF"/>
        </w:rPr>
        <w:t>Charles.P.Herron@baml.com</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Credit Suisse AG</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Trade Finance Services Department</w:t>
      </w:r>
    </w:p>
    <w:p>
      <w:pPr>
        <w:ind w:left="1960"/>
        <w:spacing w:after="0"/>
        <w:rPr>
          <w:sz w:val="20"/>
          <w:szCs w:val="20"/>
          <w:color w:val="auto"/>
        </w:rPr>
      </w:pPr>
      <w:r>
        <w:rPr>
          <w:rFonts w:ascii="Times New Roman" w:cs="Times New Roman" w:eastAsia="Times New Roman" w:hAnsi="Times New Roman"/>
          <w:sz w:val="20"/>
          <w:szCs w:val="20"/>
          <w:color w:val="auto"/>
        </w:rPr>
        <w:t>Eleven Madison Avenue, 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0139"/>
          </w:cols>
          <w:pgMar w:left="320" w:top="1413" w:right="1440" w:bottom="1440" w:gutter="0" w:footer="0" w:header="0"/>
        </w:sectPr>
      </w:pPr>
    </w:p>
    <w:bookmarkStart w:id="318" w:name="page319"/>
    <w:bookmarkEnd w:id="318"/>
    <w:p>
      <w:pPr>
        <w:ind w:left="1960"/>
        <w:spacing w:after="0"/>
        <w:rPr>
          <w:sz w:val="20"/>
          <w:szCs w:val="20"/>
          <w:color w:val="auto"/>
        </w:rPr>
      </w:pPr>
      <w:r>
        <w:rPr>
          <w:rFonts w:ascii="Times New Roman" w:cs="Times New Roman" w:eastAsia="Times New Roman" w:hAnsi="Times New Roman"/>
          <w:sz w:val="20"/>
          <w:szCs w:val="20"/>
          <w:color w:val="auto"/>
        </w:rPr>
        <w:t>New York, New York 10010</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Facsimile No.: (212) 325-8315</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E-mail Address: </w:t>
      </w:r>
      <w:r>
        <w:rPr>
          <w:rFonts w:ascii="Times New Roman" w:cs="Times New Roman" w:eastAsia="Times New Roman" w:hAnsi="Times New Roman"/>
          <w:sz w:val="20"/>
          <w:szCs w:val="20"/>
          <w:u w:val="single" w:color="auto"/>
          <w:color w:val="0000FF"/>
        </w:rPr>
        <w:t>list.ib-lettersofcredit-ny@credit-suisse.com</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Wells Fargo Bank, N.A.</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One South Broad St.,</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8th Floor, Y1375-086</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Philadelphia, PA 19107</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James Travagline</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Facsimile No: 267-321-6700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E-Mail Address: </w:t>
      </w:r>
      <w:r>
        <w:rPr>
          <w:rFonts w:ascii="Times New Roman" w:cs="Times New Roman" w:eastAsia="Times New Roman" w:hAnsi="Times New Roman"/>
          <w:sz w:val="20"/>
          <w:szCs w:val="20"/>
          <w:color w:val="0000FF"/>
        </w:rPr>
        <w:t>james.travagline@wellsfargo.com</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Barclays</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700 Prides Crossing</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Newark, DE 19713</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Millie Ado</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Facsimile No.: (201) 510 8101</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E-mail Address: </w:t>
      </w:r>
      <w:r>
        <w:rPr>
          <w:rFonts w:ascii="Times New Roman" w:cs="Times New Roman" w:eastAsia="Times New Roman" w:hAnsi="Times New Roman"/>
          <w:sz w:val="20"/>
          <w:szCs w:val="20"/>
          <w:u w:val="single" w:color="auto"/>
          <w:color w:val="0000FF"/>
        </w:rPr>
        <w:t>12015108101@tls.ldsprod.com</w:t>
      </w:r>
    </w:p>
    <w:p>
      <w:pPr>
        <w:spacing w:after="0" w:line="24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PNC Bank, N.A.</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300 Fifth Avenue</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Pittsburgh, PA 15222</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Lisa Pierce</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Facsimile No: 412-762-2760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E-Mail Address: </w:t>
      </w:r>
      <w:r>
        <w:rPr>
          <w:rFonts w:ascii="Times New Roman" w:cs="Times New Roman" w:eastAsia="Times New Roman" w:hAnsi="Times New Roman"/>
          <w:sz w:val="20"/>
          <w:szCs w:val="20"/>
          <w:u w:val="single" w:color="auto"/>
          <w:color w:val="0000FF"/>
        </w:rPr>
        <w:t>lisa.pierce@pnc.com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The Bank of Tokyo-Mitsubishi UFJ, Ltd., Canada Branch</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Suite 1800, 200 Bay Street, RBC South Tower, Toronto, ON, M5J 2J1</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Theresa Algenio</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Facsimile No: 416-367-3579</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Address: talgenio@ca.mufg.jp</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Morgan Stanley Bank, N.A.</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1300 Thames Street Wharf, 4th floor Baltimore, MD 21231</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Morgan Stanley Loan Servicing</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Facsimile No: 718-233-2140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E-Mail Address: </w:t>
      </w:r>
      <w:r>
        <w:rPr>
          <w:rFonts w:ascii="Times New Roman" w:cs="Times New Roman" w:eastAsia="Times New Roman" w:hAnsi="Times New Roman"/>
          <w:sz w:val="20"/>
          <w:szCs w:val="20"/>
          <w:u w:val="single" w:color="auto"/>
          <w:color w:val="0000FF"/>
        </w:rPr>
        <w:t>msloanservicing@morganstanley.com</w:t>
      </w:r>
    </w:p>
    <w:p>
      <w:pPr>
        <w:spacing w:after="0" w:line="2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if to any other Lender, to it at its address or facsimile number set forth in its Administrative Questionnaire.</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 xml:space="preserve">All such notices and other communications (i) sent by hand or overnight courier service, or mailed by certified or registered mail, shall be deemed to have been given when received or (ii) sent by facsimile shall be deemed to have been given when sent and when receipt has been confirmed by telephone;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normal business hours for the recipient, shall be deemed to have been given at the opening of business on the next Business Day for the recipient.</w:t>
      </w:r>
    </w:p>
    <w:p>
      <w:pPr>
        <w:spacing w:after="0" w:line="187" w:lineRule="exact"/>
        <w:rPr>
          <w:sz w:val="20"/>
          <w:szCs w:val="20"/>
          <w:color w:val="auto"/>
        </w:rPr>
      </w:pPr>
    </w:p>
    <w:p>
      <w:pPr>
        <w:ind w:firstLine="1304"/>
        <w:spacing w:after="0" w:line="283" w:lineRule="auto"/>
        <w:tabs>
          <w:tab w:leader="none" w:pos="1932"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and other communications to the Lenders and the Issuing Banks hereunder may be delivered or furnished by using Electronic Systems pursuant to procedures approved by</w:t>
      </w:r>
    </w:p>
    <w:p>
      <w:pPr>
        <w:sectPr>
          <w:pgSz w:w="11900" w:h="16838" w:orient="portrait"/>
          <w:cols w:equalWidth="0" w:num="1">
            <w:col w:w="11180"/>
          </w:cols>
          <w:pgMar w:left="320" w:top="141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180"/>
          </w:cols>
          <w:pgMar w:left="320" w:top="1413" w:right="399" w:bottom="1440" w:gutter="0" w:footer="0" w:header="0"/>
          <w:type w:val="continuous"/>
        </w:sectPr>
      </w:pPr>
    </w:p>
    <w:bookmarkStart w:id="319" w:name="page320"/>
    <w:bookmarkEnd w:id="319"/>
    <w:p>
      <w:pPr>
        <w:ind w:right="300"/>
        <w:spacing w:after="0" w:line="258" w:lineRule="auto"/>
        <w:rPr>
          <w:sz w:val="20"/>
          <w:szCs w:val="20"/>
          <w:color w:val="auto"/>
        </w:rPr>
      </w:pPr>
      <w:r>
        <w:rPr>
          <w:rFonts w:ascii="Times New Roman" w:cs="Times New Roman" w:eastAsia="Times New Roman" w:hAnsi="Times New Roman"/>
          <w:sz w:val="20"/>
          <w:szCs w:val="20"/>
          <w:color w:val="auto"/>
        </w:rPr>
        <w:t xml:space="preserve">the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Article II unless otherwise agreed by the Agent and the applicable Lender. The Agent or the U.S. Borrower (on behalf of the Loan Parties)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72" w:lineRule="exact"/>
        <w:rPr>
          <w:sz w:val="20"/>
          <w:szCs w:val="20"/>
          <w:color w:val="auto"/>
        </w:rPr>
      </w:pPr>
    </w:p>
    <w:p>
      <w:pPr>
        <w:ind w:left="660" w:right="80" w:firstLine="648"/>
        <w:spacing w:after="0" w:line="253" w:lineRule="auto"/>
        <w:rPr>
          <w:sz w:val="20"/>
          <w:szCs w:val="20"/>
          <w:color w:val="auto"/>
        </w:rPr>
      </w:pPr>
      <w:r>
        <w:rPr>
          <w:rFonts w:ascii="Times New Roman" w:cs="Times New Roman" w:eastAsia="Times New Roman" w:hAnsi="Times New Roman"/>
          <w:sz w:val="20"/>
          <w:szCs w:val="20"/>
          <w:color w:val="auto"/>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0" w:lineRule="exact"/>
        <w:rPr>
          <w:sz w:val="20"/>
          <w:szCs w:val="20"/>
          <w:color w:val="auto"/>
        </w:rPr>
      </w:pPr>
    </w:p>
    <w:p>
      <w:pPr>
        <w:ind w:right="280" w:firstLine="1304"/>
        <w:spacing w:after="0" w:line="283" w:lineRule="auto"/>
        <w:tabs>
          <w:tab w:leader="none" w:pos="1934"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facsimile number for notices and other communications hereunder by notice to the other parties hereto.</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Systems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right="100" w:firstLine="1563"/>
        <w:spacing w:after="0" w:line="261" w:lineRule="auto"/>
        <w:tabs>
          <w:tab w:leader="none" w:pos="1931"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agrees that the Agent may, but shall not be obligated to, make Communications (as defined below) available to the Issuing Banks and the other Lenders by posting the Communications on Debt Domain, Intralinks, Syndtrak, ClearPar or a substantially similar Electronic System.</w:t>
      </w:r>
    </w:p>
    <w:p>
      <w:pPr>
        <w:spacing w:after="0" w:line="181" w:lineRule="exact"/>
        <w:rPr>
          <w:rFonts w:ascii="Times New Roman" w:cs="Times New Roman" w:eastAsia="Times New Roman" w:hAnsi="Times New Roman"/>
          <w:sz w:val="20"/>
          <w:szCs w:val="20"/>
          <w:color w:val="auto"/>
        </w:rPr>
      </w:pPr>
    </w:p>
    <w:p>
      <w:pPr>
        <w:ind w:firstLine="1563"/>
        <w:spacing w:after="0" w:line="250" w:lineRule="auto"/>
        <w:tabs>
          <w:tab w:leader="none" w:pos="1932"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Electronic System used by the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the Borrower or the other Loan Parties, any Lender, any Issuing Bank or any other Person or entity for damages of any kind, including direct or indirect, special, incidental or consequential damages, losses or expenses (whether in tort, contract or otherwise) arising out of any Loan Party’s or the Agent’s transmission of communications through an Electronic System. “</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Agent, any Lender or any Issuing Bank by means of electronic communications pursuant to this Section, including through an Electronic System.</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IX.2 </w:t>
      </w:r>
      <w:r>
        <w:rPr>
          <w:rFonts w:ascii="Times New Roman" w:cs="Times New Roman" w:eastAsia="Times New Roman" w:hAnsi="Times New Roman"/>
          <w:sz w:val="20"/>
          <w:szCs w:val="20"/>
          <w:u w:val="single" w:color="auto"/>
          <w:color w:val="auto"/>
        </w:rPr>
        <w:t>Waivers; Amendments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200" w:firstLine="1304"/>
        <w:spacing w:after="0" w:line="268" w:lineRule="auto"/>
        <w:tabs>
          <w:tab w:leader="none" w:pos="1934"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or delay by the Agent, any Issuing Bank or any Lender in exercising any right or power hereunder or under any other Loan Document shall operate as a waiver thereof, nor shall any single or partial exercise of any such right or power, or any abandonment or discontinuance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20" w:name="page321"/>
    <w:bookmarkEnd w:id="320"/>
    <w:p>
      <w:pPr>
        <w:ind w:right="280"/>
        <w:spacing w:after="0" w:line="265" w:lineRule="auto"/>
        <w:rPr>
          <w:sz w:val="20"/>
          <w:szCs w:val="20"/>
          <w:color w:val="auto"/>
        </w:rPr>
      </w:pPr>
      <w:r>
        <w:rPr>
          <w:rFonts w:ascii="Times New Roman" w:cs="Times New Roman" w:eastAsia="Times New Roman" w:hAnsi="Times New Roman"/>
          <w:sz w:val="19"/>
          <w:szCs w:val="19"/>
          <w:color w:val="auto"/>
        </w:rPr>
        <w:t>steps to enforce such a right or power, preclude any other or further exercise thereof or the exercise of any other right or power. The rights and remedies of the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9.02, and then such waiver or consent shall be effective only in the specific instance and for the purpose for which given. Without limiting the generality of the foregoing, to the extent permitted by law, the making of a Loan or issuing of a Letter of Credit shall not be construed as a waiver of any Default, regardless of whether the Agent, any Issuing Bank or any Lender may have had notice or knowledge of such Default at the time.</w:t>
      </w:r>
    </w:p>
    <w:p>
      <w:pPr>
        <w:spacing w:after="0" w:line="190" w:lineRule="exact"/>
        <w:rPr>
          <w:sz w:val="20"/>
          <w:szCs w:val="20"/>
          <w:color w:val="auto"/>
        </w:rPr>
      </w:pPr>
    </w:p>
    <w:p>
      <w:pPr>
        <w:ind w:firstLine="1304"/>
        <w:spacing w:after="0" w:line="248" w:lineRule="auto"/>
        <w:tabs>
          <w:tab w:leader="none" w:pos="1932"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this Agreement nor any other Loan Document nor any provision hereof or thereof may be waived, amended or modified except (i) in the case of this Agreement, pursuant to an agreement or agreements in writing entered into by the Borrowers and the Required Lenders or, (ii) in the case of any other Loan Document (other than any such amendment to effectuate any modification thereto expressly contemplated by the terms of the other Loan Documents), pursuant to an agreement or agreements in writing entered into by the Agent and the Loan Party or Loan Parties that are parties thereto, with the consent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(A) increase the Commitment of any Lender without the written consent of such Lender; it being understood that a waiver of any condition precedent set forth in Article IV or the waiver of any Default or mandatory prepayment shall not constitute an increase of any Commitment of any Lender, (B) reduce or forgive the principal amount of any Loan or reimbursement obligation hereunder with respect to LC Disbursements or reduce the rate of interest thereon, or reduce or forgive any interest or fees payable hereunder or change the currency in which any such amount is required to be paid, without the written consent of each Lender directly affected thereby, (C) postpone any scheduled date of payment of the principal amount of any Loan, or any date for the payment of any interest, fees or other Obligations payable hereunder or the reimbursement of any LC Disbursement, or reduce the amount of, waive or excuse any such payment, or postpone the scheduled date of expiration of any Commitment,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only the consent of the Required Lenders shall be necessary to amend the provisions of Section 2.11(c) providing for the default rate of interest, or to waive any obligations of any Borrower to pay interest at such default rate, (D) change Section 2.16(a) or (b) in a manner that would alter the manner in which payments are shared, without the written consent of each Lender adversely affected thereby, (E) change any of the provisions of this Section 9.02 or the definition of “Required Lenders,” “Required Class Lenders,” “Required Financial Covenant Lenders” or “Required Revolving Lenders” or any other provision of any Loan Document specifying the number or percentage of Lenders required to waive, amend or modify any rights thereunder or make any determination or grant any consent thereunder, without the written consent of each Lender adversely affected thereby, (F) release all or substantially all of the Subsidiary Guarantors or the U.S. Borrower from their or its obligation under its Loan Guaranty (except as otherwise permitted herein or in the other Loan Documents), without the written consent of each Lender, (G) except as provided in clauses (c) and (d) of this Section 9.02 or in any Collateral Document, release all or substantially all of the Collateral, without the written consent of each Lender, (H) amend the definition of “Secured Obligations,” “Secured Hedge Obligations,” or “Secured Cash Management Obligations” without the written consent of each Lender adversely affected thereby or (I) waive any condition set forth in Section 4.02 as to any Borrowing under one or more Revolving Facilities without the written consent of the Required Revolving Lenders (and, for the avoidance of doubt, no consent of the Required Lenders shall be required);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such agreement shall amend, modify or otherwise (x) affect the rights or duties of the Agent or any Issuing Bank hereunder without the prior written consent of the Agent or such Issuing Bank, as applicable or (y) make any change to the documents that by its terms affects the rights of any Class of Lenders to receive payments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21" w:name="page322"/>
    <w:bookmarkEnd w:id="321"/>
    <w:p>
      <w:pPr>
        <w:ind w:right="340"/>
        <w:spacing w:after="0" w:line="253" w:lineRule="auto"/>
        <w:rPr>
          <w:sz w:val="20"/>
          <w:szCs w:val="20"/>
          <w:color w:val="auto"/>
        </w:rPr>
      </w:pPr>
      <w:r>
        <w:rPr>
          <w:rFonts w:ascii="Times New Roman" w:cs="Times New Roman" w:eastAsia="Times New Roman" w:hAnsi="Times New Roman"/>
          <w:sz w:val="20"/>
          <w:szCs w:val="20"/>
          <w:color w:val="auto"/>
        </w:rPr>
        <w:t xml:space="preserve">manner different than any other Class of Lenders without the written consent of the Required Class Lenders of such Class;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amendment, modification, waiver of or consent with respect to any of the terms and provisions (and related definitions) of Section 6.10 shall be effective without the written consent of the Required Financial Covenant Lenders and any such amendment, supplement, modification or waiver shall be effective with the written consent of only the Required Financial Covenant Lenders (or the Agent with the prior written consent thereof), on the one hand, and the Borrowers, on the other hand. Notwithstanding anything to the contrary contained herein, no amendment shall require any Revolving Lender to make Revolving Loans to a Borrower other than the applicable Borrowers under such Revolving Facility without the consent of such Revolving Lender.</w:t>
      </w:r>
    </w:p>
    <w:p>
      <w:pPr>
        <w:spacing w:after="0" w:line="179" w:lineRule="exact"/>
        <w:rPr>
          <w:sz w:val="20"/>
          <w:szCs w:val="20"/>
          <w:color w:val="auto"/>
        </w:rPr>
      </w:pPr>
    </w:p>
    <w:p>
      <w:pPr>
        <w:ind w:firstLine="1304"/>
        <w:spacing w:after="0" w:line="249" w:lineRule="auto"/>
        <w:tabs>
          <w:tab w:leader="none" w:pos="1934"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hereby irrevocably agree that the Liens granted to the Agent by the Loan Parties on any Collateral shall be automatically released (i) upon the Discharge of Obligations, (ii) upon the sale or other disposition of the property constituting such Collateral (including as part of or in connection with any other sale or other disposition permitted hereunder) to any Person other than another Loan Party, to the extent such sale or other disposition is made in compliance with the terms of this Agreement (and the Agent may rely conclusively on a certificate to that effect provided to it by any Loan Party upon its reasonable request without further inquiry), (iii) subject to paragraph (b) of this Section 9.02, if the release of such Lien is approved, authorized or ratified in writing by the Required Lenders, (iv) to the extent the property constituting such Collateral is owned by any Loan Guarantor, upon the release of such Loan Guarantor from its obligations under its Loan Guaranty in accordance with the provisions of this Agreement, (v) as required to effect any sale or other disposition of such Collateral in connection with any exercise of remedies of the Agent and the Lenders pursuant to the Collateral Documents or (vi) with respect to any Mortgaged Property, upon such Mortgaged Property becoming an Excluded Asset (as defined in the Security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Agent may, in its discretion, release the Lien on Collateral valued in the aggregate not in excess of $10.0 million during each fiscal year without consent of any Lender.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to the extent required under the provisions of the Loan Documents. The Lenders irrevocably authorize the Agent to release or subordinate any Lien on any property granted to or held by the Agent or the Collateral Agent under any Loan Document to the holder of any Lien on such property that is permitted by paragraph (q) of the definition of Permitted Liens (solely as it relates to Indebtedness permitted to be incurred pursuant to Sections 6.01(b)(vi), (b)(xxi) or (b)(xxii)(A)) (in each case, to the extent required by the terms of the obligations secured by such Liens) pursuant to documents reasonably acceptable to the Agent).</w:t>
      </w:r>
    </w:p>
    <w:p>
      <w:pPr>
        <w:spacing w:after="0" w:line="191" w:lineRule="exact"/>
        <w:rPr>
          <w:rFonts w:ascii="Times New Roman" w:cs="Times New Roman" w:eastAsia="Times New Roman" w:hAnsi="Times New Roman"/>
          <w:sz w:val="20"/>
          <w:szCs w:val="20"/>
          <w:color w:val="auto"/>
        </w:rPr>
      </w:pPr>
    </w:p>
    <w:p>
      <w:pPr>
        <w:ind w:right="140" w:firstLine="1304"/>
        <w:spacing w:after="0" w:line="266" w:lineRule="auto"/>
        <w:tabs>
          <w:tab w:leader="none" w:pos="1932"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in this Section 9.02, (A) guarantees and related documents, if any, executed by Foreign Subsidiaries in connection with this Agreement may be in a form reasonably determined by the Agent and may be amended and waived with the consent of the Agent at the request of the U.S. Borrower without the need to obtain the consent of any other Lenders if such amendment or waiver is delivered in order (i) to comply with local law or advice of local counsel, (ii) to cure ambiguities or defects or (iii) to cause such guarantee or other document to be consistent with this Agreement and the other Loan Documents and (B) any waiver, amendment or modification of this Agreement that by its terms affects the rights or duties under this Agreement of Lenders holding Loans or Commitments of a particular Class (but not the Lenders holding Loans or Commitments of any other Class) and is not adverse in any material respect to any other Class may be effected by an agreement or agreements in writing entered into solely by the U.S. Borrower, the Agent and the requisite percentage in interest of the affected Class of Lenders stating that would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20"/>
          <w:szCs w:val="20"/>
          <w:color w:val="auto"/>
        </w:rPr>
        <w:t>consent thereto under this Section if such Class of Lenders were the only Class of Lenders hereunder at time.</w:t>
      </w:r>
    </w:p>
    <w:p>
      <w:pPr>
        <w:spacing w:after="0" w:line="229" w:lineRule="exact"/>
        <w:rPr>
          <w:sz w:val="20"/>
          <w:szCs w:val="20"/>
          <w:color w:val="auto"/>
        </w:rPr>
      </w:pPr>
    </w:p>
    <w:p>
      <w:pPr>
        <w:ind w:right="40" w:firstLine="1304"/>
        <w:spacing w:after="0" w:line="265" w:lineRule="auto"/>
        <w:tabs>
          <w:tab w:leader="none" w:pos="1934" w:val="left"/>
        </w:tabs>
        <w:numPr>
          <w:ilvl w:val="0"/>
          <w:numId w:val="3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then the U.S.</w:t>
      </w:r>
    </w:p>
    <w:p>
      <w:pPr>
        <w:spacing w:after="0" w:line="24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Borrower may elect to replace a Non-Consenting Lender as a Lender party to this Agreement (or to replace such Non-Consenting Lender from the Class for which consent is being sought);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concurrently with such replacement, (i) another bank or other entity which is reasonably satisfactory to the U.S. Borrower and the Agent, and, with respect to assignees that are Revolving Lenders, each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(b)(ii) of Section 9.04, (ii) the replacement Lender shall grant its consent with respect to the applicable proposed amendment, waiver or consent and (iii) the applicable Borrower shall pay to such Non-Consenting Lender in same day funds on the day of such replacement all interest, fees and other amounts then accrued but unpaid to such Non-Consenting Lender by such Borrower hereunder to and including the date of termination, including without limitation payments due to such Non-Consenting Lender under Sections 2.14 and 2.15 (assuming that the Loans of such Non-Consenting Lender have been prepaid on such date rather than sold to the replacement Lender).</w:t>
      </w:r>
    </w:p>
    <w:p>
      <w:pPr>
        <w:spacing w:after="0" w:line="198" w:lineRule="exact"/>
        <w:rPr>
          <w:rFonts w:ascii="Times New Roman" w:cs="Times New Roman" w:eastAsia="Times New Roman" w:hAnsi="Times New Roman"/>
          <w:sz w:val="19"/>
          <w:szCs w:val="19"/>
          <w:color w:val="auto"/>
        </w:rPr>
      </w:pPr>
    </w:p>
    <w:p>
      <w:pPr>
        <w:ind w:firstLine="1304"/>
        <w:spacing w:after="0" w:line="258" w:lineRule="auto"/>
        <w:tabs>
          <w:tab w:leader="none" w:pos="1939"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Agent and the Borrower acting together identify any ambiguity, omission, mistake, typographical error or other defect in any provision of this Agreement or any other Loan Document, then the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72" w:lineRule="exact"/>
        <w:rPr>
          <w:rFonts w:ascii="Times New Roman" w:cs="Times New Roman" w:eastAsia="Times New Roman" w:hAnsi="Times New Roman"/>
          <w:sz w:val="20"/>
          <w:szCs w:val="20"/>
          <w:color w:val="auto"/>
        </w:rPr>
      </w:pPr>
    </w:p>
    <w:p>
      <w:pPr>
        <w:ind w:right="80" w:firstLine="1304"/>
        <w:spacing w:after="0" w:line="249" w:lineRule="auto"/>
        <w:tabs>
          <w:tab w:leader="none" w:pos="1932"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any Loan Document, in connection with any determination as to whether the requisite Lenders have (A) consented (or not consented) to any waiver, amendment or modification of any provision of this Agreement or any other Loan Document or any departure by any Loan Party therefrom, (B) otherwise acted on any matter related to this Agreement or any other Loan Document or (C) directed or required the Administrative Agent, the Collateral Agent or any Lender to undertake any action (or refrain from taking any action) with respect to this Agreement or under any other Loan Document, any Lender (or any Affiliate of such Lender (provided that for purposes of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Affiliates shall not include Persons that are subject to customary procedures to prevent the sharing of confidential information between such Lender and such Person and such Person is managed having independent fiduciary duties to the investors or other equityholders of such Person and such investors or equityholders are not the same investors or equityholders of such Lender)) (other than (x) any Lender that is a Regulated Bank, (y) any Revolving Lender as of the Amendment No. 15 Effective Date or any Affiliate thereof or (z) any Affiliate of a Regulated Bank to the extent that (1) all of the equity of such Affiliate is directly or indirectly owned by either (I) such Regulated Bank or (II) a parent entity that also owns, directly or indirectly, all of the equity of such Regulated Bank and (2) such Affiliate is a securities broker or dealer registered with the SEC under section 15 of the Exchange Act)) that, as a result of its interest (or such Affiliates collective interests)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or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23" w:name="page324"/>
    <w:bookmarkEnd w:id="323"/>
    <w:p>
      <w:pPr>
        <w:spacing w:after="0" w:line="262" w:lineRule="auto"/>
        <w:rPr>
          <w:sz w:val="20"/>
          <w:szCs w:val="20"/>
          <w:color w:val="auto"/>
        </w:rPr>
      </w:pPr>
      <w:r>
        <w:rPr>
          <w:rFonts w:ascii="Times New Roman" w:cs="Times New Roman" w:eastAsia="Times New Roman" w:hAnsi="Times New Roman"/>
          <w:sz w:val="19"/>
          <w:szCs w:val="19"/>
          <w:color w:val="auto"/>
        </w:rPr>
        <w:t>any other tranche, class or series of Indebtedness for borrowed money incurred or issued by the U.S. Borrower or any of its Restricted Subsidiaries at such time of determination (including commitments with respect to any revolving credit facility) (each such item of Indebtedness, including the Loan and Commitments, “</w:t>
      </w:r>
      <w:r>
        <w:rPr>
          <w:rFonts w:ascii="Times New Roman" w:cs="Times New Roman" w:eastAsia="Times New Roman" w:hAnsi="Times New Roman"/>
          <w:sz w:val="19"/>
          <w:szCs w:val="19"/>
          <w:u w:val="single" w:color="auto"/>
          <w:color w:val="auto"/>
        </w:rPr>
        <w:t>Specified Indebtedness</w:t>
      </w:r>
      <w:r>
        <w:rPr>
          <w:rFonts w:ascii="Times New Roman" w:cs="Times New Roman" w:eastAsia="Times New Roman" w:hAnsi="Times New Roman"/>
          <w:sz w:val="19"/>
          <w:szCs w:val="19"/>
          <w:color w:val="auto"/>
        </w:rPr>
        <w:t>”) (each such Lender, a “</w:t>
      </w:r>
      <w:r>
        <w:rPr>
          <w:rFonts w:ascii="Times New Roman" w:cs="Times New Roman" w:eastAsia="Times New Roman" w:hAnsi="Times New Roman"/>
          <w:sz w:val="19"/>
          <w:szCs w:val="19"/>
          <w:u w:val="single" w:color="auto"/>
          <w:color w:val="auto"/>
        </w:rPr>
        <w:t>Net Short Lender</w:t>
      </w:r>
      <w:r>
        <w:rPr>
          <w:rFonts w:ascii="Times New Roman" w:cs="Times New Roman" w:eastAsia="Times New Roman" w:hAnsi="Times New Roman"/>
          <w:sz w:val="19"/>
          <w:szCs w:val="19"/>
          <w:color w:val="auto"/>
        </w:rPr>
        <w:t>”) shall have no right to vote with respect to any waiver, amendment or modification of this Agreement or any other Loan Documents and shall be deemed to have voted its interest as a Lender without discretion in the same proportion as the allocation of voting with respect to such matter by Lenders who are not Net Short Lenders (including in any plan of reorganization). For purposes of determining whether a Lender (alone or together with its Affiliates) has a “net short position” on any date of determination: (i) derivative contracts with respect to any Specified Indebtedness and such contracts that are the functional equivalent thereof shall be counted at the notional amount of such contract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U.S. Borrower or any other Restricted Subsidiary or any instrument issued or guaranteed by the U.S. Borrower or any other Restricted Subsidiary shall not be deemed to create a short position with respect to such Specified Indebtedness, so long as (x) such index is not created, designed, administered or requested by such Lender or its Affiliates and (y) the U.S. Borrower and the other Restricted Subsidiaries and any instrument issued or guaranteed by the U.S. Borrower or the other Restricted Subsidiaries,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19"/>
          <w:szCs w:val="19"/>
          <w:u w:val="single" w:color="auto"/>
          <w:color w:val="auto"/>
        </w:rPr>
        <w:t>ISDA CDS Definitions</w:t>
      </w:r>
      <w:r>
        <w:rPr>
          <w:rFonts w:ascii="Times New Roman" w:cs="Times New Roman" w:eastAsia="Times New Roman" w:hAnsi="Times New Roman"/>
          <w:sz w:val="19"/>
          <w:szCs w:val="19"/>
          <w:color w:val="auto"/>
        </w:rPr>
        <w:t>”) shall be deemed to create a short position with respect to the relevant Specified Indebtedness if such Lender or its Affiliates is a protection buyer or the equivalent thereof for such derivative transaction and (x) the relevant Specified Indebtedness 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relevant Specified Indebtedness would be a “Deliverable Obligation” under the terms of such derivative transaction or (z) the U.S. Borrower or any other Restricted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or its Affiliates protection against a decline in the value of such Specified Indebtedness, or in the credit quality of the U.S. Borrower or any other Restricted Subsidiary, in each case, other than as part of an index so long as (x) such index is not created, designed, administered or requested by such Lender or its Affiliates and (y) the U.S. Borrower and the other Restricted Subsidiaries, and any instrument issued or guaranteed by the U.S. Borrower or the other Restricted Subsidiaries, collectively, shall represent less than 5% of the components of such index. In connection with any waiver, amendment or modification of this Agreement or the other Loan Documents, each Lender (other than any Lender that is a Regulated Bank or a Revolving Lender as of the Amendment No. 15 Effective Date) will be deemed to have represented to the U.S. Borrower, the Borrowers and the Administrative Agent that it does not constitute a Net Short Lender, in each case, unless such Lender shall have notified the U.S. Borrower and the Administrative Agent prior to the requested response date with respect to such waiver, amendment or modification that it constitutes a Net Short Lender (it being understood and agreed that the U.S. Borrower, the Borrowers and the Administrative Agent shall be entitled to rely on each such representation and deemed representation). In no event shall the Administrative Agent be obligated to monitor as to whether any Lender is a Net Short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24" w:name="page325"/>
    <w:bookmarkEnd w:id="324"/>
    <w:p>
      <w:pPr>
        <w:ind w:left="1300"/>
        <w:spacing w:after="0"/>
        <w:rPr>
          <w:sz w:val="20"/>
          <w:szCs w:val="20"/>
          <w:color w:val="auto"/>
        </w:rPr>
      </w:pPr>
      <w:r>
        <w:rPr>
          <w:rFonts w:ascii="Times New Roman" w:cs="Times New Roman" w:eastAsia="Times New Roman" w:hAnsi="Times New Roman"/>
          <w:sz w:val="20"/>
          <w:szCs w:val="20"/>
          <w:color w:val="auto"/>
        </w:rPr>
        <w:t xml:space="preserve">SECTION IX.3 </w:t>
      </w:r>
      <w:r>
        <w:rPr>
          <w:rFonts w:ascii="Times New Roman" w:cs="Times New Roman" w:eastAsia="Times New Roman" w:hAnsi="Times New Roman"/>
          <w:sz w:val="20"/>
          <w:szCs w:val="20"/>
          <w:u w:val="single" w:color="auto"/>
          <w:color w:val="auto"/>
        </w:rPr>
        <w:t>Expenses; Indemnity; Damage Waiver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firstLine="1304"/>
        <w:spacing w:after="0" w:line="249" w:lineRule="auto"/>
        <w:tabs>
          <w:tab w:leader="none" w:pos="1934"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shall pay (and, to the extent directly attributable to the facilities provided to any Foreign Borrower hereunder, each Foreign Borrower shall severally and not jointly with the U.S. Borrower be obligated to pay) (i) all reasonable documented out-of-pocket expenses incurred by the Agent and its Affiliates, including the reasonable fees, charges and disbursements Latham &amp; Watkins LLP, counsel for the Agent, and each other local non-U.S. counsel for the Agent in connection with the syndication and distribution (including, without limitation, via the internet or through a service such as Intralinks) of the credit facilities provided for herein and the preparation of the Loan Documents and related documentation, (ii) all reasonable documented out-of-pocket expenses incurred by the Agent and its Affiliates, including the reasonable fees, charges and disbursements of outside legal counsel to the Agent, in connection with any amendments, modifications or waivers of the provisions of any Loan Documents (whether or not the transactions contemplated thereby shall be consummated), (iii) all reasonable documented out-of-pocket expenses incurred by the Agent, the Issuing Banks or the Lenders, including the reasonable documented fees, charges and disbursements of any counsel for the Agent and for one law firm retained by the Issuing Banks and the Lenders (and such additional counsel as the Agent or any Lender or group of Lenders determines are necessary in light of actual or potential conflicts of interest or the availability of different claims of defenses), in connection with the enforcement, collection or protection of its rights in connection with the Loan Documents, including its rights under this Section, or in connection with the Loans and other extensions of credit made hereunder, including all such reasonable documented out-of-pocket expenses incurred during any workout, restructuring or related negotiations in respect of such Loans and (iv) subject to any other provisions of this Agreement, of the Loan Documents or of any separate agreement entered into by the Borrowers and the Agent with respect thereto, all reasonable documented out-of-pocket expenses incurred by the Agent in the administration of the Loan Documents. Expenses reimbursable by the U.S. Borrower under this Section include, without limiting the generality of the foregoing, subject to any other applicable provision of any Loan Document, reasonable documented out-of-pocket costs and expenses incurred in connection with:</w:t>
      </w:r>
    </w:p>
    <w:p>
      <w:pPr>
        <w:spacing w:after="0" w:line="191"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 and title searches and title insurance; and</w:t>
      </w:r>
    </w:p>
    <w:p>
      <w:pPr>
        <w:spacing w:after="0" w:line="229" w:lineRule="exact"/>
        <w:rPr>
          <w:rFonts w:ascii="Times New Roman" w:cs="Times New Roman" w:eastAsia="Times New Roman" w:hAnsi="Times New Roman"/>
          <w:sz w:val="20"/>
          <w:szCs w:val="20"/>
          <w:color w:val="auto"/>
        </w:rPr>
      </w:pPr>
    </w:p>
    <w:p>
      <w:pPr>
        <w:ind w:left="660" w:right="260" w:firstLine="903"/>
        <w:spacing w:after="0" w:line="283" w:lineRule="auto"/>
        <w:tabs>
          <w:tab w:leader="none" w:pos="1944"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fees and other charges for recording the Mortgages, filing financing statements and continuations, and other actions to perfect, protect, and continue the Agent’s Liens.</w:t>
      </w:r>
    </w:p>
    <w:p>
      <w:pPr>
        <w:spacing w:after="0" w:line="146" w:lineRule="exact"/>
        <w:rPr>
          <w:rFonts w:ascii="Times New Roman" w:cs="Times New Roman" w:eastAsia="Times New Roman" w:hAnsi="Times New Roman"/>
          <w:sz w:val="20"/>
          <w:szCs w:val="20"/>
          <w:color w:val="auto"/>
        </w:rPr>
      </w:pPr>
    </w:p>
    <w:p>
      <w:pPr>
        <w:ind w:right="80" w:firstLine="1304"/>
        <w:spacing w:after="0" w:line="250" w:lineRule="auto"/>
        <w:tabs>
          <w:tab w:leader="none" w:pos="1932"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indemnify the Agent, each Issuing Bank and each Lender, in their capacities as such, and each Related Party of any of the foregoing Persons (except for any Related Party that is an initial purchaser of the New Senior Notes acting in its capacity as such)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against, and hold each Indemnitee harmless from, any and all losses, claims, damages, penalties,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Environmental Liability related in any way to the U.S. Borrower or any of its Subsidiaries or to any property owned or operated by the U.S. Borrower or any of its Subsidiaries, (iii)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any Borrower, any other Loan Party or any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25" w:name="page326"/>
    <w:bookmarkEnd w:id="325"/>
    <w:p>
      <w:pPr>
        <w:ind w:right="60"/>
        <w:spacing w:after="0" w:line="258" w:lineRule="auto"/>
        <w:rPr>
          <w:sz w:val="20"/>
          <w:szCs w:val="20"/>
          <w:color w:val="auto"/>
        </w:rPr>
      </w:pPr>
      <w:r>
        <w:rPr>
          <w:rFonts w:ascii="Times New Roman" w:cs="Times New Roman" w:eastAsia="Times New Roman" w:hAnsi="Times New Roman"/>
          <w:sz w:val="20"/>
          <w:szCs w:val="20"/>
          <w:color w:val="auto"/>
        </w:rPr>
        <w:t xml:space="preserve">respective Affiliates) or (iv) any Loan or Letter of Credit or the use or proposed use of the proceeds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w:t>
      </w:r>
    </w:p>
    <w:p>
      <w:pPr>
        <w:spacing w:after="0" w:line="172" w:lineRule="exact"/>
        <w:rPr>
          <w:sz w:val="20"/>
          <w:szCs w:val="20"/>
          <w:color w:val="auto"/>
        </w:rPr>
      </w:pPr>
    </w:p>
    <w:p>
      <w:pPr>
        <w:ind w:left="1940" w:hanging="636"/>
        <w:spacing w:after="0"/>
        <w:tabs>
          <w:tab w:leader="none" w:pos="1940" w:val="left"/>
        </w:tabs>
        <w:numPr>
          <w:ilvl w:val="1"/>
          <w:numId w:val="3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the Borrowers fail to pay any amount required to be paid by it to the Agent under paragraph (a) or</w:t>
      </w:r>
    </w:p>
    <w:p>
      <w:pPr>
        <w:spacing w:after="0" w:line="39" w:lineRule="exact"/>
        <w:rPr>
          <w:rFonts w:ascii="Times New Roman" w:cs="Times New Roman" w:eastAsia="Times New Roman" w:hAnsi="Times New Roman"/>
          <w:sz w:val="19"/>
          <w:szCs w:val="19"/>
          <w:color w:val="auto"/>
        </w:rPr>
      </w:pPr>
    </w:p>
    <w:p>
      <w:pPr>
        <w:ind w:right="60" w:firstLine="8"/>
        <w:spacing w:after="0" w:line="253" w:lineRule="auto"/>
        <w:tabs>
          <w:tab w:leader="none" w:pos="280"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this Section 9.03, each Lender severally agrees to pay to the Agent such Lender’s Applicable Percentage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penalty, liability or related expense, as the case may be, was incurred by or asserted against the Agent in its capacity as such.</w:t>
      </w:r>
    </w:p>
    <w:p>
      <w:pPr>
        <w:spacing w:after="0" w:line="175" w:lineRule="exact"/>
        <w:rPr>
          <w:rFonts w:ascii="Times New Roman" w:cs="Times New Roman" w:eastAsia="Times New Roman" w:hAnsi="Times New Roman"/>
          <w:sz w:val="20"/>
          <w:szCs w:val="20"/>
          <w:color w:val="auto"/>
        </w:rPr>
      </w:pPr>
    </w:p>
    <w:p>
      <w:pPr>
        <w:ind w:firstLine="1304"/>
        <w:spacing w:after="0" w:line="267" w:lineRule="auto"/>
        <w:tabs>
          <w:tab w:leader="none" w:pos="1932" w:val="left"/>
        </w:tabs>
        <w:numPr>
          <w:ilvl w:val="1"/>
          <w:numId w:val="3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applicable law, no party to this Agreement shall assert, and each hereby waives, any claim against any other party hereto or any Related Party thereof, on any theory of liability, for special, indirect, consequential or punitive damages (as opposed to direct or actual damages) arising out of, in connection with, or as a result of, this Agreement or any agreement or instrument contemplated hereby, the Transactions, any Loan, any Letter of Credit or the use of the proceeds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clause</w:t>
      </w:r>
    </w:p>
    <w:p>
      <w:pPr>
        <w:spacing w:after="0" w:line="1" w:lineRule="exact"/>
        <w:rPr>
          <w:rFonts w:ascii="Times New Roman" w:cs="Times New Roman" w:eastAsia="Times New Roman" w:hAnsi="Times New Roman"/>
          <w:sz w:val="19"/>
          <w:szCs w:val="19"/>
          <w:color w:val="auto"/>
        </w:rPr>
      </w:pPr>
    </w:p>
    <w:p>
      <w:pPr>
        <w:ind w:right="180" w:firstLine="8"/>
        <w:spacing w:after="0" w:line="253" w:lineRule="auto"/>
        <w:tabs>
          <w:tab w:leader="none" w:pos="28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relieve any Borrower of any obligation it may have to indemnify an Indemnitee against special, indirect, consequential or punitive damages asserted against such Indemnitee by a third party.</w:t>
      </w:r>
    </w:p>
    <w:p>
      <w:pPr>
        <w:spacing w:after="0" w:line="188" w:lineRule="exact"/>
        <w:rPr>
          <w:rFonts w:ascii="Times New Roman" w:cs="Times New Roman" w:eastAsia="Times New Roman" w:hAnsi="Times New Roman"/>
          <w:sz w:val="20"/>
          <w:szCs w:val="20"/>
          <w:color w:val="auto"/>
        </w:rPr>
      </w:pPr>
    </w:p>
    <w:p>
      <w:pPr>
        <w:jc w:val="both"/>
        <w:ind w:firstLine="1304"/>
        <w:spacing w:after="0" w:line="281" w:lineRule="auto"/>
        <w:tabs>
          <w:tab w:leader="none" w:pos="1934" w:val="left"/>
        </w:tabs>
        <w:numPr>
          <w:ilvl w:val="1"/>
          <w:numId w:val="3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to the extent required to be paid on the Closing Date, all amounts due under clauses (a) and (b) above shall be payable by the applicable Borrower within ten (10) Business Days of receipt of an invoice relating thereto and setting forth such expenses in reasonable detail. All amounts due from the Lenders under clause (c) above shall be paid promptly after written demand therefor.</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IX.4 </w:t>
      </w:r>
      <w:r>
        <w:rPr>
          <w:rFonts w:ascii="Times New Roman" w:cs="Times New Roman" w:eastAsia="Times New Roman" w:hAnsi="Times New Roman"/>
          <w:sz w:val="20"/>
          <w:szCs w:val="20"/>
          <w:u w:val="single" w:color="auto"/>
          <w:color w:val="auto"/>
        </w:rPr>
        <w:t>Successors and Assigns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100" w:firstLine="1304"/>
        <w:spacing w:after="0" w:line="267" w:lineRule="auto"/>
        <w:tabs>
          <w:tab w:leader="none" w:pos="1934" w:val="left"/>
        </w:tabs>
        <w:numPr>
          <w:ilvl w:val="1"/>
          <w:numId w:val="3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Agreement shall be binding upon and inure to the benefit of the parties hereto and their respective successors and assigns permitted hereby (including any Affiliate of any Issuing Bank that issues any Letter of Credit), except that</w:t>
      </w:r>
    </w:p>
    <w:p>
      <w:pPr>
        <w:spacing w:after="0" w:line="1" w:lineRule="exact"/>
        <w:rPr>
          <w:rFonts w:ascii="Times New Roman" w:cs="Times New Roman" w:eastAsia="Times New Roman" w:hAnsi="Times New Roman"/>
          <w:sz w:val="19"/>
          <w:szCs w:val="19"/>
          <w:color w:val="auto"/>
        </w:rPr>
      </w:pPr>
    </w:p>
    <w:p>
      <w:pPr>
        <w:ind w:right="20" w:firstLine="8"/>
        <w:spacing w:after="0" w:line="249" w:lineRule="auto"/>
        <w:tabs>
          <w:tab w:leader="none" w:pos="236"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by Section 6.03 or the definition of “Change of Control,” no Borrower may assign or otherwise transfer any of its rights or obligations hereunder without the prior written consent of each Lender (and any attempted assignment or transfer by any such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Agent, the Issuing Banks and the Lenders) any legal or equitable right, remedy or claim under or by reason of this Agreement.</w:t>
      </w:r>
    </w:p>
    <w:p>
      <w:pPr>
        <w:spacing w:after="0" w:line="195" w:lineRule="exact"/>
        <w:rPr>
          <w:rFonts w:ascii="Times New Roman" w:cs="Times New Roman" w:eastAsia="Times New Roman" w:hAnsi="Times New Roman"/>
          <w:sz w:val="20"/>
          <w:szCs w:val="20"/>
          <w:color w:val="auto"/>
        </w:rPr>
      </w:pPr>
    </w:p>
    <w:p>
      <w:pPr>
        <w:ind w:right="480" w:firstLine="1304"/>
        <w:spacing w:after="0" w:line="261" w:lineRule="auto"/>
        <w:tabs>
          <w:tab w:leader="none" w:pos="1932"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20"/>
          <w:szCs w:val="20"/>
          <w:color w:val="auto"/>
        </w:rPr>
        <w:t>of Credit and the Loans at the time owing to it) with the prior written consent (such consent not to be unreasonably withheld or delayed) of:</w:t>
      </w:r>
    </w:p>
    <w:p>
      <w:pPr>
        <w:spacing w:after="0" w:line="229" w:lineRule="exact"/>
        <w:rPr>
          <w:sz w:val="20"/>
          <w:szCs w:val="20"/>
          <w:color w:val="auto"/>
        </w:rPr>
      </w:pPr>
    </w:p>
    <w:p>
      <w:pPr>
        <w:ind w:left="660" w:right="100" w:firstLine="644"/>
        <w:spacing w:after="0" w:line="253" w:lineRule="auto"/>
        <w:tabs>
          <w:tab w:leader="none" w:pos="1947"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U.S.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U.S. Borrower shall be deemed to have consented to an assignment of Term Loans unless it shall have objected thereto by written notice to the Agent within ten (10) Business Days after having received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U.S. Borrower shall be required for an assignment to a Lender, an Affiliate of a Lender, an Approved Fund or, if an Event of Default specified in paragraph (a), (f) or (g) of Section 7.01 has occurred and is continuing, any other assignee;</w:t>
      </w:r>
    </w:p>
    <w:p>
      <w:pPr>
        <w:spacing w:after="0" w:line="191" w:lineRule="exact"/>
        <w:rPr>
          <w:rFonts w:ascii="Times New Roman" w:cs="Times New Roman" w:eastAsia="Times New Roman" w:hAnsi="Times New Roman"/>
          <w:sz w:val="20"/>
          <w:szCs w:val="20"/>
          <w:color w:val="auto"/>
        </w:rPr>
      </w:pPr>
    </w:p>
    <w:p>
      <w:pPr>
        <w:ind w:left="660" w:firstLine="644"/>
        <w:spacing w:after="0" w:line="254" w:lineRule="auto"/>
        <w:tabs>
          <w:tab w:leader="none" w:pos="195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Agent shall be required for an assignment of (x) any Revolving Commitment to an assignee that is a Lender (other than a Defaulting Lender) with a Revolving Commitment immediately prior to giving effect to such assignment and (y) all or any portion of a Term Loan to a Lender, an Affiliate of a Lender or an Approved Fund; and</w:t>
      </w:r>
    </w:p>
    <w:p>
      <w:pPr>
        <w:spacing w:after="0" w:line="187" w:lineRule="exact"/>
        <w:rPr>
          <w:rFonts w:ascii="Times New Roman" w:cs="Times New Roman" w:eastAsia="Times New Roman" w:hAnsi="Times New Roman"/>
          <w:sz w:val="20"/>
          <w:szCs w:val="20"/>
          <w:color w:val="auto"/>
        </w:rPr>
      </w:pPr>
    </w:p>
    <w:p>
      <w:pPr>
        <w:ind w:left="660" w:right="260" w:firstLine="644"/>
        <w:spacing w:after="0" w:line="283" w:lineRule="auto"/>
        <w:tabs>
          <w:tab w:leader="none" w:pos="195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Issuing Banks shall be required for an assignment of all or any portion of a Term Loan.</w:t>
      </w:r>
    </w:p>
    <w:p>
      <w:pPr>
        <w:spacing w:after="0" w:line="146"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29" w:lineRule="exact"/>
        <w:rPr>
          <w:sz w:val="20"/>
          <w:szCs w:val="20"/>
          <w:color w:val="auto"/>
        </w:rPr>
      </w:pPr>
    </w:p>
    <w:p>
      <w:pPr>
        <w:ind w:left="660" w:right="20" w:firstLine="644"/>
        <w:spacing w:after="0" w:line="250" w:lineRule="auto"/>
        <w:tabs>
          <w:tab w:leader="none" w:pos="1947"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Agent) shall not be less than, (w) in the case of any Revolving Commitments or Revolving Loans, $5,000,000, (x) in the case of a term loan denominated in Dollars, $250,000 or an integral multiple of $250,000 in excess thereof, (y) in the case of a term loan denominated in Euro, €1,000,000 or an integral multiple of €1,000,000 in excess thereof and (z) in the case of a Canadian Dollar denominated Term Loan, C$1,000,000 or an integral multiple of C$1,000,000 in excess thereof, in each case unless each of the U.S. Borrower and the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U.S. Borrower shall be required if an Event of Default specified in paragraph (a), (f), or (g) of Section 7.01 has occurred and is continuing;</w:t>
      </w:r>
    </w:p>
    <w:p>
      <w:pPr>
        <w:spacing w:after="0" w:line="192" w:lineRule="exact"/>
        <w:rPr>
          <w:rFonts w:ascii="Times New Roman" w:cs="Times New Roman" w:eastAsia="Times New Roman" w:hAnsi="Times New Roman"/>
          <w:sz w:val="20"/>
          <w:szCs w:val="20"/>
          <w:color w:val="auto"/>
        </w:rPr>
      </w:pPr>
    </w:p>
    <w:p>
      <w:pPr>
        <w:ind w:left="660" w:right="200" w:firstLine="644"/>
        <w:spacing w:after="0" w:line="261" w:lineRule="auto"/>
        <w:tabs>
          <w:tab w:leader="none" w:pos="195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shall not be construed to prohibit the assignment of a proportionate part of all the assigning Lender’s rights and obligations in respect of one Class of Commitments or Loans;</w:t>
      </w:r>
    </w:p>
    <w:p>
      <w:pPr>
        <w:spacing w:after="0" w:line="181" w:lineRule="exact"/>
        <w:rPr>
          <w:rFonts w:ascii="Times New Roman" w:cs="Times New Roman" w:eastAsia="Times New Roman" w:hAnsi="Times New Roman"/>
          <w:sz w:val="20"/>
          <w:szCs w:val="20"/>
          <w:color w:val="auto"/>
        </w:rPr>
      </w:pPr>
    </w:p>
    <w:p>
      <w:pPr>
        <w:ind w:left="660" w:right="20" w:firstLine="644"/>
        <w:spacing w:after="0" w:line="258" w:lineRule="auto"/>
        <w:tabs>
          <w:tab w:leader="none" w:pos="195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to each assignment shall execute and deliver to the Agent (x) an Assignment and Assumption or (y) to the extent applicable, an agreement incorporating an Assignment and Assumption by reference pursuant to a Platform as to which the Agent and the parties to the Assignment and Assumption are participants), together with a processing and recordation fee of $3,500; and</w:t>
      </w:r>
    </w:p>
    <w:p>
      <w:pPr>
        <w:spacing w:after="0" w:line="172" w:lineRule="exact"/>
        <w:rPr>
          <w:rFonts w:ascii="Times New Roman" w:cs="Times New Roman" w:eastAsia="Times New Roman" w:hAnsi="Times New Roman"/>
          <w:sz w:val="20"/>
          <w:szCs w:val="20"/>
          <w:color w:val="auto"/>
        </w:rPr>
      </w:pPr>
    </w:p>
    <w:p>
      <w:pPr>
        <w:ind w:left="660" w:right="280" w:firstLine="644"/>
        <w:spacing w:after="0" w:line="261" w:lineRule="auto"/>
        <w:tabs>
          <w:tab w:leader="none" w:pos="1947"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if it shall not be a Lender, shall deliver to the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27" w:name="page328"/>
    <w:bookmarkEnd w:id="327"/>
    <w:p>
      <w:pPr>
        <w:ind w:left="660" w:right="180"/>
        <w:spacing w:after="0" w:line="283" w:lineRule="auto"/>
        <w:rPr>
          <w:sz w:val="20"/>
          <w:szCs w:val="20"/>
          <w:color w:val="auto"/>
        </w:rPr>
      </w:pPr>
      <w:r>
        <w:rPr>
          <w:rFonts w:ascii="Times New Roman" w:cs="Times New Roman" w:eastAsia="Times New Roman" w:hAnsi="Times New Roman"/>
          <w:sz w:val="20"/>
          <w:szCs w:val="20"/>
          <w:color w:val="auto"/>
        </w:rPr>
        <w:t>who may receive such information in accordance with the assignee’s compliance procedures and applicable laws, including Federal and state securities laws.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purposes of this Section 9.04(b), the terms “</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have the following meanings:</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7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Ineligible Institution</w:t>
      </w:r>
      <w:r>
        <w:rPr>
          <w:rFonts w:ascii="Times New Roman" w:cs="Times New Roman" w:eastAsia="Times New Roman" w:hAnsi="Times New Roman"/>
          <w:sz w:val="19"/>
          <w:szCs w:val="19"/>
          <w:color w:val="auto"/>
        </w:rPr>
        <w:t xml:space="preserve">” means (a) a natural person, (b) a Defaulting Lender or its Lender Parent, (c) a holding company, investment vehicle or trust for, or owned and operated for the primary benefit of, a natural person or relative(s) thereof or (d) a Borrower or any of its Affiliates;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clause (c), such holding company, investment vehicle or trust shall not constitute an Ineligible Institution if it</w:t>
      </w:r>
    </w:p>
    <w:p>
      <w:pPr>
        <w:jc w:val="both"/>
        <w:ind w:right="100" w:firstLine="8"/>
        <w:spacing w:after="0" w:line="263" w:lineRule="auto"/>
        <w:tabs>
          <w:tab w:leader="none" w:pos="280" w:val="left"/>
        </w:tabs>
        <w:numPr>
          <w:ilvl w:val="0"/>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not been established for the primary purpose of acquiring any Loans or Commitments, (y) is managed by a professional advisor, who is not such natural person or a relative thereof, having significant experience in the business of making or purchasing commercial loans, and</w:t>
      </w:r>
    </w:p>
    <w:p>
      <w:pPr>
        <w:ind w:right="260" w:firstLine="8"/>
        <w:spacing w:after="0" w:line="253" w:lineRule="auto"/>
        <w:tabs>
          <w:tab w:leader="none" w:pos="269"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assets greater than $25,000,000 and a significant part of its activities consist of making or purchasing commercial loans and similar extensions of credit in the ordinary course of its business.</w:t>
      </w:r>
    </w:p>
    <w:p>
      <w:pPr>
        <w:spacing w:after="0" w:line="80" w:lineRule="exact"/>
        <w:rPr>
          <w:rFonts w:ascii="Times New Roman" w:cs="Times New Roman" w:eastAsia="Times New Roman" w:hAnsi="Times New Roman"/>
          <w:sz w:val="20"/>
          <w:szCs w:val="20"/>
          <w:color w:val="auto"/>
        </w:rPr>
      </w:pPr>
    </w:p>
    <w:p>
      <w:pPr>
        <w:ind w:firstLine="1563"/>
        <w:spacing w:after="0" w:line="250" w:lineRule="auto"/>
        <w:tabs>
          <w:tab w:leader="none" w:pos="1932"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and 9.03 with respect to facts and circumstances occurring on or prior to the effective date of such assignment).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92" w:lineRule="exact"/>
        <w:rPr>
          <w:rFonts w:ascii="Times New Roman" w:cs="Times New Roman" w:eastAsia="Times New Roman" w:hAnsi="Times New Roman"/>
          <w:sz w:val="20"/>
          <w:szCs w:val="20"/>
          <w:color w:val="auto"/>
        </w:rPr>
      </w:pPr>
    </w:p>
    <w:p>
      <w:pPr>
        <w:ind w:right="20" w:firstLine="1563"/>
        <w:spacing w:after="0" w:line="251" w:lineRule="auto"/>
        <w:tabs>
          <w:tab w:leader="none" w:pos="1933"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each Borrower, the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any Borrower, and solely with respect to their own interests, any Issuing Bank and any Lender, at any reasonable time and from time to time upon reasonable prior notice.</w:t>
      </w:r>
    </w:p>
    <w:p>
      <w:pPr>
        <w:spacing w:after="0" w:line="195" w:lineRule="exact"/>
        <w:rPr>
          <w:rFonts w:ascii="Times New Roman" w:cs="Times New Roman" w:eastAsia="Times New Roman" w:hAnsi="Times New Roman"/>
          <w:sz w:val="20"/>
          <w:szCs w:val="20"/>
          <w:color w:val="auto"/>
        </w:rPr>
      </w:pPr>
    </w:p>
    <w:p>
      <w:pPr>
        <w:ind w:right="60" w:firstLine="1563"/>
        <w:spacing w:after="0" w:line="253" w:lineRule="auto"/>
        <w:tabs>
          <w:tab w:leader="none" w:pos="1935"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its receipt of (x) a duly completed Assignment and Assumption executed by an assigning Lender and an assignee or (y) to the extent applicable, an agreement incorporating an Assignment and Assumption by reference pursuant to a Platform as to which the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28" w:name="page329"/>
    <w:bookmarkEnd w:id="328"/>
    <w:p>
      <w:pPr>
        <w:ind w:right="80"/>
        <w:spacing w:after="0" w:line="253" w:lineRule="auto"/>
        <w:rPr>
          <w:sz w:val="20"/>
          <w:szCs w:val="20"/>
          <w:color w:val="auto"/>
        </w:rPr>
      </w:pPr>
      <w:r>
        <w:rPr>
          <w:rFonts w:ascii="Times New Roman" w:cs="Times New Roman" w:eastAsia="Times New Roman" w:hAnsi="Times New Roman"/>
          <w:sz w:val="20"/>
          <w:szCs w:val="20"/>
          <w:color w:val="auto"/>
        </w:rPr>
        <w:t xml:space="preserve">Section, the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Section 2.02, 2.04, 2.16(b) or 9.03(c), the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2" w:lineRule="exact"/>
        <w:rPr>
          <w:sz w:val="20"/>
          <w:szCs w:val="20"/>
          <w:color w:val="auto"/>
        </w:rPr>
      </w:pPr>
    </w:p>
    <w:p>
      <w:pPr>
        <w:ind w:firstLine="1304"/>
        <w:spacing w:after="0" w:line="248" w:lineRule="auto"/>
        <w:tabs>
          <w:tab w:leader="none" w:pos="1934"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without the consent of any Borrower, the Agent or the Issuing Banks,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 (C) each Borrower, the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clauses (A), (B), (C), (D), (F) and (G) of the first proviso to Section 9.02(b) that affects such Participant. The Borrower agrees that each Participant shall be entitled to the benefits of Sections 2.14 and 2.15 (subject to the requirements and limitations of such Sections, it being understood and agreed that the documentation required under Section 2.15(g) shall be delivered solely to the participating Lender) to the same extent as if it were a Lender and had acquired its interest by assignment pursuant to paragraph (b) of this Section 9.04;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shall not be entitled to receive any greater payment under Section 2.14 or 2.15,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Section 2.16(c) as though it were a Lender. Each Lender that sells a participation shall, acting solely for this purpose as a non-fiduciary agent of the applicable Borrower, maintain a register on which it enters the name and address of each Participant and the principal amounts (and stated interest) of each Participant’s interest in the applicable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212" w:lineRule="exact"/>
        <w:rPr>
          <w:rFonts w:ascii="Times New Roman" w:cs="Times New Roman" w:eastAsia="Times New Roman" w:hAnsi="Times New Roman"/>
          <w:sz w:val="20"/>
          <w:szCs w:val="20"/>
          <w:color w:val="auto"/>
        </w:rPr>
      </w:pPr>
    </w:p>
    <w:p>
      <w:pPr>
        <w:ind w:right="300" w:firstLine="1304"/>
        <w:spacing w:after="0" w:line="261" w:lineRule="auto"/>
        <w:tabs>
          <w:tab w:leader="none" w:pos="1932"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29" w:name="page330"/>
    <w:bookmarkEnd w:id="329"/>
    <w:p>
      <w:pPr>
        <w:ind w:right="120"/>
        <w:spacing w:after="0" w:line="283" w:lineRule="auto"/>
        <w:rPr>
          <w:sz w:val="20"/>
          <w:szCs w:val="20"/>
          <w:color w:val="auto"/>
        </w:rPr>
      </w:pPr>
      <w:r>
        <w:rPr>
          <w:rFonts w:ascii="Times New Roman" w:cs="Times New Roman" w:eastAsia="Times New Roman" w:hAnsi="Times New Roman"/>
          <w:sz w:val="20"/>
          <w:szCs w:val="20"/>
          <w:color w:val="auto"/>
        </w:rPr>
        <w:t xml:space="preserve">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46" w:lineRule="exact"/>
        <w:rPr>
          <w:sz w:val="20"/>
          <w:szCs w:val="20"/>
          <w:color w:val="auto"/>
        </w:rPr>
      </w:pPr>
    </w:p>
    <w:p>
      <w:pPr>
        <w:ind w:right="40" w:firstLine="1304"/>
        <w:spacing w:after="0" w:line="251" w:lineRule="auto"/>
        <w:tabs>
          <w:tab w:leader="none" w:pos="1934"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the Loan Documents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 Ireland. Notwithstanding anything to the contrary in the Loan Documents, a transfer of rights and obligations from Bank of America Merrill Lynch International Limited to Bank of America Merrill Lynch International Designated Activity Company pursuant to such merger shall be permitted.</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IX.5 </w:t>
      </w:r>
      <w:r>
        <w:rPr>
          <w:rFonts w:ascii="Times New Roman" w:cs="Times New Roman" w:eastAsia="Times New Roman" w:hAnsi="Times New Roman"/>
          <w:sz w:val="20"/>
          <w:szCs w:val="20"/>
          <w:u w:val="single" w:color="auto"/>
          <w:color w:val="auto"/>
        </w:rPr>
        <w:t>Survival</w:t>
      </w:r>
    </w:p>
    <w:p>
      <w:pPr>
        <w:spacing w:after="0" w:line="229" w:lineRule="exact"/>
        <w:rPr>
          <w:sz w:val="20"/>
          <w:szCs w:val="20"/>
          <w:color w:val="auto"/>
        </w:rPr>
      </w:pPr>
    </w:p>
    <w:p>
      <w:pPr>
        <w:ind w:firstLine="8"/>
        <w:spacing w:after="0" w:line="250" w:lineRule="auto"/>
        <w:tabs>
          <w:tab w:leader="none" w:pos="99"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Sections 2.14, 2.15 and 9.03 and Article VIII shall survive and remain in full force and effect regardless of the consummation of the transactions contemplated hereby, the Discharge of Obligations or the termination of this Agreement or any provision hereof.</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IX.6 </w:t>
      </w:r>
      <w:r>
        <w:rPr>
          <w:rFonts w:ascii="Times New Roman" w:cs="Times New Roman" w:eastAsia="Times New Roman" w:hAnsi="Times New Roman"/>
          <w:sz w:val="20"/>
          <w:szCs w:val="20"/>
          <w:u w:val="single" w:color="auto"/>
          <w:color w:val="auto"/>
        </w:rPr>
        <w:t>Counterparts; Integration; Effectiveness; Electronic Execution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1304"/>
        <w:spacing w:after="0" w:line="266" w:lineRule="auto"/>
        <w:tabs>
          <w:tab w:leader="none" w:pos="1934"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the Fee Letter, dated as of February 28, 2017, by and among the U.S. Borrower and JPMorgan Chase Bank, N.A., and any separate letter agreements with respect to fees payable to the Agent constitute the entire contract among the parties relating to the subject matter hereof and supersede any and all previous agreements and understandings, oral or written, relating to the subject matter hereof. Except as provided in Article IV, this Agreement shall become effective when it shall have been executed by the Agent and when the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shall be effective as delivery of a manually executed counterpart of this Agreement.</w:t>
      </w:r>
    </w:p>
    <w:p>
      <w:pPr>
        <w:spacing w:after="0" w:line="169" w:lineRule="exact"/>
        <w:rPr>
          <w:rFonts w:ascii="Times New Roman" w:cs="Times New Roman" w:eastAsia="Times New Roman" w:hAnsi="Times New Roman"/>
          <w:sz w:val="19"/>
          <w:szCs w:val="19"/>
          <w:color w:val="auto"/>
        </w:rPr>
      </w:pPr>
    </w:p>
    <w:p>
      <w:pPr>
        <w:ind w:right="360" w:firstLine="1304"/>
        <w:spacing w:after="0" w:line="283" w:lineRule="auto"/>
        <w:tabs>
          <w:tab w:leader="none" w:pos="1932"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an executed counterpart of a signature page of this Agreement by telecopy, emailed pdf. or any other electronic means that reproduces an image of the actual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30" w:name="page331"/>
    <w:bookmarkEnd w:id="330"/>
    <w:p>
      <w:pPr>
        <w:spacing w:after="0" w:line="251" w:lineRule="auto"/>
        <w:rPr>
          <w:sz w:val="20"/>
          <w:szCs w:val="20"/>
          <w:color w:val="auto"/>
        </w:rPr>
      </w:pPr>
      <w:r>
        <w:rPr>
          <w:rFonts w:ascii="Times New Roman" w:cs="Times New Roman" w:eastAsia="Times New Roman" w:hAnsi="Times New Roman"/>
          <w:sz w:val="20"/>
          <w:szCs w:val="20"/>
          <w:color w:val="auto"/>
        </w:rPr>
        <w:t xml:space="preserve">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require the Agent to accept electronic signatures in any form or format without its prior written consent.</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IX.7 </w:t>
      </w:r>
      <w:r>
        <w:rPr>
          <w:rFonts w:ascii="Times New Roman" w:cs="Times New Roman" w:eastAsia="Times New Roman" w:hAnsi="Times New Roman"/>
          <w:sz w:val="20"/>
          <w:szCs w:val="20"/>
          <w:u w:val="single" w:color="auto"/>
          <w:color w:val="auto"/>
        </w:rPr>
        <w:t>Severability</w:t>
      </w:r>
    </w:p>
    <w:p>
      <w:pPr>
        <w:spacing w:after="0" w:line="216" w:lineRule="exact"/>
        <w:rPr>
          <w:sz w:val="20"/>
          <w:szCs w:val="20"/>
          <w:color w:val="auto"/>
        </w:rPr>
      </w:pPr>
    </w:p>
    <w:p>
      <w:pPr>
        <w:ind w:right="80" w:firstLine="8"/>
        <w:spacing w:after="0" w:line="258" w:lineRule="auto"/>
        <w:tabs>
          <w:tab w:leader="none" w:pos="99"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IX.8 </w:t>
      </w:r>
      <w:r>
        <w:rPr>
          <w:rFonts w:ascii="Times New Roman" w:cs="Times New Roman" w:eastAsia="Times New Roman" w:hAnsi="Times New Roman"/>
          <w:sz w:val="20"/>
          <w:szCs w:val="20"/>
          <w:u w:val="single" w:color="auto"/>
          <w:color w:val="auto"/>
        </w:rPr>
        <w:t>Right of Setoff</w:t>
      </w:r>
    </w:p>
    <w:p>
      <w:pPr>
        <w:spacing w:after="0" w:line="216" w:lineRule="exact"/>
        <w:rPr>
          <w:sz w:val="20"/>
          <w:szCs w:val="20"/>
          <w:color w:val="auto"/>
        </w:rPr>
      </w:pPr>
    </w:p>
    <w:p>
      <w:pPr>
        <w:ind w:right="60" w:firstLine="8"/>
        <w:spacing w:after="0" w:line="249" w:lineRule="auto"/>
        <w:tabs>
          <w:tab w:leader="none" w:pos="99"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Borrower or any Loan Guarantor against any of and all the Secured Obligations held by such Lender, irrespective of whether or not such Lender shall have made any demand under the Loan Documents and although such obligations may be unmatured. The applicable Lender shall notify such Borrower and the Agent of such setoff or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any delay in giving such notice shall not affect the validity of any such setoff or application under this Section 9.08. The rights of each Lender under this Section 9.08 are in addition to other rights and remedies (including other rights of setoff) which such Lender may have. NOTWITHSTANDING THE FOREGOING, AT ANY TIME THAT ANY OF THE SECURED OBLIGATIONS SHALL BE SECURED BY REAL PROPERTY LOCATED IN CALIFORNIA, NO LENDER SHALL EXERCISE A RIGHT OF SETOFF, LENDER’S LIEN OR COUNTERCLAIM OR TAKE ANY COURT OR ADMINISTRATIVE ACTION OR INSTITUTE ANY PROCEEDING TO ENFORCE ANY PROVISION OF THIS AGREEMENT OR ANY LOAN DOCUMENT UNLESS IT IS TAKEN WITH THE CONSENT OF THE LENDERS REQUIRED BY SECTION 9.02 OF THIS AGREEMENT, IF SUCH SETOFF OR ACTION OR PROCEEDING WOULD OR MIGHT (PURSUANT TO SECTIONS 580a, 580b, 580d AND 726 OF THE CALIFORNIA CODE OF CIVIL PROCEDURE OR SECTION 2924 OF THE CALIFORNIA CIVIL CODE, IF APPLICABLE, OR OTHERWISE) AFFECT OR IMPAIR THE VALIDITY, PRIORITY, OR ENFORCEABILITY OF THE LIENS GRANTED TO THE AGENT PURSUANT TO THE COLLATERAL DOCUMENTS OR THE ENFORCEABILITY OF THE OBLIGATIONS HEREUNDER, AND ANY ATTEMPTED EXERCISE BY ANY LENDER OR ANY SUCH RIGHT WITHOUT OBTAINING SUCH CONSENT OF THE PARTIES AS REQUIRED ABOVE, SHALL BE NULL AND VOID. THIS PARAGRAPH SHALL BE SOLELY FOR THE BENEFIT OF EACH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31" w:name="page332"/>
    <w:bookmarkEnd w:id="331"/>
    <w:p>
      <w:pPr>
        <w:ind w:left="1300"/>
        <w:spacing w:after="0"/>
        <w:rPr>
          <w:sz w:val="20"/>
          <w:szCs w:val="20"/>
          <w:color w:val="auto"/>
        </w:rPr>
      </w:pPr>
      <w:r>
        <w:rPr>
          <w:rFonts w:ascii="Times New Roman" w:cs="Times New Roman" w:eastAsia="Times New Roman" w:hAnsi="Times New Roman"/>
          <w:sz w:val="20"/>
          <w:szCs w:val="20"/>
          <w:color w:val="auto"/>
        </w:rPr>
        <w:t xml:space="preserve">SECTION IX.9 </w:t>
      </w:r>
      <w:r>
        <w:rPr>
          <w:rFonts w:ascii="Times New Roman" w:cs="Times New Roman" w:eastAsia="Times New Roman" w:hAnsi="Times New Roman"/>
          <w:sz w:val="20"/>
          <w:szCs w:val="20"/>
          <w:u w:val="single" w:color="auto"/>
          <w:color w:val="auto"/>
        </w:rPr>
        <w:t>Governing Law; Jurisdiction; Consent to Service of Process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160" w:firstLine="1304"/>
        <w:spacing w:after="0" w:line="261" w:lineRule="auto"/>
        <w:tabs>
          <w:tab w:leader="none" w:pos="1934"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OTHER LOAN DOCUMENTS (OTHER THAN AS EXPRESSLY SET FORTH IN ANY OTHER LOAN DOCUMENT) SHALL BE CONSTRUED IN ACCORDANCE WITH AND GOVERNED BY THE LAWS OF THE STATE OF NEW YORK.</w:t>
      </w:r>
    </w:p>
    <w:p>
      <w:pPr>
        <w:spacing w:after="0" w:line="181" w:lineRule="exact"/>
        <w:rPr>
          <w:rFonts w:ascii="Times New Roman" w:cs="Times New Roman" w:eastAsia="Times New Roman" w:hAnsi="Times New Roman"/>
          <w:sz w:val="20"/>
          <w:szCs w:val="20"/>
          <w:color w:val="auto"/>
        </w:rPr>
      </w:pPr>
    </w:p>
    <w:p>
      <w:pPr>
        <w:ind w:firstLine="1304"/>
        <w:spacing w:after="0" w:line="252" w:lineRule="auto"/>
        <w:tabs>
          <w:tab w:leader="none" w:pos="1932"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irrevocably and unconditionally submits, for itself and its property, to the exclusive jurisdiction of any U.S. Federal or New York State court sitting in the Borough of Manhattan,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Agent or any Lender may otherwise have to bring any action or proceeding relating to this Agreement or any other Loan Document against any Loan Party or its properties in the courts of any jurisdiction.</w:t>
      </w:r>
    </w:p>
    <w:p>
      <w:pPr>
        <w:spacing w:after="0" w:line="175" w:lineRule="exact"/>
        <w:rPr>
          <w:rFonts w:ascii="Times New Roman" w:cs="Times New Roman" w:eastAsia="Times New Roman" w:hAnsi="Times New Roman"/>
          <w:sz w:val="20"/>
          <w:szCs w:val="20"/>
          <w:color w:val="auto"/>
        </w:rPr>
      </w:pPr>
    </w:p>
    <w:p>
      <w:pPr>
        <w:ind w:right="160" w:firstLine="1304"/>
        <w:spacing w:after="0" w:line="257" w:lineRule="auto"/>
        <w:tabs>
          <w:tab w:leader="none" w:pos="1934"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Foreign Borrowers hereby irrevocably designates, appoints and empowers Aramark Services, Inc. (the</w:t>
      </w:r>
    </w:p>
    <w:p>
      <w:pPr>
        <w:spacing w:after="0" w:line="2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Process Agent</w:t>
      </w:r>
      <w:r>
        <w:rPr>
          <w:rFonts w:ascii="Times New Roman" w:cs="Times New Roman" w:eastAsia="Times New Roman" w:hAnsi="Times New Roman"/>
          <w:sz w:val="20"/>
          <w:szCs w:val="20"/>
          <w:color w:val="auto"/>
        </w:rPr>
        <w:t>”), in the case of any suit, action or proceeding brought in the United States of America as its designee, appointee and agent to receive, accept and acknowledge for and on its behalf, and in respect of its property, service of any and all legal process, summons, notices and documents that may be served in any action or proceeding arising out of or in connection with this Agreement or any other Loan Document. Such service may be made by mailing (by registered or certified mail, postage prepaid) or delivering a copy of such process to such Foreign Borrower in care of the Process Agent at the Process Agent’s above address, and each of the Foreign Borrowers hereby irrevocably authorizes and directs the Process Agent to accept such service on its behalf. As an alternative method of service, each of the Foreign Borrowers irrevocably consents to the service of any and all process in any such action or proceeding by the mailing (by registered or certified mail, postage prepaid) of copies of such process to the Process Agent or such Foreign Borrower at its address specified in Section 9.01. Aramark Services, Inc. hereby acknowledges and accepts its appointment as Process Agent for each of the Foreign Borrowers and the corresponding rights and obligations set forth in this paragraph (d).</w:t>
      </w:r>
    </w:p>
    <w:p>
      <w:pPr>
        <w:spacing w:after="0" w:line="200" w:lineRule="exact"/>
        <w:rPr>
          <w:sz w:val="20"/>
          <w:szCs w:val="20"/>
          <w:color w:val="auto"/>
        </w:rPr>
      </w:pPr>
    </w:p>
    <w:p>
      <w:pPr>
        <w:ind w:right="20" w:firstLine="1304"/>
        <w:spacing w:after="0" w:line="253" w:lineRule="auto"/>
        <w:tabs>
          <w:tab w:leader="none" w:pos="1934"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law, each party to this Agreement hereby irrevocably waives personal service of any and all process upon it and agrees that all such service of process may be made by registered mail (return receipt requested) directed to it at its address for notices as provided for in Section 9.01 or, in the case of any Foreign Borrower, as provided for in Section 9.09(d). Nothing in this Agreement or any other Loan Document will affect the right of any party to this Agreement to serve process in 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32" w:name="page333"/>
    <w:bookmarkEnd w:id="332"/>
    <w:p>
      <w:pPr>
        <w:ind w:firstLine="1304"/>
        <w:spacing w:after="0" w:line="250" w:lineRule="auto"/>
        <w:tabs>
          <w:tab w:leader="none" w:pos="1939"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the purposes of obtaining judgment in any court it is necessary to convert a sum due hereunder in Dollars, Canadian Dollars, Euros or Sterling into another currency, the parties hereto agree, to the fullest extent that they may effectively do so, that the rate of exchange used shall be that at which in accordance with normal banking procedures the Agent could purchase Dollars, Canadian Dollars, Euros or Sterling, as the case may be, with such other currency at the spot rate of exchange quoted by the Agent at 11:00 a.m. (New York City time) on the Business Day preceding that on which final judgment is given, for the purchase of Dollars, Canadian Dollars, Euros or Sterling, as the case may be, for delivery two Business Days thereafter. The obligation of each Borrower in respect of any such sum due from it to the Agent or the Lenders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Agent of any sum adjudged to be so due in the Judgment Currency, the Agent may in accordance with normal banking procedures purchase the Agreement Currency with the Judgment Currency. If the amount of the Agreement Currency so purchased is less than the sum originally due to the Agent in the Agreement Currency, each Borrower agrees, as a separate obligation and notwithstanding any such judgment, to indemnify the Agent or the Person to whom such obligation was owing against such loss.</w:t>
      </w:r>
    </w:p>
    <w:p>
      <w:pPr>
        <w:spacing w:after="0" w:line="193"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IX.10</w:t>
      </w:r>
      <w:r>
        <w:rPr>
          <w:sz w:val="20"/>
          <w:szCs w:val="20"/>
          <w:color w:val="auto"/>
        </w:rPr>
        <w:tab/>
      </w:r>
      <w:r>
        <w:rPr>
          <w:rFonts w:ascii="Times New Roman" w:cs="Times New Roman" w:eastAsia="Times New Roman" w:hAnsi="Times New Roman"/>
          <w:sz w:val="19"/>
          <w:szCs w:val="19"/>
          <w:u w:val="single" w:color="auto"/>
          <w:color w:val="auto"/>
        </w:rPr>
        <w:t>WAIVER OF JURY TRIAL</w:t>
      </w:r>
    </w:p>
    <w:p>
      <w:pPr>
        <w:spacing w:after="0" w:line="216" w:lineRule="exact"/>
        <w:rPr>
          <w:sz w:val="20"/>
          <w:szCs w:val="20"/>
          <w:color w:val="auto"/>
        </w:rPr>
      </w:pPr>
    </w:p>
    <w:p>
      <w:pPr>
        <w:ind w:right="60" w:firstLine="8"/>
        <w:spacing w:after="0" w:line="251" w:lineRule="auto"/>
        <w:tabs>
          <w:tab w:leader="none" w:pos="99"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WAIVES, TO THE FULLEST EXTENT PERMITTED BY APPLICABLE LAW, ANY RIGHT IT MAY HAVE TO A TRIAL BY JURY IN ANY LEGAL PROCEEDING DIRECTLY OR INDIRECTLY ARISING OUT OF OR RELATING TO THIS AGREEMENT, ANY OTHER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87"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IX.11</w:t>
      </w:r>
      <w:r>
        <w:rPr>
          <w:sz w:val="20"/>
          <w:szCs w:val="20"/>
          <w:color w:val="auto"/>
        </w:rPr>
        <w:tab/>
      </w:r>
      <w:r>
        <w:rPr>
          <w:rFonts w:ascii="Times New Roman" w:cs="Times New Roman" w:eastAsia="Times New Roman" w:hAnsi="Times New Roman"/>
          <w:sz w:val="19"/>
          <w:szCs w:val="19"/>
          <w:u w:val="single" w:color="auto"/>
          <w:color w:val="auto"/>
        </w:rPr>
        <w:t>Headings</w:t>
      </w:r>
    </w:p>
    <w:p>
      <w:pPr>
        <w:spacing w:after="0" w:line="229" w:lineRule="exact"/>
        <w:rPr>
          <w:sz w:val="20"/>
          <w:szCs w:val="20"/>
          <w:color w:val="auto"/>
        </w:rPr>
      </w:pPr>
    </w:p>
    <w:p>
      <w:pPr>
        <w:ind w:firstLine="8"/>
        <w:spacing w:after="0" w:line="269" w:lineRule="auto"/>
        <w:tabs>
          <w:tab w:leader="none" w:pos="99"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65"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IX.12</w:t>
      </w:r>
      <w:r>
        <w:rPr>
          <w:sz w:val="20"/>
          <w:szCs w:val="20"/>
          <w:color w:val="auto"/>
        </w:rPr>
        <w:tab/>
      </w:r>
      <w:r>
        <w:rPr>
          <w:rFonts w:ascii="Times New Roman" w:cs="Times New Roman" w:eastAsia="Times New Roman" w:hAnsi="Times New Roman"/>
          <w:sz w:val="19"/>
          <w:szCs w:val="19"/>
          <w:u w:val="single" w:color="auto"/>
          <w:color w:val="auto"/>
        </w:rPr>
        <w:t>Confidentiality</w:t>
      </w:r>
    </w:p>
    <w:p>
      <w:pPr>
        <w:spacing w:after="0" w:line="216" w:lineRule="exact"/>
        <w:rPr>
          <w:sz w:val="20"/>
          <w:szCs w:val="20"/>
          <w:color w:val="auto"/>
        </w:rPr>
      </w:pPr>
    </w:p>
    <w:p>
      <w:pPr>
        <w:ind w:right="40" w:firstLine="8"/>
        <w:spacing w:after="0" w:line="253" w:lineRule="auto"/>
        <w:tabs>
          <w:tab w:leader="none" w:pos="99"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and each Lender agrees to maintain the confidentiality of the Information (as defined below), except that Information may be disclosed (a) to its Affiliates and it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governmental or administrative authority, (c) to the extent required by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similar to or consistent with those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33" w:name="page334"/>
    <w:bookmarkEnd w:id="333"/>
    <w:p>
      <w:pPr>
        <w:ind w:right="20"/>
        <w:spacing w:after="0" w:line="250" w:lineRule="auto"/>
        <w:rPr>
          <w:sz w:val="20"/>
          <w:szCs w:val="20"/>
          <w:color w:val="auto"/>
        </w:rPr>
      </w:pPr>
      <w:r>
        <w:rPr>
          <w:rFonts w:ascii="Times New Roman" w:cs="Times New Roman" w:eastAsia="Times New Roman" w:hAnsi="Times New Roman"/>
          <w:sz w:val="20"/>
          <w:szCs w:val="20"/>
          <w:color w:val="auto"/>
        </w:rPr>
        <w:t>Section 9.12, to (i) any assignee of or Participant in, or any prospective assignee of or Participant in, any of its rights or obligations under this Agreement, (ii) any pledgee referred to in Section 9.04(d) or (iii) any actual or prospective counterparty (or its advisors) to any swap or derivative transaction relating to the Loan Parties and their obligations, (g) with the consent of the U.S. Borrower or (h) to the extent such Information (i) becomes publicly available other than as a result of a breach of this Section 9.12 or (ii) becomes available to the Agent or any Lender on a nonconfidential basis from a source other than any Borrower. For the purposes of this Section 9.12,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any Loan Party or any Foreign Borrower relating to the Loan Parties, the Subsidiaries or their respective businesses or the Transactions other than any such information that is available to the Agent or any Lender on a nonconfidential basis prior to disclosure by any Loan Party or any of the Subsidiaries or that becomes publicly available other than as a result of a breach by such Agent or Lender of its obligations hereunder. Any Person required to maintain the confidentiality of Information as provided in this Section 9.12 shall be considered to have complied with its obligation to do so if such Person has exercised substantially the same degree of care to maintain the confidentiality of such Information as such Person would accord to its own confidential information.</w:t>
      </w:r>
    </w:p>
    <w:p>
      <w:pPr>
        <w:spacing w:after="0" w:line="92"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IX.13</w:t>
      </w:r>
      <w:r>
        <w:rPr>
          <w:sz w:val="20"/>
          <w:szCs w:val="20"/>
          <w:color w:val="auto"/>
        </w:rPr>
        <w:tab/>
      </w:r>
      <w:r>
        <w:rPr>
          <w:rFonts w:ascii="Times New Roman" w:cs="Times New Roman" w:eastAsia="Times New Roman" w:hAnsi="Times New Roman"/>
          <w:sz w:val="19"/>
          <w:szCs w:val="19"/>
          <w:u w:val="single" w:color="auto"/>
          <w:color w:val="auto"/>
        </w:rPr>
        <w:t>Several Obligations; Nonreliance; Violation of Law</w:t>
      </w:r>
    </w:p>
    <w:p>
      <w:pPr>
        <w:spacing w:after="0" w:line="216" w:lineRule="exact"/>
        <w:rPr>
          <w:sz w:val="20"/>
          <w:szCs w:val="20"/>
          <w:color w:val="auto"/>
        </w:rPr>
      </w:pPr>
    </w:p>
    <w:p>
      <w:pPr>
        <w:ind w:firstLine="8"/>
        <w:spacing w:after="0" w:line="253" w:lineRule="auto"/>
        <w:tabs>
          <w:tab w:leader="none" w:pos="99"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respective obligations of the Lenders hereunder are several and not joint and the failure of any Lender to make any Loan or perform any of its obligations hereunder shall not relieve any other Lender from any of its obligations hereunder. Each Lender hereby represents that (a) it is not relying on or looking to any Margin Stock for the repayment of the Borrowings and other credit extensions provided for herein and acknowledges that the Collateral shall not include any Margin Stock and (b) it is not and will not become a “creditor” as defined in Regulation T or a “foreign branch of a broker-dealer” within the meaning of Regulation X. Anything contained in this Agreement to the contrary notwithstanding, no Lender shall be obligated to extend credit to any Borrower in violation of any Requirement of Law.</w:t>
      </w:r>
    </w:p>
    <w:p>
      <w:pPr>
        <w:spacing w:after="0" w:line="84"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IX.14</w:t>
      </w:r>
      <w:r>
        <w:rPr>
          <w:sz w:val="20"/>
          <w:szCs w:val="20"/>
          <w:color w:val="auto"/>
        </w:rPr>
        <w:tab/>
      </w:r>
      <w:r>
        <w:rPr>
          <w:rFonts w:ascii="Times New Roman" w:cs="Times New Roman" w:eastAsia="Times New Roman" w:hAnsi="Times New Roman"/>
          <w:sz w:val="19"/>
          <w:szCs w:val="19"/>
          <w:u w:val="single" w:color="auto"/>
          <w:color w:val="auto"/>
        </w:rPr>
        <w:t>USA PATRIOT Act</w:t>
      </w:r>
    </w:p>
    <w:p>
      <w:pPr>
        <w:spacing w:after="0" w:line="216" w:lineRule="exact"/>
        <w:rPr>
          <w:sz w:val="20"/>
          <w:szCs w:val="20"/>
          <w:color w:val="auto"/>
        </w:rPr>
      </w:pPr>
    </w:p>
    <w:p>
      <w:pPr>
        <w:ind w:right="20" w:firstLine="8"/>
        <w:spacing w:after="0" w:line="251" w:lineRule="auto"/>
        <w:tabs>
          <w:tab w:leader="none" w:pos="99"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subject to the requirements of the USA PATRIOT Act or the Proceeds of Crime (Money Laundering) and Terrorist Financing Act (Canada) hereby notifies each Loan Party that pursuant to the requirements of such Act or Acts, it is required to obtain, verify and record information that identifies each Loan Party, which information includes the name and address of each Loan Party and other information that will allow such Lender to identify each Loan Party in accordance with such Acts. Each Loan Party shall, promptly following a request by the Agent (on behalf of itself or any Lender), provide all reasonable documentation and other information that the Agent or such Lender reasonably requests that is a Requirement of Law in order to comply with its ongoing obligations under applicable “know your customer” and anti-money laundering rules and regulations, including the USA PATRIOT Act and the Proceeds of Crime (Money Laundering) and Terrorist Financing Act (Canada).</w:t>
      </w:r>
    </w:p>
    <w:p>
      <w:pPr>
        <w:spacing w:after="0" w:line="87"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IX.15</w:t>
      </w:r>
      <w:r>
        <w:rPr>
          <w:sz w:val="20"/>
          <w:szCs w:val="20"/>
          <w:color w:val="auto"/>
        </w:rPr>
        <w:tab/>
      </w:r>
      <w:r>
        <w:rPr>
          <w:rFonts w:ascii="Times New Roman" w:cs="Times New Roman" w:eastAsia="Times New Roman" w:hAnsi="Times New Roman"/>
          <w:sz w:val="19"/>
          <w:szCs w:val="19"/>
          <w:u w:val="single" w:color="auto"/>
          <w:color w:val="auto"/>
        </w:rPr>
        <w:t>Disclosure</w:t>
      </w:r>
    </w:p>
    <w:p>
      <w:pPr>
        <w:spacing w:after="0" w:line="229" w:lineRule="exact"/>
        <w:rPr>
          <w:sz w:val="20"/>
          <w:szCs w:val="20"/>
          <w:color w:val="auto"/>
        </w:rPr>
      </w:pPr>
    </w:p>
    <w:p>
      <w:pPr>
        <w:ind w:right="180" w:firstLine="8"/>
        <w:spacing w:after="0" w:line="254" w:lineRule="auto"/>
        <w:tabs>
          <w:tab w:leader="none" w:pos="99"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Lender hereby acknowledges and agrees that the Agent and/or its Affiliates from time to time may hold investments in, make other loans to or have other relationships with any of the Loan Parties and their respective Affiliates. In addition, each Loan Party and each Lender hereby acknowledges that Affiliates of the Joint Lead Arrangers, the Co-Documentation Agent, the Agent and certain of the Lenders will be initial purchasers of the New Senior Notes.</w:t>
      </w:r>
    </w:p>
    <w:p>
      <w:pPr>
        <w:spacing w:after="0" w:line="79"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IX.16</w:t>
      </w:r>
      <w:r>
        <w:rPr>
          <w:sz w:val="20"/>
          <w:szCs w:val="20"/>
          <w:color w:val="auto"/>
        </w:rPr>
        <w:tab/>
      </w:r>
      <w:r>
        <w:rPr>
          <w:rFonts w:ascii="Times New Roman" w:cs="Times New Roman" w:eastAsia="Times New Roman" w:hAnsi="Times New Roman"/>
          <w:sz w:val="19"/>
          <w:szCs w:val="19"/>
          <w:u w:val="single" w:color="auto"/>
          <w:color w:val="auto"/>
        </w:rPr>
        <w:t>Interest Rate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34" w:name="page335"/>
    <w:bookmarkEnd w:id="334"/>
    <w:p>
      <w:pPr>
        <w:ind w:firstLine="8"/>
        <w:spacing w:after="0" w:line="266" w:lineRule="auto"/>
        <w:tabs>
          <w:tab w:leader="none" w:pos="99" w:val="left"/>
        </w:tabs>
        <w:numPr>
          <w:ilvl w:val="0"/>
          <w:numId w:val="3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9"/>
          <w:szCs w:val="19"/>
          <w:u w:val="single" w:color="auto"/>
          <w:color w:val="auto"/>
        </w:rPr>
        <w:t>Charges</w:t>
      </w:r>
      <w:r>
        <w:rPr>
          <w:rFonts w:ascii="Times New Roman" w:cs="Times New Roman" w:eastAsia="Times New Roman" w:hAnsi="Times New Roman"/>
          <w:sz w:val="19"/>
          <w:szCs w:val="19"/>
          <w:color w:val="auto"/>
        </w:rPr>
        <w:t>”), shall exceed the maximum lawful rate (the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9.16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74"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IX.17</w:t>
      </w:r>
      <w:r>
        <w:rPr>
          <w:sz w:val="20"/>
          <w:szCs w:val="20"/>
          <w:color w:val="auto"/>
        </w:rPr>
        <w:tab/>
      </w:r>
      <w:r>
        <w:rPr>
          <w:rFonts w:ascii="Times New Roman" w:cs="Times New Roman" w:eastAsia="Times New Roman" w:hAnsi="Times New Roman"/>
          <w:sz w:val="19"/>
          <w:szCs w:val="19"/>
          <w:u w:val="single" w:color="auto"/>
          <w:color w:val="auto"/>
        </w:rPr>
        <w:t>Material Non-Public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140" w:firstLine="1304"/>
        <w:spacing w:after="0" w:line="253" w:lineRule="auto"/>
        <w:tabs>
          <w:tab w:leader="none" w:pos="1934"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ACKNOWLEDGES THAT INFORMATION AS DEFINED IN SECTION 9.12(a)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2" w:lineRule="exact"/>
        <w:rPr>
          <w:rFonts w:ascii="Times New Roman" w:cs="Times New Roman" w:eastAsia="Times New Roman" w:hAnsi="Times New Roman"/>
          <w:sz w:val="20"/>
          <w:szCs w:val="20"/>
          <w:color w:val="auto"/>
        </w:rPr>
      </w:pPr>
    </w:p>
    <w:p>
      <w:pPr>
        <w:ind w:right="20" w:firstLine="1304"/>
        <w:spacing w:after="0" w:line="251" w:lineRule="auto"/>
        <w:tabs>
          <w:tab w:leader="none" w:pos="1932"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INCLUDING REQUESTS FOR WAIVERS AND AMENDMENTS, FURNISHED BY THE BORROWER OR THE AGENT PURSUANT TO, OR IN THE COURSE OF ADMINISTERING, THIS AGREEMENT WILL BE SYNDICATE-LEVEL INFORMATION, WHICH MAY CONTAIN MATERIAL NON-PUBLIC INFORMATION ABOUT THE LOAN PARTIES AND THEIR RELATED PARTIES OR THEIR RESPECTIVE SECURITIES. ACCORDINGLY, EACH LENDER REPRESENTS TO THE BORROWER AND THE AGENT THAT IT HAS IDENTIFIED IN ITS ADMINISTRATIVE QUESTIONNAIRE A CREDIT CONTACT WHO MAY RECEIVE INFORMATION THAT MAY CONTAIN MATERIAL NON-PUBLIC INFORMATION IN ACCORDANCE WITH ITS COMPLIANCE PROCEDURES AND APPLICABLE LAW.</w:t>
      </w:r>
    </w:p>
    <w:p>
      <w:pPr>
        <w:spacing w:after="0" w:line="193"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IX.18</w:t>
      </w:r>
      <w:r>
        <w:rPr>
          <w:sz w:val="20"/>
          <w:szCs w:val="20"/>
          <w:color w:val="auto"/>
        </w:rPr>
        <w:tab/>
      </w:r>
      <w:r>
        <w:rPr>
          <w:rFonts w:ascii="Times New Roman" w:cs="Times New Roman" w:eastAsia="Times New Roman" w:hAnsi="Times New Roman"/>
          <w:sz w:val="19"/>
          <w:szCs w:val="19"/>
          <w:u w:val="single" w:color="auto"/>
          <w:color w:val="auto"/>
        </w:rPr>
        <w:t>No Fiduciary Duty, etc.</w:t>
      </w:r>
    </w:p>
    <w:p>
      <w:pPr>
        <w:spacing w:after="0" w:line="21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0"/>
          <w:szCs w:val="20"/>
          <w:color w:val="auto"/>
        </w:rPr>
        <w:t>Each Borrower acknowledges and agrees, and acknowledges its subsidiaries’ understanding, that none of the Agent, any Joint Lead Arranger, any Co-Documentation Agent, any Issuing Bank or any Lender will have any obligations except those obligations expressly set forth herein and in the other Loan Documents and each of the Agent, each Joint Lead Arranger, each Co-Documentation Agent, each Issuing Bank and each Lender is acting solely in the capacity of an arm’s length contractual counterparty to such Borrower with respect to the Loan Documents and the transaction contemplated therein and not as a financial advisor or a fiduciary to, or an agent of, such Borrower or any other person (including, without limitation, each other Loan Party). Each Borrower agrees that it will not assert any claim against the Agent, any Joint Lead Arranger, any Co-Documentation Agent, any Issuing Bank or any Lender based on an alleged breach of fiduciary duty by such Agent, Joint Lead Arranger, Co-Documentation Agent, Issuing Bank or Lender in connection with this Agreement and the transactions contemplated hereby. Additionally, each Borrower acknowledges and agrees that none of the Agent,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35" w:name="page336"/>
    <w:bookmarkEnd w:id="335"/>
    <w:p>
      <w:pPr>
        <w:spacing w:after="0" w:line="253" w:lineRule="auto"/>
        <w:rPr>
          <w:sz w:val="20"/>
          <w:szCs w:val="20"/>
          <w:color w:val="auto"/>
        </w:rPr>
      </w:pPr>
      <w:r>
        <w:rPr>
          <w:rFonts w:ascii="Times New Roman" w:cs="Times New Roman" w:eastAsia="Times New Roman" w:hAnsi="Times New Roman"/>
          <w:sz w:val="20"/>
          <w:szCs w:val="20"/>
          <w:color w:val="auto"/>
        </w:rPr>
        <w:t>Joint Lead Arranger, any Co-Documentation Agent, any Issuing Bank or any Lender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hereby, and none of the Agent, any Joint Lead Arranger, any Co-Documentation Agent, any Issuing Bank or any Lender shall have any responsibility or liability to such Borrower with respect thereto.</w:t>
      </w:r>
    </w:p>
    <w:p>
      <w:pPr>
        <w:spacing w:after="0" w:line="2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Each Borrower further acknowledges and agrees, and acknowledges its subsidiaries’ understanding, that each of the Agent, each Joint Lead Arranger, each Co-Documentation Agent and each Issuing Bank is, and certain of the Lenders are, full service securities or banking firms engaged in securities trading and brokerage activities as well as providing investment banking and other financial services. In the ordinary course of business, any of the Agent, any Joint Lead Arranger, any Co-Documentation Agent, any Issuing Bank or any Lender may provide investment banking and other financial services to, and/or acquire, hold or sell, for its own accounts and the accounts of customers, equity, debt and other securities and financial instruments (including bank loans and other obligations) of, you and other companies with which you may have commercial or other relationships. With respect to any securities and/or financial instruments so held by any of the Agent, any Joint Lead Arranger, any Co-Documentation Agent, any Issuing Bank or any Lender or any of its customers, all rights in respect of such securities and financial instruments, including any voting rights, will be exercised by the holder of the rights, in its sole discretion.</w:t>
      </w:r>
    </w:p>
    <w:p>
      <w:pPr>
        <w:spacing w:after="0" w:line="6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In addition, each Borrower acknowledges and agrees, and acknowledges its subsidiaries’ understanding, that each of the Agent, any Joint Lead Arranger, any Co-Documentation Agent, any Issuing Bank or any Lender and any of their respective affiliates may be providing debt financing, equity capital or other services (including financial advisory services) to other companies in respect of which you may have conflicting interests regarding the transactions described herein and otherwise. None of the Agent, any Joint Lead Arranger, any Co-Documentation Agent, any Issuing Bank or any Lender will use confidential information obtained from you by virtue of the transactions contemplated by the Loan Documents or its other relationships with you in connection with the performance by such Person of services for other companies, and none of the Agent, any Joint Lead Arranger, any Co-Documentation Agent, any Issuing Bank or any Lender will furnish any such information to other companies. You also acknowledge that none of the Agent, any Joint Lead Arranger, any Co-Documentation Agent, any Issuing Bank or any Lender has any obligation to use in connection with the transactions contemplated by the Loan Documents, or to furnish to you, confidential information obtained from other companies.</w:t>
      </w:r>
    </w:p>
    <w:p>
      <w:pPr>
        <w:spacing w:after="0" w:line="69"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IX.19</w:t>
      </w:r>
      <w:r>
        <w:rPr>
          <w:sz w:val="20"/>
          <w:szCs w:val="20"/>
          <w:color w:val="auto"/>
        </w:rPr>
        <w:tab/>
      </w:r>
      <w:r>
        <w:rPr>
          <w:rFonts w:ascii="Times New Roman" w:cs="Times New Roman" w:eastAsia="Times New Roman" w:hAnsi="Times New Roman"/>
          <w:sz w:val="19"/>
          <w:szCs w:val="19"/>
          <w:u w:val="single" w:color="auto"/>
          <w:color w:val="auto"/>
        </w:rPr>
        <w:t>Keepwell</w:t>
      </w:r>
    </w:p>
    <w:p>
      <w:pPr>
        <w:spacing w:after="0" w:line="229" w:lineRule="exact"/>
        <w:rPr>
          <w:sz w:val="20"/>
          <w:szCs w:val="20"/>
          <w:color w:val="auto"/>
        </w:rPr>
      </w:pPr>
    </w:p>
    <w:p>
      <w:pPr>
        <w:ind w:firstLine="1304"/>
        <w:spacing w:after="0" w:line="252" w:lineRule="auto"/>
        <w:tabs>
          <w:tab w:leader="none" w:pos="1395"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Qualified ECP Guarantor hereby jointly and severally absolutely, unconditionally and irrevocably undertakes to provide such funds or other support as may be needed from time to time by each other Loan Party to honor all of its obligations under this Agreement in respect of Swap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each Qualified ECP Guarantor shall only be liable under this Section 9.19 for the maximum amount of such liability that can be hereby incurred without rendering its obligations under this Section 9.19, or otherwise under this Agreement, voidable under applicable law relating to fraudulent conveyance or fraudulent transfer, and not for any greater amount). The obligations of each Qualified ECP Guarantor under this Section 9.19 shall remain in full force and effect until the satisfaction and discharge of all Guaranteed Obligations. The U.S. Borrower and each Qualified ECP Guarantor intends that this Section 9.19 constitute, and this Section 9.19 shall be deemed to constitute, a “keepwell, support, or other agreement” for the benefit of the U.S. Borrower and each Qualified ECP Guarantor for all purposes of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336" w:name="page337"/>
    <w:bookmarkEnd w:id="336"/>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IX.20</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EEA Financial Institutions</w:t>
      </w:r>
    </w:p>
    <w:p>
      <w:pPr>
        <w:spacing w:after="0" w:line="229" w:lineRule="exact"/>
        <w:rPr>
          <w:sz w:val="20"/>
          <w:szCs w:val="20"/>
          <w:color w:val="auto"/>
        </w:rPr>
      </w:pPr>
    </w:p>
    <w:p>
      <w:pPr>
        <w:ind w:right="120" w:firstLine="8"/>
        <w:spacing w:after="0" w:line="254" w:lineRule="auto"/>
        <w:tabs>
          <w:tab w:leader="none" w:pos="99"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79" w:lineRule="exact"/>
        <w:rPr>
          <w:rFonts w:ascii="Times New Roman" w:cs="Times New Roman" w:eastAsia="Times New Roman" w:hAnsi="Times New Roman"/>
          <w:sz w:val="20"/>
          <w:szCs w:val="20"/>
          <w:color w:val="auto"/>
        </w:rPr>
      </w:pPr>
    </w:p>
    <w:p>
      <w:pPr>
        <w:ind w:left="660" w:right="440" w:firstLine="644"/>
        <w:spacing w:after="0" w:line="283" w:lineRule="auto"/>
        <w:tabs>
          <w:tab w:leader="none" w:pos="1725" w:val="left"/>
        </w:tabs>
        <w:numPr>
          <w:ilvl w:val="1"/>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29" w:lineRule="exact"/>
        <w:rPr>
          <w:rFonts w:ascii="Times New Roman" w:cs="Times New Roman" w:eastAsia="Times New Roman" w:hAnsi="Times New Roman"/>
          <w:sz w:val="20"/>
          <w:szCs w:val="20"/>
          <w:color w:val="auto"/>
        </w:rPr>
      </w:pPr>
    </w:p>
    <w:p>
      <w:pPr>
        <w:ind w:left="1880" w:hanging="378"/>
        <w:spacing w:after="0"/>
        <w:tabs>
          <w:tab w:leader="none" w:pos="1880" w:val="left"/>
        </w:tabs>
        <w:numPr>
          <w:ilvl w:val="2"/>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ind w:left="1300" w:firstLine="202"/>
        <w:spacing w:after="0" w:line="258" w:lineRule="auto"/>
        <w:tabs>
          <w:tab w:leader="none" w:pos="1937" w:val="left"/>
        </w:tabs>
        <w:numPr>
          <w:ilvl w:val="2"/>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rFonts w:ascii="Times New Roman" w:cs="Times New Roman" w:eastAsia="Times New Roman" w:hAnsi="Times New Roman"/>
          <w:sz w:val="20"/>
          <w:szCs w:val="20"/>
          <w:color w:val="auto"/>
        </w:rPr>
      </w:pPr>
    </w:p>
    <w:p>
      <w:pPr>
        <w:ind w:left="1300" w:right="120" w:firstLine="202"/>
        <w:spacing w:after="0" w:line="269" w:lineRule="auto"/>
        <w:tabs>
          <w:tab w:leader="none" w:pos="1992" w:val="left"/>
        </w:tabs>
        <w:numPr>
          <w:ilvl w:val="2"/>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any EEA Resolution Authority.</w:t>
      </w:r>
    </w:p>
    <w:p>
      <w:pPr>
        <w:spacing w:after="0" w:line="173"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auto"/>
        </w:rPr>
        <w:t>SECTION IX.21</w:t>
      </w:r>
      <w:r>
        <w:rPr>
          <w:sz w:val="20"/>
          <w:szCs w:val="20"/>
          <w:color w:val="auto"/>
        </w:rPr>
        <w:tab/>
      </w:r>
      <w:r>
        <w:rPr>
          <w:rFonts w:ascii="Times New Roman" w:cs="Times New Roman" w:eastAsia="Times New Roman" w:hAnsi="Times New Roman"/>
          <w:sz w:val="19"/>
          <w:szCs w:val="19"/>
          <w:u w:val="single" w:color="auto"/>
          <w:color w:val="auto"/>
        </w:rPr>
        <w:t>Acknowledgement Regarding any Supported QFCs</w:t>
      </w:r>
    </w:p>
    <w:p>
      <w:pPr>
        <w:spacing w:after="0" w:line="229" w:lineRule="exact"/>
        <w:rPr>
          <w:sz w:val="20"/>
          <w:szCs w:val="20"/>
          <w:color w:val="auto"/>
        </w:rPr>
      </w:pPr>
    </w:p>
    <w:p>
      <w:pPr>
        <w:ind w:right="20" w:firstLine="8"/>
        <w:spacing w:after="0" w:line="251" w:lineRule="auto"/>
        <w:tabs>
          <w:tab w:leader="none" w:pos="99"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8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37" w:name="page338"/>
    <w:bookmarkEnd w:id="337"/>
    <w:p>
      <w:pPr>
        <w:ind w:right="120"/>
        <w:spacing w:after="0" w:line="283" w:lineRule="auto"/>
        <w:rPr>
          <w:sz w:val="20"/>
          <w:szCs w:val="20"/>
          <w:color w:val="auto"/>
        </w:rPr>
      </w:pPr>
      <w:r>
        <w:rPr>
          <w:rFonts w:ascii="Times New Roman" w:cs="Times New Roman" w:eastAsia="Times New Roman" w:hAnsi="Times New Roman"/>
          <w:sz w:val="20"/>
          <w:szCs w:val="20"/>
          <w:color w:val="auto"/>
        </w:rPr>
        <w:t>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LOAN GUARANTY</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X.1 </w:t>
      </w:r>
      <w:r>
        <w:rPr>
          <w:rFonts w:ascii="Times New Roman" w:cs="Times New Roman" w:eastAsia="Times New Roman" w:hAnsi="Times New Roman"/>
          <w:sz w:val="20"/>
          <w:szCs w:val="20"/>
          <w:u w:val="single" w:color="auto"/>
          <w:color w:val="auto"/>
        </w:rPr>
        <w:t>Guaranty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firstLine="1304"/>
        <w:spacing w:after="0" w:line="251" w:lineRule="auto"/>
        <w:tabs>
          <w:tab w:leader="none" w:pos="1934"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Guarantor hereby agrees that it is jointly and severally liable for, and, as primary obligor and not merely as surety, and absolutely and unconditionally guarantees to the Secured Parties the prompt payment when due, whether at stated maturity, upon acceleration or otherwise, and at all times thereafter, of the Secured Obligations (collectively the “</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Each Loan Guarantor further agrees that the Guaranteed Obligations may be extended or renewed in whole or in part without notice to or further assent from it, and that it remains bound upon its guarantee notwithstanding any such extension or renewal. For the avoidance of doubt, unless required by applicable law, the parties hereto acknowledge and agree to report consistently therewith that each Loan Guarantor that is a Domestic Subsidiary of the U.S. Borrower shall be treated as a primary obligor of the U.S. Borrower Guaranteed Obligations for U.S. federal and state tax purposes.</w:t>
      </w:r>
    </w:p>
    <w:p>
      <w:pPr>
        <w:spacing w:after="0" w:line="195" w:lineRule="exact"/>
        <w:rPr>
          <w:rFonts w:ascii="Times New Roman" w:cs="Times New Roman" w:eastAsia="Times New Roman" w:hAnsi="Times New Roman"/>
          <w:sz w:val="20"/>
          <w:szCs w:val="20"/>
          <w:color w:val="auto"/>
        </w:rPr>
      </w:pPr>
    </w:p>
    <w:p>
      <w:pPr>
        <w:ind w:right="100" w:firstLine="1304"/>
        <w:spacing w:after="0" w:line="252" w:lineRule="auto"/>
        <w:tabs>
          <w:tab w:leader="none" w:pos="1932"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hereby agrees that it is jointly and severally liable for, and, as primary obligor and not merely as surety, and absolutely and unconditionally guarantees to the Secured Parties the prompt payment when due, whether at stated maturity, upon acceleration or otherwise, and at all times thereafter, of the Secured Obligations (other than Secured Obligations that are expressly the obligations of the U.S. Borrower pursuant to the terms of any Loan Document, Hedge Agreement or Cash Management Agreement, which Secured Obligations shall continue to be the primary obligations of the U.S. Borrower) (collectively the “</w:t>
      </w:r>
      <w:r>
        <w:rPr>
          <w:rFonts w:ascii="Times New Roman" w:cs="Times New Roman" w:eastAsia="Times New Roman" w:hAnsi="Times New Roman"/>
          <w:sz w:val="20"/>
          <w:szCs w:val="20"/>
          <w:u w:val="single" w:color="auto"/>
          <w:color w:val="auto"/>
        </w:rPr>
        <w:t>U.S. Borrower Guaranteed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The U.S. Borrower further agrees that the U.S. Borrower Guaranteed Obligations may be extended or renewed in whole or in part without notice to or further assent from it, and that it remains bound upon its guarantee notwithstanding any such extension or renewal. The provisions of this Article X (other than Section 10.12) shall apply equally to the U.S. Borrower as guarantor of the U.S. Borrower Guaranteed Obligations as to the Loan Guarantors as guarantors of the Guaranteed Obligations.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X.2 </w:t>
      </w:r>
      <w:r>
        <w:rPr>
          <w:rFonts w:ascii="Times New Roman" w:cs="Times New Roman" w:eastAsia="Times New Roman" w:hAnsi="Times New Roman"/>
          <w:sz w:val="20"/>
          <w:szCs w:val="20"/>
          <w:u w:val="single" w:color="auto"/>
          <w:color w:val="auto"/>
        </w:rPr>
        <w:t>Guaranty of Payment</w:t>
      </w:r>
    </w:p>
    <w:p>
      <w:pPr>
        <w:spacing w:after="0" w:line="229" w:lineRule="exact"/>
        <w:rPr>
          <w:sz w:val="20"/>
          <w:szCs w:val="20"/>
          <w:color w:val="auto"/>
        </w:rPr>
      </w:pPr>
    </w:p>
    <w:p>
      <w:pPr>
        <w:ind w:right="20" w:firstLine="8"/>
        <w:spacing w:after="0" w:line="258" w:lineRule="auto"/>
        <w:tabs>
          <w:tab w:leader="none" w:pos="99"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Loan Guaranty is a guaranty of payment and not of collection. Each Loan Guarantor waives any right to require the Agent or any Secured Party to sue any Borrower, any Loan Guarantor, any other guarantor, or any other Person obligated for all or any part of the Guaranteed Obligations (each, an “</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or otherwise to enforce its payment against any collateral securing all or any part of the Guaranteed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38" w:name="page339"/>
    <w:bookmarkEnd w:id="338"/>
    <w:p>
      <w:pPr>
        <w:ind w:left="1300"/>
        <w:spacing w:after="0"/>
        <w:rPr>
          <w:sz w:val="20"/>
          <w:szCs w:val="20"/>
          <w:color w:val="auto"/>
        </w:rPr>
      </w:pPr>
      <w:r>
        <w:rPr>
          <w:rFonts w:ascii="Times New Roman" w:cs="Times New Roman" w:eastAsia="Times New Roman" w:hAnsi="Times New Roman"/>
          <w:sz w:val="20"/>
          <w:szCs w:val="20"/>
          <w:color w:val="auto"/>
        </w:rPr>
        <w:t xml:space="preserve">SECTION X.3 </w:t>
      </w:r>
      <w:r>
        <w:rPr>
          <w:rFonts w:ascii="Times New Roman" w:cs="Times New Roman" w:eastAsia="Times New Roman" w:hAnsi="Times New Roman"/>
          <w:sz w:val="20"/>
          <w:szCs w:val="20"/>
          <w:u w:val="single" w:color="auto"/>
          <w:color w:val="auto"/>
        </w:rPr>
        <w:t>No Discharge or Diminishment of Loan Guaranty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60" w:firstLine="1304"/>
        <w:spacing w:after="0" w:line="252" w:lineRule="auto"/>
        <w:tabs>
          <w:tab w:leader="none" w:pos="1934" w:val="left"/>
        </w:tabs>
        <w:numPr>
          <w:ilvl w:val="1"/>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guarantor of or other Person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Agent, any Secured Party, or any other Person, whether in connection herewith or in any unrelated transactions.</w:t>
      </w:r>
    </w:p>
    <w:p>
      <w:pPr>
        <w:spacing w:after="0" w:line="189" w:lineRule="exact"/>
        <w:rPr>
          <w:rFonts w:ascii="Times New Roman" w:cs="Times New Roman" w:eastAsia="Times New Roman" w:hAnsi="Times New Roman"/>
          <w:sz w:val="20"/>
          <w:szCs w:val="20"/>
          <w:color w:val="auto"/>
        </w:rPr>
      </w:pPr>
    </w:p>
    <w:p>
      <w:pPr>
        <w:ind w:right="380" w:firstLine="1304"/>
        <w:spacing w:after="0" w:line="254" w:lineRule="auto"/>
        <w:tabs>
          <w:tab w:leader="none" w:pos="1932" w:val="left"/>
        </w:tabs>
        <w:numPr>
          <w:ilvl w:val="1"/>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87" w:lineRule="exact"/>
        <w:rPr>
          <w:rFonts w:ascii="Times New Roman" w:cs="Times New Roman" w:eastAsia="Times New Roman" w:hAnsi="Times New Roman"/>
          <w:sz w:val="20"/>
          <w:szCs w:val="20"/>
          <w:color w:val="auto"/>
        </w:rPr>
      </w:pPr>
    </w:p>
    <w:p>
      <w:pPr>
        <w:ind w:right="20" w:firstLine="1304"/>
        <w:spacing w:after="0" w:line="264" w:lineRule="auto"/>
        <w:tabs>
          <w:tab w:leader="none" w:pos="1934" w:val="left"/>
        </w:tabs>
        <w:numPr>
          <w:ilvl w:val="1"/>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Further, the obligations of any Loan Guarantor hereunder are not discharged or impaired or otherwise affected by: (i) the failure of the Agent or any Secured Party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guarantor of or other Person liable for any of the Guaranteed Obligations;</w:t>
      </w:r>
    </w:p>
    <w:p>
      <w:pPr>
        <w:spacing w:after="0" w:line="1" w:lineRule="exact"/>
        <w:rPr>
          <w:rFonts w:ascii="Times New Roman" w:cs="Times New Roman" w:eastAsia="Times New Roman" w:hAnsi="Times New Roman"/>
          <w:sz w:val="19"/>
          <w:szCs w:val="19"/>
          <w:color w:val="auto"/>
        </w:rPr>
      </w:pPr>
    </w:p>
    <w:p>
      <w:pPr>
        <w:ind w:firstLine="8"/>
        <w:spacing w:after="0" w:line="249" w:lineRule="auto"/>
        <w:tabs>
          <w:tab w:leader="none" w:pos="335"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or failure to act by the Agent or any Secured Party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X.4 </w:t>
      </w:r>
      <w:r>
        <w:rPr>
          <w:rFonts w:ascii="Times New Roman" w:cs="Times New Roman" w:eastAsia="Times New Roman" w:hAnsi="Times New Roman"/>
          <w:sz w:val="20"/>
          <w:szCs w:val="20"/>
          <w:u w:val="single" w:color="auto"/>
          <w:color w:val="auto"/>
        </w:rPr>
        <w:t>Defenses Waived</w:t>
      </w:r>
    </w:p>
    <w:p>
      <w:pPr>
        <w:spacing w:after="0" w:line="216" w:lineRule="exact"/>
        <w:rPr>
          <w:sz w:val="20"/>
          <w:szCs w:val="20"/>
          <w:color w:val="auto"/>
        </w:rPr>
      </w:pPr>
    </w:p>
    <w:p>
      <w:pPr>
        <w:ind w:firstLine="8"/>
        <w:spacing w:after="0" w:line="266" w:lineRule="auto"/>
        <w:tabs>
          <w:tab w:leader="none" w:pos="99" w:val="left"/>
        </w:tabs>
        <w:numPr>
          <w:ilvl w:val="0"/>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or any Loan Guarantor,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The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20"/>
          </w:cols>
          <w:pgMar w:left="320" w:top="1413" w:right="359" w:bottom="1440" w:gutter="0" w:footer="0" w:header="0"/>
        </w:sectPr>
      </w:pPr>
    </w:p>
    <w:bookmarkStart w:id="339" w:name="page340"/>
    <w:bookmarkEnd w:id="339"/>
    <w:p>
      <w:pPr>
        <w:ind w:right="40"/>
        <w:spacing w:after="0" w:line="253" w:lineRule="auto"/>
        <w:rPr>
          <w:sz w:val="20"/>
          <w:szCs w:val="20"/>
          <w:color w:val="auto"/>
        </w:rPr>
      </w:pPr>
      <w:r>
        <w:rPr>
          <w:rFonts w:ascii="Times New Roman" w:cs="Times New Roman" w:eastAsia="Times New Roman" w:hAnsi="Times New Roman"/>
          <w:sz w:val="20"/>
          <w:szCs w:val="20"/>
          <w:color w:val="auto"/>
        </w:rPr>
        <w:t>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X.5 </w:t>
      </w:r>
      <w:r>
        <w:rPr>
          <w:rFonts w:ascii="Times New Roman" w:cs="Times New Roman" w:eastAsia="Times New Roman" w:hAnsi="Times New Roman"/>
          <w:sz w:val="20"/>
          <w:szCs w:val="20"/>
          <w:u w:val="single" w:color="auto"/>
          <w:color w:val="auto"/>
        </w:rPr>
        <w:t>Rights of Subrogation</w:t>
      </w:r>
    </w:p>
    <w:p>
      <w:pPr>
        <w:spacing w:after="0" w:line="229" w:lineRule="exact"/>
        <w:rPr>
          <w:sz w:val="20"/>
          <w:szCs w:val="20"/>
          <w:color w:val="auto"/>
        </w:rPr>
      </w:pPr>
    </w:p>
    <w:p>
      <w:pPr>
        <w:ind w:right="20" w:firstLine="8"/>
        <w:spacing w:after="0" w:line="261" w:lineRule="auto"/>
        <w:tabs>
          <w:tab w:leader="none" w:pos="99"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Agent and the Secured Parties.</w:t>
      </w:r>
    </w:p>
    <w:p>
      <w:pPr>
        <w:spacing w:after="0" w:line="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X.6 </w:t>
      </w:r>
      <w:r>
        <w:rPr>
          <w:rFonts w:ascii="Times New Roman" w:cs="Times New Roman" w:eastAsia="Times New Roman" w:hAnsi="Times New Roman"/>
          <w:sz w:val="20"/>
          <w:szCs w:val="20"/>
          <w:u w:val="single" w:color="auto"/>
          <w:color w:val="auto"/>
        </w:rPr>
        <w:t>Reinstatement; Stay of Acceleration</w:t>
      </w:r>
    </w:p>
    <w:p>
      <w:pPr>
        <w:spacing w:after="0" w:line="229" w:lineRule="exact"/>
        <w:rPr>
          <w:sz w:val="20"/>
          <w:szCs w:val="20"/>
          <w:color w:val="auto"/>
        </w:rPr>
      </w:pPr>
    </w:p>
    <w:p>
      <w:pPr>
        <w:ind w:right="160" w:firstLine="8"/>
        <w:spacing w:after="0" w:line="253" w:lineRule="auto"/>
        <w:tabs>
          <w:tab w:leader="none" w:pos="99"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any payment of any portion of the Guaranteed Obligations is rescinded or must otherwise be restored or returned upon the insolvency, bankruptcy, or reorganization of any Borrower or otherwise, each Loan Guarantor’s obligations under this Loan Guaranty with respect to that payment shall be reinstated at such time as though the payment had not been made.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Secured Party.</w:t>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X.7 </w:t>
      </w:r>
      <w:r>
        <w:rPr>
          <w:rFonts w:ascii="Times New Roman" w:cs="Times New Roman" w:eastAsia="Times New Roman" w:hAnsi="Times New Roman"/>
          <w:sz w:val="20"/>
          <w:szCs w:val="20"/>
          <w:u w:val="single" w:color="auto"/>
          <w:color w:val="auto"/>
        </w:rPr>
        <w:t>Information</w:t>
      </w:r>
    </w:p>
    <w:p>
      <w:pPr>
        <w:spacing w:after="0" w:line="216" w:lineRule="exact"/>
        <w:rPr>
          <w:sz w:val="20"/>
          <w:szCs w:val="20"/>
          <w:color w:val="auto"/>
        </w:rPr>
      </w:pPr>
    </w:p>
    <w:p>
      <w:pPr>
        <w:ind w:firstLine="8"/>
        <w:spacing w:after="0" w:line="258" w:lineRule="auto"/>
        <w:tabs>
          <w:tab w:leader="none" w:pos="99"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Guarantor assumes all responsibility for being and keeping itself informed of each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Agent nor any Secured Party shall have any duty to advise any Loan Guarantor of information known to it regarding those circumstances or risks.</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X.8 </w:t>
      </w:r>
      <w:r>
        <w:rPr>
          <w:rFonts w:ascii="Times New Roman" w:cs="Times New Roman" w:eastAsia="Times New Roman" w:hAnsi="Times New Roman"/>
          <w:sz w:val="20"/>
          <w:szCs w:val="20"/>
          <w:u w:val="single" w:color="auto"/>
          <w:color w:val="auto"/>
        </w:rPr>
        <w:t>[Reserved]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X.9 </w:t>
      </w:r>
      <w:r>
        <w:rPr>
          <w:rFonts w:ascii="Times New Roman" w:cs="Times New Roman" w:eastAsia="Times New Roman" w:hAnsi="Times New Roman"/>
          <w:sz w:val="20"/>
          <w:szCs w:val="20"/>
          <w:u w:val="single" w:color="auto"/>
          <w:color w:val="auto"/>
        </w:rPr>
        <w:t>Maximum Liability</w:t>
      </w:r>
    </w:p>
    <w:p>
      <w:pPr>
        <w:spacing w:after="0" w:line="216" w:lineRule="exact"/>
        <w:rPr>
          <w:sz w:val="20"/>
          <w:szCs w:val="20"/>
          <w:color w:val="auto"/>
        </w:rPr>
      </w:pPr>
    </w:p>
    <w:p>
      <w:pPr>
        <w:ind w:firstLine="8"/>
        <w:spacing w:after="0" w:line="266" w:lineRule="auto"/>
        <w:tabs>
          <w:tab w:leader="none" w:pos="99" w:val="left"/>
        </w:tabs>
        <w:numPr>
          <w:ilvl w:val="0"/>
          <w:numId w:val="3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Loan Guaranty are severable, and in any action or proceeding involving any state corporate law, or any state, Federal or foreign bankruptcy, insolvency, reorganization or other law affecting the rights of creditors generally, if the obligations of any Loan Guarantor under this Loan Guaranty would otherwise be held or determined to be avoidable, invalid or unenforceable on account of the amount of such Loan Guarantor’s liability under this Loan Guaranty, then, notwithstanding any other provision of this Loan Guaranty to the contrary, the amount of such liability shall, without any further action by the Loan Guarantors or the Secured Parties, be automatically limited and reduced to the highest amount that is valid and enforceable as determined in such action or proceeding (such highest amount determined hereunder being the relevant Loan Guarantor’s “</w:t>
      </w:r>
      <w:r>
        <w:rPr>
          <w:rFonts w:ascii="Times New Roman" w:cs="Times New Roman" w:eastAsia="Times New Roman" w:hAnsi="Times New Roman"/>
          <w:sz w:val="19"/>
          <w:szCs w:val="19"/>
          <w:u w:val="single" w:color="auto"/>
          <w:color w:val="auto"/>
        </w:rPr>
        <w:t>Maximum Liability</w:t>
      </w:r>
      <w:r>
        <w:rPr>
          <w:rFonts w:ascii="Times New Roman" w:cs="Times New Roman" w:eastAsia="Times New Roman" w:hAnsi="Times New Roman"/>
          <w:sz w:val="19"/>
          <w:szCs w:val="19"/>
          <w:color w:val="auto"/>
        </w:rPr>
        <w:t>”). This Section 10.09 with respect to the Maximum Liability of each Loan Guarantor is intended solely to preserve the rights of the Secured Parties to the maximum extent not subject to avoidance under applicable law, and no Loan Guarantor nor any other Person or entity shall have any right or claim under this Section 10.09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40" w:name="page341"/>
    <w:bookmarkEnd w:id="340"/>
    <w:p>
      <w:pPr>
        <w:ind w:right="100"/>
        <w:spacing w:after="0" w:line="253" w:lineRule="auto"/>
        <w:rPr>
          <w:sz w:val="20"/>
          <w:szCs w:val="20"/>
          <w:color w:val="auto"/>
        </w:rPr>
      </w:pPr>
      <w:r>
        <w:rPr>
          <w:rFonts w:ascii="Times New Roman" w:cs="Times New Roman" w:eastAsia="Times New Roman" w:hAnsi="Times New Roman"/>
          <w:sz w:val="20"/>
          <w:szCs w:val="20"/>
          <w:color w:val="auto"/>
        </w:rPr>
        <w:t xml:space="preserve">respect to such Maximum Liability, except to the extent necessary so that the obligations of any Loan Guarantor hereunder shall not be rendered voidable under applicable law. Each Loan Guarantor agrees that the Guaranteed Obligations may at any time and from time to time exceed the Maximum Liability of each Loan Guarantor without impairing this Loan Guaranty or affecting the rights and remedies of the Secured Parties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sentence shall be construed to increase any Loan Guarantor’s obligations hereunder beyond its Maximum Liability.</w:t>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SECTION X.10</w:t>
      </w:r>
      <w:r>
        <w:rPr>
          <w:rFonts w:ascii="Times New Roman" w:cs="Times New Roman" w:eastAsia="Times New Roman" w:hAnsi="Times New Roman"/>
          <w:sz w:val="20"/>
          <w:szCs w:val="20"/>
          <w:u w:val="single" w:color="auto"/>
          <w:color w:val="auto"/>
        </w:rPr>
        <w:t>Contribution</w:t>
      </w:r>
    </w:p>
    <w:p>
      <w:pPr>
        <w:spacing w:after="0" w:line="229" w:lineRule="exact"/>
        <w:rPr>
          <w:sz w:val="20"/>
          <w:szCs w:val="20"/>
          <w:color w:val="auto"/>
        </w:rPr>
      </w:pPr>
    </w:p>
    <w:p>
      <w:pPr>
        <w:ind w:right="20" w:firstLine="8"/>
        <w:spacing w:after="0" w:line="249" w:lineRule="auto"/>
        <w:tabs>
          <w:tab w:leader="none" w:pos="99"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Loan Guarantor (a “</w:t>
      </w:r>
      <w:r>
        <w:rPr>
          <w:rFonts w:ascii="Times New Roman" w:cs="Times New Roman" w:eastAsia="Times New Roman" w:hAnsi="Times New Roman"/>
          <w:sz w:val="20"/>
          <w:szCs w:val="20"/>
          <w:u w:val="single" w:color="auto"/>
          <w:color w:val="auto"/>
        </w:rPr>
        <w:t>Paying Guarantor</w:t>
      </w:r>
      <w:r>
        <w:rPr>
          <w:rFonts w:ascii="Times New Roman" w:cs="Times New Roman" w:eastAsia="Times New Roman" w:hAnsi="Times New Roman"/>
          <w:sz w:val="20"/>
          <w:szCs w:val="20"/>
          <w:color w:val="auto"/>
        </w:rPr>
        <w:t>”) shall make any payment or payments under this Loan Guaranty or shall suffer any loss as a result of any realization upon any collateral granted by it to secure its obligations under this Loan Guaranty, each other Loan Guarantor (each a “</w:t>
      </w:r>
      <w:r>
        <w:rPr>
          <w:rFonts w:ascii="Times New Roman" w:cs="Times New Roman" w:eastAsia="Times New Roman" w:hAnsi="Times New Roman"/>
          <w:sz w:val="20"/>
          <w:szCs w:val="20"/>
          <w:u w:val="single" w:color="auto"/>
          <w:color w:val="auto"/>
        </w:rPr>
        <w:t>Non-Paying Guarantor</w:t>
      </w:r>
      <w:r>
        <w:rPr>
          <w:rFonts w:ascii="Times New Roman" w:cs="Times New Roman" w:eastAsia="Times New Roman" w:hAnsi="Times New Roman"/>
          <w:sz w:val="20"/>
          <w:szCs w:val="20"/>
          <w:color w:val="auto"/>
        </w:rPr>
        <w:t>”) shall contribute to such Paying Guarantor an amount equal to such Non-Paying Guarantor’s “Guarantor Percentage” of such payment or payments made, or losses suffered, by such Paying Guarantor. For purposes of this Article X, each Non-Paying Guarantor’s “</w:t>
      </w:r>
      <w:r>
        <w:rPr>
          <w:rFonts w:ascii="Times New Roman" w:cs="Times New Roman" w:eastAsia="Times New Roman" w:hAnsi="Times New Roman"/>
          <w:sz w:val="20"/>
          <w:szCs w:val="20"/>
          <w:u w:val="single" w:color="auto"/>
          <w:color w:val="auto"/>
        </w:rPr>
        <w:t>Guarantor Percentage</w:t>
      </w:r>
      <w:r>
        <w:rPr>
          <w:rFonts w:ascii="Times New Roman" w:cs="Times New Roman" w:eastAsia="Times New Roman" w:hAnsi="Times New Roman"/>
          <w:sz w:val="20"/>
          <w:szCs w:val="20"/>
          <w:color w:val="auto"/>
        </w:rPr>
        <w:t>” with respect to any such payment or loss by a Paying Guarantor shall be determined as of the date on which such payment or loss was made by reference to the ratio of (i) such Non-Paying Guarantor’s Maximum Liability as of such date (without giving effect to any right to receive, or obligation to make, any contribution hereunder) or, if such Non-Paying Guarantor’s Maximum Liability has not been determined, the aggregate amount of all monies received by such Non-Paying Guarantor from any Borrower after the Closing Date (whether by loan, capital infusion or by other means) to (ii) the aggregate Maximum Liability of all Loan Guarantors hereunder (including such Paying Guarantor) as of such date (without giving effect to any right to receive, or obligation to make, any contribution hereunder), or to the extent that a Maximum Liability has not been determined for any Loan Guarantor, the aggregate amount of all monies received by such Loan Guarantors from any Borrower after the Closing Date (whether by loan, capital infusion or by other means). Nothing in this provision shall affect any Loan Guarantor’s several liability for the entire amount of the Guaranteed Obligations (up to such Loan Guarantor’s Maximum Liability). Each of the Loan Guarantors covenants and agrees that its right to receive any contribution under this Loan Guaranty from a Non-Paying Guarantor shall be subordinate and junior in right of payment to the payment in full in cash of the Guaranteed Obligations. This provision is for the benefit of both the Agent, the Secured Parties and the Loan Guarantors and may be enforced by any one, or more, or all of them in accordance with the terms hereof.</w:t>
      </w:r>
    </w:p>
    <w:p>
      <w:pPr>
        <w:spacing w:after="0" w:line="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SECTION X.11</w:t>
      </w:r>
      <w:r>
        <w:rPr>
          <w:rFonts w:ascii="Times New Roman" w:cs="Times New Roman" w:eastAsia="Times New Roman" w:hAnsi="Times New Roman"/>
          <w:sz w:val="20"/>
          <w:szCs w:val="20"/>
          <w:u w:val="single" w:color="auto"/>
          <w:color w:val="auto"/>
        </w:rPr>
        <w:t>Liability Cumulative</w:t>
      </w:r>
    </w:p>
    <w:p>
      <w:pPr>
        <w:spacing w:after="0" w:line="216" w:lineRule="exact"/>
        <w:rPr>
          <w:sz w:val="20"/>
          <w:szCs w:val="20"/>
          <w:color w:val="auto"/>
        </w:rPr>
      </w:pPr>
    </w:p>
    <w:p>
      <w:pPr>
        <w:jc w:val="both"/>
        <w:ind w:right="60" w:firstLine="8"/>
        <w:spacing w:after="0" w:line="258" w:lineRule="auto"/>
        <w:tabs>
          <w:tab w:leader="none" w:pos="99"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liability of each Loan Party as a Loan Guarantor under this Article X is in addition to and shall be cumulative with all liabilities of each Loan Party to the Agent and the Secured Parties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SECTION X.12</w:t>
      </w:r>
      <w:r>
        <w:rPr>
          <w:rFonts w:ascii="Times New Roman" w:cs="Times New Roman" w:eastAsia="Times New Roman" w:hAnsi="Times New Roman"/>
          <w:sz w:val="20"/>
          <w:szCs w:val="20"/>
          <w:u w:val="single" w:color="auto"/>
          <w:color w:val="auto"/>
        </w:rPr>
        <w:t>Release of Loan Guarantors</w:t>
      </w:r>
    </w:p>
    <w:p>
      <w:pPr>
        <w:spacing w:after="0" w:line="216" w:lineRule="exact"/>
        <w:rPr>
          <w:sz w:val="20"/>
          <w:szCs w:val="20"/>
          <w:color w:val="auto"/>
        </w:rPr>
      </w:pPr>
    </w:p>
    <w:p>
      <w:pPr>
        <w:ind w:firstLine="8"/>
        <w:spacing w:after="0" w:line="253" w:lineRule="auto"/>
        <w:tabs>
          <w:tab w:leader="none" w:pos="99"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Section 9.02(b) to the contrary (i) a Subsidiary Guarantor shall automatically be released from its obligations hereunder and its Loan Guaranty shall be automatically released upon the consummation of any transaction permitted hereunder as a result of which such Subsidiary Guarantor ceases to be a Domestic Subsidiary of the U.S. Borrower and (ii) so long as no Event of Default has occurred and is continuing (A) if a Loan Guarantor is or becomes an Immaterial Subsidiary, and such release would not result in any Immaterial Subsidiary being required pursuant to Section 5.11(e) to become a Loan Party hereunder (except to the extent that on and as of the date of such release, one or more other Immaterial Subsidiaries become Loan Guarantors hereunder and the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40"/>
          </w:cols>
          <w:pgMar w:left="320" w:top="1413" w:right="339" w:bottom="1440" w:gutter="0" w:footer="0" w:header="0"/>
        </w:sectPr>
      </w:pPr>
    </w:p>
    <w:bookmarkStart w:id="341" w:name="page342"/>
    <w:bookmarkEnd w:id="341"/>
    <w:p>
      <w:pPr>
        <w:spacing w:after="0" w:line="250" w:lineRule="auto"/>
        <w:rPr>
          <w:sz w:val="20"/>
          <w:szCs w:val="20"/>
          <w:color w:val="auto"/>
        </w:rPr>
      </w:pPr>
      <w:r>
        <w:rPr>
          <w:rFonts w:ascii="Times New Roman" w:cs="Times New Roman" w:eastAsia="Times New Roman" w:hAnsi="Times New Roman"/>
          <w:sz w:val="20"/>
          <w:szCs w:val="20"/>
          <w:color w:val="auto"/>
        </w:rPr>
        <w:t>of Section 5.11(e) are satisfied upon giving effect to all such additions and releases), (B) a Restricted Subsidiary is designated as an Unrestricted Subsidiary in accordance with Section 6.07, (C) a Restricted Subsidiary is designated as a Receivables Subsidiary in connection with a Receivables Facility otherwise permitted hereunder and such Restricted Subsidiary owns no assets or engages in no activities other than such assets or activities which are the subject of such Receivables Facility or (D) a Loan Guarantor ceases to be a Wholly-Owned Subsidiary as a result of a transaction permitted by this Agreement, then in the case of each of clauses (A), (B), (C) and (D), such Subsidiary Guarantor shall be automatically released from its obligations hereunder and its Loan Guaranty shall be automatically released upon notification thereof from the U.S. Borrower to the Agent. In connection with any such release, the Agent shall execute and deliver to any Subsidiary Guarantor, at such Subsidiary Guarantor’s expense, all documents that such Subsidiary Guarantor shall reasonably request to evidence such termination or release. Any execution and delivery of documents pursuant to the preceding sentence of this Section 10.12 shall be without recourse to or warranty by the Agent.</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152199755.13</w:t>
      </w:r>
      <w:r>
        <w:rPr>
          <w:rFonts w:ascii="Times New Roman" w:cs="Times New Roman" w:eastAsia="Times New Roman" w:hAnsi="Times New Roman"/>
          <w:sz w:val="14"/>
          <w:szCs w:val="14"/>
          <w:u w:val="single" w:color="auto"/>
          <w:color w:val="0000FF"/>
        </w:rPr>
        <w:t>153352345.5</w:t>
      </w:r>
    </w:p>
    <w:p>
      <w:pPr>
        <w:sectPr>
          <w:pgSz w:w="11900" w:h="16838" w:orient="portrait"/>
          <w:cols w:equalWidth="0" w:num="1">
            <w:col w:w="11200"/>
          </w:cols>
          <w:pgMar w:left="320" w:top="1413" w:right="379" w:bottom="1440" w:gutter="0" w:footer="0" w:header="0"/>
        </w:sectPr>
      </w:pPr>
    </w:p>
    <w:bookmarkStart w:id="342" w:name="page343"/>
    <w:bookmarkEnd w:id="342"/>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Aramark 2023 Stock Incentive Plan</w:t>
      </w: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Aramark (the “Company”) maintains the Company’s 2023 Stock Incentive Plan (the “Plan”);</w:t>
      </w:r>
    </w:p>
    <w:p>
      <w:pPr>
        <w:spacing w:after="0" w:line="171" w:lineRule="exact"/>
        <w:rPr>
          <w:sz w:val="20"/>
          <w:szCs w:val="20"/>
          <w:color w:val="auto"/>
        </w:rPr>
      </w:pPr>
    </w:p>
    <w:p>
      <w:pPr>
        <w:ind w:right="40" w:firstLine="200"/>
        <w:spacing w:after="0" w:line="28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(the “Board”) of the Company may amend the Plan; provided that such amendment does not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approval to comply with any tax or regulatory requirement applicable to the Plan;</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wishes to amend the Plan to permit the issuance of fractional shares under the Plan.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is hereby amended, effective as of the date hereof, as follows:</w:t>
      </w:r>
    </w:p>
    <w:p>
      <w:pPr>
        <w:spacing w:after="0" w:line="158" w:lineRule="exact"/>
        <w:rPr>
          <w:sz w:val="20"/>
          <w:szCs w:val="20"/>
          <w:color w:val="auto"/>
        </w:rPr>
      </w:pPr>
    </w:p>
    <w:p>
      <w:pPr>
        <w:ind w:firstLine="8"/>
        <w:spacing w:after="0" w:line="303" w:lineRule="auto"/>
        <w:tabs>
          <w:tab w:leader="none" w:pos="35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Section 15(z) of the Plan is hereby amended by deleting the existing Section 15(z) in its entirety and replacing it with the following new Section 15(z):</w:t>
      </w:r>
    </w:p>
    <w:p>
      <w:pPr>
        <w:spacing w:after="0" w:line="7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“(z) Fractional Shares. Fractional shares of Common Stock may be issued or delivered pursuant to the Plan or any Award, and the Committee may determine whether fractional shares shall in fact be issued or delivered with respect to any particular Award, or whether cash, other securities or other property shall be paid or transferred in lieu of any fractional shares, or whether such fractional shares or any rights thereto shall be canceled, terminated or otherwise eliminated.”</w:t>
      </w:r>
    </w:p>
    <w:p>
      <w:pPr>
        <w:spacing w:after="0" w:line="98" w:lineRule="exact"/>
        <w:rPr>
          <w:sz w:val="20"/>
          <w:szCs w:val="20"/>
          <w:color w:val="auto"/>
        </w:rPr>
      </w:pPr>
    </w:p>
    <w:p>
      <w:pPr>
        <w:ind w:left="360" w:hanging="352"/>
        <w:spacing w:after="0"/>
        <w:tabs>
          <w:tab w:leader="none" w:pos="3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 all respects not amended, the Plan is hereby ratified and affirmed.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As adopted and approved by the Board of Directors of Aramark on November 5, 2024.</w:t>
      </w:r>
    </w:p>
    <w:p>
      <w:pPr>
        <w:sectPr>
          <w:pgSz w:w="11900" w:h="16838" w:orient="portrait"/>
          <w:cols w:equalWidth="0" w:num="1">
            <w:col w:w="11020"/>
          </w:cols>
          <w:pgMar w:left="320" w:top="1440" w:right="559" w:bottom="1440" w:gutter="0" w:footer="0" w:header="0"/>
        </w:sectPr>
      </w:pPr>
    </w:p>
    <w:bookmarkStart w:id="343" w:name="page344"/>
    <w:bookmarkEnd w:id="343"/>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Third Amended and Restated 2013 Stock Incentive Plan</w:t>
      </w: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Aramark (the “Company”) maintains the Company’s Third Amended and Restated 2013 Stock Incentive Plan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40" w:lineRule="exact"/>
        <w:rPr>
          <w:sz w:val="20"/>
          <w:szCs w:val="20"/>
          <w:color w:val="auto"/>
        </w:rPr>
      </w:pPr>
    </w:p>
    <w:p>
      <w:pPr>
        <w:ind w:right="40" w:firstLine="200"/>
        <w:spacing w:after="0" w:line="30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(the “Board”) of the Company may amend the Plan; provided that such amendment does not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approval to comply with any tax or regulatory requirement applicable to the Plan;</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wishes to amend the Plan to permit the issuance of fractional shares under the Plan.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is hereby amended, effective as of the date hereof, as follows:</w:t>
      </w:r>
    </w:p>
    <w:p>
      <w:pPr>
        <w:spacing w:after="0" w:line="158" w:lineRule="exact"/>
        <w:rPr>
          <w:sz w:val="20"/>
          <w:szCs w:val="20"/>
          <w:color w:val="auto"/>
        </w:rPr>
      </w:pPr>
    </w:p>
    <w:p>
      <w:pPr>
        <w:ind w:firstLine="8"/>
        <w:spacing w:after="0" w:line="303" w:lineRule="auto"/>
        <w:tabs>
          <w:tab w:leader="none" w:pos="35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Section 15(z) of the Plan is hereby amended by deleting the existing Section 15(z) in its entirety and replacing it with the following new Section 15(z):</w:t>
      </w:r>
    </w:p>
    <w:p>
      <w:pPr>
        <w:spacing w:after="0" w:line="7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“(z) Fractional Shares. Fractional shares of Common Stock may be issued or delivered pursuant to the Plan or any Award, and the Committee may determine whether fractional shares shall in fact be issued or delivered with respect to any particular Award, or whether cash, other securities or other property shall be paid or transferred in lieu of any fractional shares, or whether such fractional shares or any rights thereto shall be canceled, terminated or otherwise eliminated.”</w:t>
      </w:r>
    </w:p>
    <w:p>
      <w:pPr>
        <w:spacing w:after="0" w:line="98" w:lineRule="exact"/>
        <w:rPr>
          <w:sz w:val="20"/>
          <w:szCs w:val="20"/>
          <w:color w:val="auto"/>
        </w:rPr>
      </w:pPr>
    </w:p>
    <w:p>
      <w:pPr>
        <w:ind w:left="360" w:hanging="352"/>
        <w:spacing w:after="0"/>
        <w:tabs>
          <w:tab w:leader="none" w:pos="3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 all respects not amended, the Plan is hereby ratified and affirmed.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As adopted and approved by the Board of Directors of Aramark on November 5, 2024.</w:t>
      </w:r>
    </w:p>
    <w:p>
      <w:pPr>
        <w:sectPr>
          <w:pgSz w:w="11900" w:h="16838" w:orient="portrait"/>
          <w:cols w:equalWidth="0" w:num="1">
            <w:col w:w="11020"/>
          </w:cols>
          <w:pgMar w:left="320" w:top="1440" w:right="559" w:bottom="1440" w:gutter="0" w:footer="0" w:header="0"/>
        </w:sectPr>
      </w:pPr>
    </w:p>
    <w:bookmarkStart w:id="344" w:name="page345"/>
    <w:bookmarkEnd w:id="344"/>
    <w:p>
      <w:pPr>
        <w:ind w:left="9960"/>
        <w:spacing w:after="0"/>
        <w:rPr>
          <w:sz w:val="20"/>
          <w:szCs w:val="20"/>
          <w:color w:val="auto"/>
        </w:rPr>
      </w:pPr>
      <w:r>
        <w:rPr>
          <w:rFonts w:ascii="Times New Roman" w:cs="Times New Roman" w:eastAsia="Times New Roman" w:hAnsi="Times New Roman"/>
          <w:sz w:val="21"/>
          <w:szCs w:val="21"/>
          <w:color w:val="auto"/>
        </w:rPr>
        <w:t>Exhibit 10.107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Performance Condition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Fiscal Years [ ] ([ ] through [ ])</w:t>
      </w:r>
    </w:p>
    <w:p>
      <w:pPr>
        <w:spacing w:after="0" w:line="224"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A number of PSUs equal to a percentage of the Target Number of PSUs set forth on the Certificate of Grant will become Earned PSUs on the Determination Date (and will become deliverable to you upon the Vesting Date or such other date as set forth in the Award) based on the level of achievement of actual Cumulative Adjusted EPS, actual [ ] ROIC and actual Relative TSR Percentile during the Performance Period as set forth in the tables below with [ ]% of the Target Number of PSUs to be determined by Cumulative Adjusted EPS, [ ]% to be determined by achievement of actual [ ] ROIC subject, in each case, to the TSR Multiplier as described below. Achievement of actual Cumulative Adjusted EPS, and actual [ ] ROIC and/or actual Relative TSR Percentile in between the performance levels set forth in the tables below will be pro-rated based on linear interpolation. The total number of Earned PSUs hereunder, if any, will be the product of (x) the TSR Multiplier and (y) [ ]% of the sum of (i) the applicable percentage of the Target Number of PSUs earned based on actual Cumulative Adjusted Earnings Per Share and (ii) the applicable percentage of the Target Number of PSUs earned based on actual [ ] Return on Invested Capital, in each case, as set forth on the tables below:</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Cumulative Target - Adjusted Earnings Per Share</w:t>
      </w:r>
      <w:r>
        <w:rPr>
          <w:rFonts w:ascii="Times New Roman" w:cs="Times New Roman" w:eastAsia="Times New Roman" w:hAnsi="Times New Roman"/>
          <w:sz w:val="22"/>
          <w:szCs w:val="22"/>
          <w:color w:val="auto"/>
        </w:rPr>
        <w:t>: [ ]%</w:t>
      </w:r>
    </w:p>
    <w:p>
      <w:pPr>
        <w:spacing w:after="0" w:line="379"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564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Actual Adjusted Earnings per Share</w:t>
            </w:r>
          </w:p>
        </w:tc>
        <w:tc>
          <w:tcPr>
            <w:tcW w:w="5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w:t>
            </w:r>
          </w:p>
        </w:tc>
      </w:tr>
      <w:tr>
        <w:trPr>
          <w:trHeight w:val="256"/>
        </w:trPr>
        <w:tc>
          <w:tcPr>
            <w:tcW w:w="56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Target Number of PSUs Earned</w:t>
            </w:r>
          </w:p>
        </w:tc>
      </w:tr>
      <w:tr>
        <w:trPr>
          <w:trHeight w:val="257"/>
        </w:trPr>
        <w:tc>
          <w:tcPr>
            <w:tcW w:w="3600" w:type="dxa"/>
            <w:vAlign w:val="bottom"/>
            <w:tcBorders>
              <w:left w:val="single" w:sz="8" w:color="auto"/>
            </w:tcBorders>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(Adjusted Earnings per Share Component), Subject to</w:t>
            </w:r>
          </w:p>
        </w:tc>
      </w:tr>
      <w:tr>
        <w:trPr>
          <w:trHeight w:val="295"/>
        </w:trPr>
        <w:tc>
          <w:tcPr>
            <w:tcW w:w="3600" w:type="dxa"/>
            <w:vAlign w:val="bottom"/>
            <w:tcBorders>
              <w:left w:val="single" w:sz="8" w:color="auto"/>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TSR Multiplier</w:t>
            </w:r>
          </w:p>
        </w:tc>
      </w:tr>
      <w:tr>
        <w:trPr>
          <w:trHeight w:val="270"/>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less than [ ]</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264"/>
        </w:trPr>
        <w:tc>
          <w:tcPr>
            <w:tcW w:w="3600" w:type="dxa"/>
            <w:vAlign w:val="bottom"/>
            <w:tcBorders>
              <w:left w:val="single" w:sz="8" w:color="auto"/>
              <w:bottom w:val="single" w:sz="8" w:color="auto"/>
            </w:tcBorders>
          </w:tcPr>
          <w:p>
            <w:pPr>
              <w:jc w:val="center"/>
              <w:ind w:left="1932"/>
              <w:spacing w:after="0"/>
              <w:rPr>
                <w:sz w:val="20"/>
                <w:szCs w:val="20"/>
                <w:color w:val="auto"/>
              </w:rPr>
            </w:pPr>
            <w:r>
              <w:rPr>
                <w:rFonts w:ascii="Times New Roman" w:cs="Times New Roman" w:eastAsia="Times New Roman" w:hAnsi="Times New Roman"/>
                <w:sz w:val="22"/>
                <w:szCs w:val="22"/>
                <w:color w:val="auto"/>
                <w:w w:val="98"/>
              </w:rPr>
              <w:t>[ ]</w:t>
            </w:r>
          </w:p>
        </w:tc>
        <w:tc>
          <w:tcPr>
            <w:tcW w:w="2040" w:type="dxa"/>
            <w:vAlign w:val="bottom"/>
            <w:tcBorders>
              <w:bottom w:val="single" w:sz="8" w:color="auto"/>
              <w:right w:val="single" w:sz="8" w:color="auto"/>
            </w:tcBorders>
          </w:tcPr>
          <w:p>
            <w:pPr>
              <w:spacing w:after="0"/>
              <w:rPr>
                <w:sz w:val="22"/>
                <w:szCs w:val="22"/>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r>
        <w:trPr>
          <w:trHeight w:val="263"/>
        </w:trPr>
        <w:tc>
          <w:tcPr>
            <w:tcW w:w="3600" w:type="dxa"/>
            <w:vAlign w:val="bottom"/>
            <w:tcBorders>
              <w:left w:val="single" w:sz="8" w:color="auto"/>
              <w:bottom w:val="single" w:sz="8" w:color="auto"/>
            </w:tcBorders>
          </w:tcPr>
          <w:p>
            <w:pPr>
              <w:jc w:val="center"/>
              <w:ind w:left="1932"/>
              <w:spacing w:after="0"/>
              <w:rPr>
                <w:sz w:val="20"/>
                <w:szCs w:val="20"/>
                <w:color w:val="auto"/>
              </w:rPr>
            </w:pPr>
            <w:r>
              <w:rPr>
                <w:rFonts w:ascii="Times New Roman" w:cs="Times New Roman" w:eastAsia="Times New Roman" w:hAnsi="Times New Roman"/>
                <w:sz w:val="22"/>
                <w:szCs w:val="22"/>
                <w:color w:val="auto"/>
                <w:w w:val="98"/>
              </w:rPr>
              <w:t>[ ]</w:t>
            </w:r>
          </w:p>
        </w:tc>
        <w:tc>
          <w:tcPr>
            <w:tcW w:w="2040" w:type="dxa"/>
            <w:vAlign w:val="bottom"/>
            <w:tcBorders>
              <w:bottom w:val="single" w:sz="8" w:color="auto"/>
              <w:right w:val="single" w:sz="8" w:color="auto"/>
            </w:tcBorders>
          </w:tcPr>
          <w:p>
            <w:pPr>
              <w:spacing w:after="0"/>
              <w:rPr>
                <w:sz w:val="22"/>
                <w:szCs w:val="22"/>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w:t>
            </w:r>
          </w:p>
        </w:tc>
      </w:tr>
      <w:tr>
        <w:trPr>
          <w:trHeight w:val="26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 ] or greater</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200%</w:t>
            </w:r>
          </w:p>
        </w:tc>
      </w:tr>
      <w:tr>
        <w:trPr>
          <w:trHeight w:val="655"/>
        </w:trPr>
        <w:tc>
          <w:tcPr>
            <w:tcW w:w="5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 Target – Return on Invested Capital</w:t>
            </w:r>
            <w:r>
              <w:rPr>
                <w:rFonts w:ascii="Times New Roman" w:cs="Times New Roman" w:eastAsia="Times New Roman" w:hAnsi="Times New Roman"/>
                <w:sz w:val="22"/>
                <w:szCs w:val="22"/>
                <w:color w:val="auto"/>
              </w:rPr>
              <w:t>: [ ]%</w:t>
            </w:r>
          </w:p>
        </w:tc>
        <w:tc>
          <w:tcPr>
            <w:tcW w:w="5620" w:type="dxa"/>
            <w:vAlign w:val="bottom"/>
          </w:tcPr>
          <w:p>
            <w:pPr>
              <w:spacing w:after="0"/>
              <w:rPr>
                <w:sz w:val="24"/>
                <w:szCs w:val="24"/>
                <w:color w:val="auto"/>
              </w:rPr>
            </w:pPr>
          </w:p>
        </w:tc>
      </w:tr>
      <w:tr>
        <w:trPr>
          <w:trHeight w:val="507"/>
        </w:trPr>
        <w:tc>
          <w:tcPr>
            <w:tcW w:w="3600" w:type="dxa"/>
            <w:vAlign w:val="bottom"/>
            <w:tcBorders>
              <w:top w:val="single" w:sz="8" w:color="auto"/>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223"/>
        </w:trPr>
        <w:tc>
          <w:tcPr>
            <w:tcW w:w="5640" w:type="dxa"/>
            <w:vAlign w:val="bottom"/>
            <w:tcBorders>
              <w:left w:val="single" w:sz="8" w:color="auto"/>
              <w:right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22"/>
                <w:szCs w:val="22"/>
                <w:b w:val="1"/>
                <w:bCs w:val="1"/>
                <w:color w:val="auto"/>
                <w:w w:val="97"/>
              </w:rPr>
              <w:t>Actual ROIC During Last Fiscal Year of the Performance</w:t>
            </w:r>
          </w:p>
        </w:tc>
        <w:tc>
          <w:tcPr>
            <w:tcW w:w="562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b w:val="1"/>
                <w:bCs w:val="1"/>
                <w:color w:val="auto"/>
                <w:w w:val="97"/>
              </w:rPr>
              <w:t>Percentage of</w:t>
            </w:r>
          </w:p>
        </w:tc>
      </w:tr>
      <w:tr>
        <w:trPr>
          <w:trHeight w:val="306"/>
        </w:trPr>
        <w:tc>
          <w:tcPr>
            <w:tcW w:w="56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Period</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Target Number of PSUs Earned</w:t>
            </w:r>
          </w:p>
        </w:tc>
      </w:tr>
      <w:tr>
        <w:trPr>
          <w:trHeight w:val="295"/>
        </w:trPr>
        <w:tc>
          <w:tcPr>
            <w:tcW w:w="3600" w:type="dxa"/>
            <w:vAlign w:val="bottom"/>
            <w:tcBorders>
              <w:left w:val="single" w:sz="8" w:color="auto"/>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(ROIC Component), Subject to TSR Multiplier</w:t>
            </w:r>
          </w:p>
        </w:tc>
      </w:tr>
      <w:tr>
        <w:trPr>
          <w:trHeight w:val="270"/>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less than [ ]%</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263"/>
        </w:trPr>
        <w:tc>
          <w:tcPr>
            <w:tcW w:w="3600" w:type="dxa"/>
            <w:vAlign w:val="bottom"/>
            <w:tcBorders>
              <w:left w:val="single" w:sz="8" w:color="auto"/>
              <w:bottom w:val="single" w:sz="8" w:color="auto"/>
            </w:tcBorders>
          </w:tcPr>
          <w:p>
            <w:pPr>
              <w:jc w:val="center"/>
              <w:ind w:left="1952"/>
              <w:spacing w:after="0"/>
              <w:rPr>
                <w:sz w:val="20"/>
                <w:szCs w:val="20"/>
                <w:color w:val="auto"/>
              </w:rPr>
            </w:pPr>
            <w:r>
              <w:rPr>
                <w:rFonts w:ascii="Times New Roman" w:cs="Times New Roman" w:eastAsia="Times New Roman" w:hAnsi="Times New Roman"/>
                <w:sz w:val="22"/>
                <w:szCs w:val="22"/>
                <w:color w:val="auto"/>
                <w:w w:val="98"/>
              </w:rPr>
              <w:t>[ ]%</w:t>
            </w:r>
          </w:p>
        </w:tc>
        <w:tc>
          <w:tcPr>
            <w:tcW w:w="2040" w:type="dxa"/>
            <w:vAlign w:val="bottom"/>
            <w:tcBorders>
              <w:bottom w:val="single" w:sz="8" w:color="auto"/>
              <w:right w:val="single" w:sz="8" w:color="auto"/>
            </w:tcBorders>
          </w:tcPr>
          <w:p>
            <w:pPr>
              <w:spacing w:after="0"/>
              <w:rPr>
                <w:sz w:val="22"/>
                <w:szCs w:val="22"/>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bl>
    <w:p>
      <w:pPr>
        <w:sectPr>
          <w:pgSz w:w="11900" w:h="16838" w:orient="portrait"/>
          <w:cols w:equalWidth="0" w:num="1">
            <w:col w:w="11260"/>
          </w:cols>
          <w:pgMar w:left="320" w:top="126" w:right="319" w:bottom="1440" w:gutter="0" w:footer="0" w:header="0"/>
        </w:sectPr>
      </w:pPr>
    </w:p>
    <w:bookmarkStart w:id="345" w:name="page346"/>
    <w:bookmarkEnd w:id="345"/>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640" w:type="dxa"/>
            <w:vAlign w:val="bottom"/>
            <w:tcBorders>
              <w:top w:val="single" w:sz="8" w:color="auto"/>
              <w:left w:val="single" w:sz="8" w:color="auto"/>
              <w:bottom w:val="single" w:sz="8" w:color="auto"/>
              <w:right w:val="single" w:sz="8" w:color="auto"/>
            </w:tcBorders>
          </w:tcPr>
          <w:p>
            <w:pPr>
              <w:jc w:val="right"/>
              <w:ind w:right="2512"/>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tcBorders>
              <w:top w:val="single" w:sz="8" w:color="auto"/>
              <w:bottom w:val="single" w:sz="8" w:color="auto"/>
              <w:right w:val="single" w:sz="8" w:color="auto"/>
            </w:tcBorders>
          </w:tcPr>
          <w:p>
            <w:pPr>
              <w:jc w:val="right"/>
              <w:ind w:right="2452"/>
              <w:spacing w:after="0"/>
              <w:rPr>
                <w:sz w:val="20"/>
                <w:szCs w:val="20"/>
                <w:color w:val="auto"/>
              </w:rPr>
            </w:pPr>
            <w:r>
              <w:rPr>
                <w:rFonts w:ascii="Times New Roman" w:cs="Times New Roman" w:eastAsia="Times New Roman" w:hAnsi="Times New Roman"/>
                <w:sz w:val="22"/>
                <w:szCs w:val="22"/>
                <w:color w:val="auto"/>
              </w:rPr>
              <w:t>100%</w:t>
            </w:r>
          </w:p>
        </w:tc>
      </w:tr>
      <w:tr>
        <w:trPr>
          <w:trHeight w:val="26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 ]% or greater</w:t>
            </w:r>
          </w:p>
        </w:tc>
        <w:tc>
          <w:tcPr>
            <w:tcW w:w="5620" w:type="dxa"/>
            <w:vAlign w:val="bottom"/>
            <w:tcBorders>
              <w:bottom w:val="single" w:sz="8" w:color="auto"/>
              <w:right w:val="single" w:sz="8" w:color="auto"/>
            </w:tcBorders>
          </w:tcPr>
          <w:p>
            <w:pPr>
              <w:jc w:val="right"/>
              <w:ind w:right="2452"/>
              <w:spacing w:after="0"/>
              <w:rPr>
                <w:sz w:val="20"/>
                <w:szCs w:val="20"/>
                <w:color w:val="auto"/>
              </w:rPr>
            </w:pPr>
            <w:r>
              <w:rPr>
                <w:rFonts w:ascii="Times New Roman" w:cs="Times New Roman" w:eastAsia="Times New Roman" w:hAnsi="Times New Roman"/>
                <w:sz w:val="22"/>
                <w:szCs w:val="22"/>
                <w:color w:val="auto"/>
              </w:rPr>
              <w:t>200%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TSR Multiplier:</w:t>
      </w:r>
    </w:p>
    <w:p>
      <w:pPr>
        <w:spacing w:after="0" w:line="200" w:lineRule="exact"/>
        <w:rPr>
          <w:sz w:val="20"/>
          <w:szCs w:val="20"/>
          <w:color w:val="auto"/>
        </w:rPr>
      </w:pP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40" w:type="dxa"/>
            <w:vAlign w:val="bottom"/>
            <w:tcBorders>
              <w:top w:val="single" w:sz="8" w:color="auto"/>
              <w:left w:val="single" w:sz="8" w:color="auto"/>
              <w:right w:val="single" w:sz="8" w:color="auto"/>
            </w:tcBorders>
            <w:gridSpan w:val="9"/>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auto"/>
                <w:w w:val="97"/>
              </w:rPr>
              <w:t>Relative TSR Percentile</w:t>
            </w:r>
          </w:p>
        </w:tc>
        <w:tc>
          <w:tcPr>
            <w:tcW w:w="5620" w:type="dxa"/>
            <w:vAlign w:val="bottom"/>
            <w:tcBorders>
              <w:top w:val="single" w:sz="8" w:color="auto"/>
              <w:right w:val="single" w:sz="8" w:color="auto"/>
            </w:tcBorders>
            <w:gridSpan w:val="7"/>
          </w:tcPr>
          <w:p>
            <w:pPr>
              <w:ind w:left="2080"/>
              <w:spacing w:after="0" w:line="229" w:lineRule="exact"/>
              <w:rPr>
                <w:sz w:val="20"/>
                <w:szCs w:val="20"/>
                <w:color w:val="auto"/>
              </w:rPr>
            </w:pPr>
            <w:r>
              <w:rPr>
                <w:rFonts w:ascii="Times New Roman" w:cs="Times New Roman" w:eastAsia="Times New Roman" w:hAnsi="Times New Roman"/>
                <w:sz w:val="22"/>
                <w:szCs w:val="22"/>
                <w:b w:val="1"/>
                <w:bCs w:val="1"/>
                <w:color w:val="auto"/>
              </w:rPr>
              <w:t>TSR Multiplier</w:t>
            </w:r>
          </w:p>
        </w:tc>
      </w:tr>
      <w:tr>
        <w:trPr>
          <w:trHeight w:val="34"/>
        </w:trPr>
        <w:tc>
          <w:tcPr>
            <w:tcW w:w="1720" w:type="dxa"/>
            <w:vAlign w:val="bottom"/>
            <w:tcBorders>
              <w:left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09"/>
        </w:trPr>
        <w:tc>
          <w:tcPr>
            <w:tcW w:w="1720" w:type="dxa"/>
            <w:vAlign w:val="bottom"/>
            <w:tcBorders>
              <w:left w:val="single" w:sz="8" w:color="auto"/>
            </w:tcBorders>
          </w:tcPr>
          <w:p>
            <w:pPr>
              <w:spacing w:after="0"/>
              <w:rPr>
                <w:sz w:val="18"/>
                <w:szCs w:val="18"/>
                <w:color w:val="auto"/>
              </w:rPr>
            </w:pPr>
          </w:p>
        </w:tc>
        <w:tc>
          <w:tcPr>
            <w:tcW w:w="3920" w:type="dxa"/>
            <w:vAlign w:val="bottom"/>
            <w:tcBorders>
              <w:right w:val="single" w:sz="8" w:color="auto"/>
            </w:tcBorders>
            <w:gridSpan w:val="8"/>
          </w:tcPr>
          <w:p>
            <w:pPr>
              <w:jc w:val="center"/>
              <w:ind w:right="1720"/>
              <w:spacing w:after="0" w:line="209" w:lineRule="exact"/>
              <w:rPr>
                <w:sz w:val="20"/>
                <w:szCs w:val="20"/>
                <w:color w:val="auto"/>
              </w:rPr>
            </w:pPr>
            <w:r>
              <w:rPr>
                <w:rFonts w:ascii="Times New Roman" w:cs="Times New Roman" w:eastAsia="Times New Roman" w:hAnsi="Times New Roman"/>
                <w:sz w:val="22"/>
                <w:szCs w:val="22"/>
                <w:color w:val="auto"/>
                <w:w w:val="98"/>
              </w:rPr>
              <w:t>[ ]th Percentile or Above</w:t>
            </w:r>
          </w:p>
        </w:tc>
        <w:tc>
          <w:tcPr>
            <w:tcW w:w="3060" w:type="dxa"/>
            <w:vAlign w:val="bottom"/>
            <w:gridSpan w:val="5"/>
          </w:tcPr>
          <w:p>
            <w:pPr>
              <w:jc w:val="center"/>
              <w:ind w:left="2432"/>
              <w:spacing w:after="0" w:line="209" w:lineRule="exact"/>
              <w:rPr>
                <w:sz w:val="20"/>
                <w:szCs w:val="20"/>
                <w:color w:val="auto"/>
              </w:rPr>
            </w:pPr>
            <w:r>
              <w:rPr>
                <w:rFonts w:ascii="Times New Roman" w:cs="Times New Roman" w:eastAsia="Times New Roman" w:hAnsi="Times New Roman"/>
                <w:sz w:val="22"/>
                <w:szCs w:val="22"/>
                <w:color w:val="auto"/>
              </w:rPr>
              <w:t>125%</w:t>
            </w:r>
          </w:p>
        </w:tc>
        <w:tc>
          <w:tcPr>
            <w:tcW w:w="4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34"/>
        </w:trPr>
        <w:tc>
          <w:tcPr>
            <w:tcW w:w="172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09"/>
        </w:trPr>
        <w:tc>
          <w:tcPr>
            <w:tcW w:w="172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Borders>
              <w:right w:val="single" w:sz="8" w:color="auto"/>
            </w:tcBorders>
            <w:gridSpan w:val="5"/>
          </w:tcPr>
          <w:p>
            <w:pPr>
              <w:jc w:val="center"/>
              <w:ind w:right="1880"/>
              <w:spacing w:after="0" w:line="209" w:lineRule="exact"/>
              <w:rPr>
                <w:sz w:val="20"/>
                <w:szCs w:val="20"/>
                <w:color w:val="auto"/>
              </w:rPr>
            </w:pPr>
            <w:r>
              <w:rPr>
                <w:rFonts w:ascii="Times New Roman" w:cs="Times New Roman" w:eastAsia="Times New Roman" w:hAnsi="Times New Roman"/>
                <w:sz w:val="22"/>
                <w:szCs w:val="22"/>
                <w:color w:val="auto"/>
                <w:w w:val="97"/>
              </w:rPr>
              <w:t>[ ]th – [ ]th Percentile</w:t>
            </w:r>
          </w:p>
        </w:tc>
        <w:tc>
          <w:tcPr>
            <w:tcW w:w="3060" w:type="dxa"/>
            <w:vAlign w:val="bottom"/>
            <w:gridSpan w:val="5"/>
          </w:tcPr>
          <w:p>
            <w:pPr>
              <w:jc w:val="center"/>
              <w:ind w:left="2432"/>
              <w:spacing w:after="0" w:line="209" w:lineRule="exact"/>
              <w:rPr>
                <w:sz w:val="20"/>
                <w:szCs w:val="20"/>
                <w:color w:val="auto"/>
              </w:rPr>
            </w:pPr>
            <w:r>
              <w:rPr>
                <w:rFonts w:ascii="Times New Roman" w:cs="Times New Roman" w:eastAsia="Times New Roman" w:hAnsi="Times New Roman"/>
                <w:sz w:val="22"/>
                <w:szCs w:val="22"/>
                <w:color w:val="auto"/>
              </w:rPr>
              <w:t>100%</w:t>
            </w:r>
          </w:p>
        </w:tc>
        <w:tc>
          <w:tcPr>
            <w:tcW w:w="4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34"/>
        </w:trPr>
        <w:tc>
          <w:tcPr>
            <w:tcW w:w="172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09"/>
        </w:trPr>
        <w:tc>
          <w:tcPr>
            <w:tcW w:w="172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60" w:type="dxa"/>
            <w:vAlign w:val="bottom"/>
            <w:tcBorders>
              <w:right w:val="single" w:sz="8" w:color="auto"/>
            </w:tcBorders>
            <w:gridSpan w:val="6"/>
          </w:tcPr>
          <w:p>
            <w:pPr>
              <w:jc w:val="center"/>
              <w:ind w:right="1760"/>
              <w:spacing w:after="0" w:line="209" w:lineRule="exact"/>
              <w:rPr>
                <w:sz w:val="20"/>
                <w:szCs w:val="20"/>
                <w:color w:val="auto"/>
              </w:rPr>
            </w:pPr>
            <w:r>
              <w:rPr>
                <w:rFonts w:ascii="Times New Roman" w:cs="Times New Roman" w:eastAsia="Times New Roman" w:hAnsi="Times New Roman"/>
                <w:sz w:val="22"/>
                <w:szCs w:val="22"/>
                <w:color w:val="auto"/>
                <w:w w:val="98"/>
              </w:rPr>
              <w:t>[ ]th Percentile or below</w:t>
            </w:r>
          </w:p>
        </w:tc>
        <w:tc>
          <w:tcPr>
            <w:tcW w:w="3000" w:type="dxa"/>
            <w:vAlign w:val="bottom"/>
            <w:gridSpan w:val="4"/>
          </w:tcPr>
          <w:p>
            <w:pPr>
              <w:jc w:val="center"/>
              <w:ind w:left="2492"/>
              <w:spacing w:after="0" w:line="209" w:lineRule="exact"/>
              <w:rPr>
                <w:sz w:val="20"/>
                <w:szCs w:val="20"/>
                <w:color w:val="auto"/>
              </w:rPr>
            </w:pPr>
            <w:r>
              <w:rPr>
                <w:rFonts w:ascii="Times New Roman" w:cs="Times New Roman" w:eastAsia="Times New Roman" w:hAnsi="Times New Roman"/>
                <w:sz w:val="22"/>
                <w:szCs w:val="22"/>
                <w:color w:val="auto"/>
                <w:w w:val="99"/>
              </w:rPr>
              <w:t>75%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34"/>
        </w:trPr>
        <w:tc>
          <w:tcPr>
            <w:tcW w:w="172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2"/>
          <w:szCs w:val="22"/>
          <w:b w:val="1"/>
          <w:bCs w:val="1"/>
          <w:u w:val="single" w:color="auto"/>
          <w:color w:val="auto"/>
        </w:rPr>
        <w:t>“Adjusted Earnings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quotient of (x) the cumulative Adjusted Net Income during the 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(y) Diluted Shares Outstanding.</w:t>
      </w:r>
    </w:p>
    <w:p>
      <w:pPr>
        <w:spacing w:after="0" w:line="13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“Average Invested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simple average of: (a) the total outstanding debt; plus (b) stockholders equity; minus (c)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net intangibles and goodwill resulting from the application of purchase accounting to the 2007 going-private transaction, as reported for the second and third fiscal year-ends of the Performance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“Diluted Shares Outstanding”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 ] shares</w:t>
      </w:r>
    </w:p>
    <w:p>
      <w:pPr>
        <w:spacing w:after="0" w:line="22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1"/>
          <w:szCs w:val="21"/>
          <w:b w:val="1"/>
          <w:bCs w:val="1"/>
          <w:u w:val="single" w:color="auto"/>
          <w:color w:val="auto"/>
        </w:rPr>
        <w:t>“Adjusted Net Income”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net income excluding: (a) cumulative effect of a change in accounting principle, income or loss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disposed or discontinued operations and any gains or losses on disposed or discontinued operations, all as determined in accordance with United States GAAP; (b) any incremental amortization or depreciation resulting from the application of purchase accounting to the 2007 going-private transaction; (c) any significant severance or other costs related to the Company’s major restructuring efforts; (d) any significant gains, losses or settlements that impact comparability between years; (e) any gain or loss from the early extinguishment of indebtedness including any hedging obligations or other derivative instrument and any changes in the fair value of gas and diesel fuel derivatives;; (f) the effects of changes in foreign currency translation rates from such rates used in the calculation of the initial adjusted net income target; (g) the impact of material acquisitions and divestitures that impact the comparability with the target; and (h) the tax impact of the above adjustments to adjusted net income which represents the tax provision or benefit associated with the adjusted income or expenses using the appropriate tax rate.</w:t>
      </w:r>
    </w:p>
    <w:p>
      <w:pPr>
        <w:spacing w:after="0" w:line="1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auto"/>
        </w:rPr>
        <w:t>“ROIC</w:t>
      </w:r>
      <w:r>
        <w:rPr>
          <w:rFonts w:ascii="Times New Roman" w:cs="Times New Roman" w:eastAsia="Times New Roman" w:hAnsi="Times New Roman"/>
          <w:sz w:val="22"/>
          <w:szCs w:val="22"/>
          <w:color w:val="auto"/>
        </w:rPr>
        <w:t>” means: (x) operating income for the fiscal year ending [ ] excluding (a) the cumulative effect of a change in accounting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principle, income or loss from disposed or discontinued operations and any gains or losses on disposed or discontinued operations, all as determined in accordance with United States GAAP; (b) any incremental amortization or depreciation resulting from the application of purchase accounting to the 2007 going-private transaction; (c) any severance or other costs related to the Company’s major restructuring efforts;</w:t>
      </w:r>
    </w:p>
    <w:p>
      <w:pPr>
        <w:sectPr>
          <w:pgSz w:w="11900" w:h="16838" w:orient="portrait"/>
          <w:cols w:equalWidth="0" w:num="1">
            <w:col w:w="11260"/>
          </w:cols>
          <w:pgMar w:left="320" w:top="1440" w:right="319" w:bottom="1440" w:gutter="0" w:footer="0" w:header="0"/>
        </w:sectPr>
      </w:pPr>
    </w:p>
    <w:bookmarkStart w:id="346" w:name="page347"/>
    <w:bookmarkEnd w:id="346"/>
    <w:p>
      <w:pPr>
        <w:spacing w:after="0" w:line="90" w:lineRule="exact"/>
        <w:rPr>
          <w:sz w:val="20"/>
          <w:szCs w:val="20"/>
          <w:color w:val="auto"/>
        </w:rPr>
      </w:pPr>
    </w:p>
    <w:p>
      <w:pPr>
        <w:jc w:val="both"/>
        <w:ind w:right="40" w:firstLine="8"/>
        <w:spacing w:after="0" w:line="252" w:lineRule="auto"/>
        <w:tabs>
          <w:tab w:leader="none" w:pos="306"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significant gains, losses or settlements that impact comparability between years; (e) any changes in the fair value of gas and diesel fuel derivatives; (f) the effects of changes in foreign currency translation rates from such rates used in the calculation of the ROIC target; and (g) the impact of material acquisitions and divestitures that impact the comparability with the target; divided by (y) Average Invested Capital.</w:t>
      </w: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Relative TSR Percentile</w:t>
      </w:r>
    </w:p>
    <w:p>
      <w:pPr>
        <w:spacing w:after="0" w:line="260"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TSR Measurement Period</w:t>
      </w:r>
      <w:r>
        <w:rPr>
          <w:rFonts w:ascii="Times New Roman" w:cs="Times New Roman" w:eastAsia="Times New Roman" w:hAnsi="Times New Roman"/>
          <w:sz w:val="22"/>
          <w:szCs w:val="22"/>
          <w:color w:val="auto"/>
        </w:rPr>
        <w:t>: The period commencing on [ ] and ending on the earlier of (i) [ ] and (ii) the date upon which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of Control occurs.</w:t>
      </w:r>
    </w:p>
    <w:p>
      <w:pPr>
        <w:spacing w:after="0" w:line="17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TSR Multiplier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multiplier percentage for purposes of determining the number of Earned PSUs based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actual Relative TSR Percentile, as set forth on the table set forth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Total Shareholder Return</w:t>
      </w:r>
      <w:r>
        <w:rPr>
          <w:rFonts w:ascii="Times New Roman" w:cs="Times New Roman" w:eastAsia="Times New Roman" w:hAnsi="Times New Roman"/>
          <w:sz w:val="22"/>
          <w:szCs w:val="22"/>
          <w:color w:val="auto"/>
        </w:rPr>
        <w:t>” means, with respect to any company, an amount (expressed as a percentage return) equal to:</w:t>
      </w:r>
    </w:p>
    <w:p>
      <w:pPr>
        <w:spacing w:after="0" w:line="260" w:lineRule="exact"/>
        <w:rPr>
          <w:sz w:val="20"/>
          <w:szCs w:val="20"/>
          <w:color w:val="auto"/>
        </w:rPr>
      </w:pPr>
    </w:p>
    <w:p>
      <w:pPr>
        <w:ind w:left="660" w:right="60" w:hanging="4"/>
        <w:spacing w:after="0" w:line="253" w:lineRule="auto"/>
        <w:tabs>
          <w:tab w:leader="none" w:pos="918"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(x) the Ending Stock Price minus the Beginning Stock Price,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(y) the amount of any dividends and distributions paid on a per share basis (calculated as if such dividends had been reinvested in the applicable company’s common stock on the applicable dividend date) cumulatively over the performance period, </w:t>
      </w:r>
      <w:r>
        <w:rPr>
          <w:rFonts w:ascii="Times New Roman" w:cs="Times New Roman" w:eastAsia="Times New Roman" w:hAnsi="Times New Roman"/>
          <w:sz w:val="22"/>
          <w:szCs w:val="22"/>
          <w:i w:val="1"/>
          <w:iCs w:val="1"/>
          <w:u w:val="single" w:color="auto"/>
          <w:color w:val="auto"/>
        </w:rPr>
        <w:t>divided by</w:t>
      </w:r>
      <w:r>
        <w:rPr>
          <w:rFonts w:ascii="Times New Roman" w:cs="Times New Roman" w:eastAsia="Times New Roman" w:hAnsi="Times New Roman"/>
          <w:sz w:val="22"/>
          <w:szCs w:val="22"/>
          <w:color w:val="auto"/>
        </w:rPr>
        <w:t xml:space="preserve"> (ii) the Beginning Stock Price.</w:t>
      </w:r>
    </w:p>
    <w:p>
      <w:pPr>
        <w:spacing w:after="0" w:line="20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Beginning Stock Price</w:t>
      </w:r>
      <w:r>
        <w:rPr>
          <w:rFonts w:ascii="Times New Roman" w:cs="Times New Roman" w:eastAsia="Times New Roman" w:hAnsi="Times New Roman"/>
          <w:sz w:val="22"/>
          <w:szCs w:val="22"/>
          <w:color w:val="auto"/>
        </w:rPr>
        <w:t>” means, with respect to any company, the average closing price per share of common stock for the twenty (20) trading days immediately prior to the first trading day of the TSR Measurement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Ending Stock Price</w:t>
      </w:r>
      <w:r>
        <w:rPr>
          <w:rFonts w:ascii="Times New Roman" w:cs="Times New Roman" w:eastAsia="Times New Roman" w:hAnsi="Times New Roman"/>
          <w:sz w:val="21"/>
          <w:szCs w:val="21"/>
          <w:color w:val="auto"/>
        </w:rPr>
        <w:t>” means, with respect to any company, the average closing price per share of common stock for the twenty</w:t>
      </w:r>
    </w:p>
    <w:p>
      <w:pPr>
        <w:spacing w:after="0" w:line="43" w:lineRule="exact"/>
        <w:rPr>
          <w:sz w:val="20"/>
          <w:szCs w:val="20"/>
          <w:color w:val="auto"/>
        </w:rPr>
      </w:pPr>
    </w:p>
    <w:p>
      <w:pPr>
        <w:ind w:right="3820" w:firstLine="8"/>
        <w:spacing w:after="0" w:line="462" w:lineRule="auto"/>
        <w:tabs>
          <w:tab w:leader="none" w:pos="414"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days immediately prior to the last day of the TSR Measurement Period. “</w:t>
      </w:r>
      <w:r>
        <w:rPr>
          <w:rFonts w:ascii="Times New Roman" w:cs="Times New Roman" w:eastAsia="Times New Roman" w:hAnsi="Times New Roman"/>
          <w:sz w:val="22"/>
          <w:szCs w:val="22"/>
          <w:b w:val="1"/>
          <w:bCs w:val="1"/>
          <w:u w:val="single" w:color="auto"/>
          <w:color w:val="auto"/>
        </w:rPr>
        <w:t>Peer Group</w:t>
      </w:r>
      <w:r>
        <w:rPr>
          <w:rFonts w:ascii="Times New Roman" w:cs="Times New Roman" w:eastAsia="Times New Roman" w:hAnsi="Times New Roman"/>
          <w:sz w:val="22"/>
          <w:szCs w:val="22"/>
          <w:color w:val="auto"/>
        </w:rPr>
        <w:t>” means the following companies: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Any company in the Peer Group that ceases to be publicly held during the TSR Measurement Period (i) due to bankruptcy, liquidation or reorganization, shall remain in the Peer Group for purposes of calculation of the Relative TSR Percentile (with such company deemed to have a Total Shareholder Return of -100% and ranked at the bottom of the Peer Group) or (ii) due to a merger, sale, acquisition, business combination or other similar event, shall be excluded from the Peer Group for purposes of calculation of the Relative TSR Percentile.</w:t>
      </w:r>
    </w:p>
    <w:p>
      <w:pPr>
        <w:sectPr>
          <w:pgSz w:w="11900" w:h="16838" w:orient="portrait"/>
          <w:cols w:equalWidth="0" w:num="1">
            <w:col w:w="11080"/>
          </w:cols>
          <w:pgMar w:left="320" w:top="1440" w:right="49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Aramark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Trading Policy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20" w:firstLine="1296"/>
        <w:spacing w:after="0" w:line="268" w:lineRule="auto"/>
        <w:rPr>
          <w:sz w:val="20"/>
          <w:szCs w:val="20"/>
          <w:color w:val="auto"/>
        </w:rPr>
      </w:pPr>
      <w:r>
        <w:rPr>
          <w:rFonts w:ascii="Arial" w:cs="Arial" w:eastAsia="Arial" w:hAnsi="Arial"/>
          <w:sz w:val="21"/>
          <w:szCs w:val="21"/>
          <w:color w:val="auto"/>
        </w:rPr>
        <w:t>Set forth below is the policy of Aramark and its subsidiaries regarding securities trading. This securities trading policy applies to all employees and directors of Aramark and its subsidiaries and is subject to change without prior notification. Please note that this securities trading policy supplements the restrictions set forth in the Business Conduct Policy of Aramark and the other policies of Aramark. In addition, Section 3 of this securities trading policy applies to Aramark and its subsidiaries when such entities engage in transactions in Aramark securities.</w:t>
      </w:r>
    </w:p>
    <w:p>
      <w:pPr>
        <w:spacing w:after="0" w:line="162" w:lineRule="exact"/>
        <w:rPr>
          <w:sz w:val="20"/>
          <w:szCs w:val="20"/>
          <w:color w:val="auto"/>
        </w:rPr>
      </w:pPr>
    </w:p>
    <w:p>
      <w:pPr>
        <w:ind w:firstLine="1296"/>
        <w:spacing w:after="0" w:line="270" w:lineRule="auto"/>
        <w:rPr>
          <w:sz w:val="20"/>
          <w:szCs w:val="20"/>
          <w:color w:val="auto"/>
        </w:rPr>
      </w:pPr>
      <w:r>
        <w:rPr>
          <w:rFonts w:ascii="Arial" w:cs="Arial" w:eastAsia="Arial" w:hAnsi="Arial"/>
          <w:sz w:val="22"/>
          <w:szCs w:val="22"/>
          <w:b w:val="1"/>
          <w:bCs w:val="1"/>
          <w:color w:val="auto"/>
        </w:rPr>
        <w:t>Any violation of this securities trading policy may result in immediate dismissal and may subject the individual involved to both civil and criminal penalties. This is an extremely important matter, and we urge you to read the following with care.</w:t>
      </w:r>
    </w:p>
    <w:p>
      <w:pPr>
        <w:spacing w:after="0" w:line="147" w:lineRule="exact"/>
        <w:rPr>
          <w:sz w:val="20"/>
          <w:szCs w:val="20"/>
          <w:color w:val="auto"/>
        </w:rPr>
      </w:pPr>
    </w:p>
    <w:p>
      <w:pPr>
        <w:ind w:right="60" w:firstLine="1296"/>
        <w:spacing w:after="0" w:line="262" w:lineRule="auto"/>
        <w:rPr>
          <w:sz w:val="20"/>
          <w:szCs w:val="20"/>
          <w:color w:val="auto"/>
        </w:rPr>
      </w:pPr>
      <w:r>
        <w:rPr>
          <w:rFonts w:ascii="Arial" w:cs="Arial" w:eastAsia="Arial" w:hAnsi="Arial"/>
          <w:sz w:val="21"/>
          <w:szCs w:val="21"/>
          <w:color w:val="auto"/>
        </w:rPr>
        <w:t>The trading restrictions and policies described in Section 1 below apply to Aramark’s directors and all of Aramark’s employees, as well as their spouse, minor children and any other family members having the same home as them, as well as, unless an exception is specifically authorized by the Board of Directors, any other account for which they make or influence investment decisions, such as an account for a member of their family who consults them about investment decisions or a trust account or other account as to which they have investment authority. Aramark’s directors and executive officers and certain other designated employees from time to time are also subject to the trading restrictions and policies described in Section 2 below. Additionally, certain members of the corporate staff or certain other employees may also be required from time to time to comply with Section 2 below.</w:t>
      </w:r>
    </w:p>
    <w:p>
      <w:pPr>
        <w:spacing w:after="0" w:line="173" w:lineRule="exact"/>
        <w:rPr>
          <w:sz w:val="20"/>
          <w:szCs w:val="20"/>
          <w:color w:val="auto"/>
        </w:rPr>
      </w:pPr>
    </w:p>
    <w:p>
      <w:pPr>
        <w:ind w:firstLine="1296"/>
        <w:spacing w:after="0" w:line="257" w:lineRule="auto"/>
        <w:rPr>
          <w:sz w:val="20"/>
          <w:szCs w:val="20"/>
          <w:color w:val="auto"/>
        </w:rPr>
      </w:pPr>
      <w:r>
        <w:rPr>
          <w:rFonts w:ascii="Arial" w:cs="Arial" w:eastAsia="Arial" w:hAnsi="Arial"/>
          <w:sz w:val="22"/>
          <w:szCs w:val="22"/>
          <w:color w:val="auto"/>
        </w:rPr>
        <w:t>This Policy continues in effect until the opening of the first Window Period after termination of employment or other relationship with the Corporation, except that the pre-clearance requirements set forth in Section 2 continue to apply to directors and executive officers for up to six months after the termination of their status as a director or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b w:val="1"/>
          <w:bCs w:val="1"/>
          <w:u w:val="single" w:color="auto"/>
          <w:color w:val="auto"/>
        </w:rPr>
        <w:t>Directors and All Employees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Prohibitions Against Trading on or Tipping Non-Public Information</w:t>
      </w:r>
    </w:p>
    <w:p>
      <w:pPr>
        <w:spacing w:after="0" w:line="233" w:lineRule="exact"/>
        <w:rPr>
          <w:sz w:val="20"/>
          <w:szCs w:val="20"/>
          <w:color w:val="auto"/>
        </w:rPr>
      </w:pPr>
    </w:p>
    <w:p>
      <w:pPr>
        <w:ind w:right="400" w:firstLine="1296"/>
        <w:spacing w:after="0" w:line="275" w:lineRule="auto"/>
        <w:rPr>
          <w:sz w:val="20"/>
          <w:szCs w:val="20"/>
          <w:color w:val="auto"/>
        </w:rPr>
      </w:pPr>
      <w:r>
        <w:rPr>
          <w:rFonts w:ascii="Arial" w:cs="Arial" w:eastAsia="Arial" w:hAnsi="Arial"/>
          <w:sz w:val="21"/>
          <w:szCs w:val="21"/>
          <w:color w:val="auto"/>
        </w:rPr>
        <w:t>The federal securities laws and rules promulgated thereunder prohibit any person that is aware of material, non-public information from purchasing or selling securities and from communicating such information to any other person for such use. Material information is any information that a reasonable investor would consider</w:t>
      </w:r>
    </w:p>
    <w:p>
      <w:pPr>
        <w:sectPr>
          <w:pgSz w:w="11900" w:h="16838" w:orient="portrait"/>
          <w:cols w:equalWidth="0" w:num="1">
            <w:col w:w="11240"/>
          </w:cols>
          <w:pgMar w:left="320" w:top="122" w:right="339" w:bottom="1440" w:gutter="0" w:footer="0" w:header="0"/>
        </w:sectPr>
      </w:pPr>
    </w:p>
    <w:bookmarkStart w:id="348" w:name="page349"/>
    <w:bookmarkEnd w:id="348"/>
    <w:p>
      <w:pPr>
        <w:ind w:right="480"/>
        <w:spacing w:after="0" w:line="272" w:lineRule="auto"/>
        <w:rPr>
          <w:sz w:val="20"/>
          <w:szCs w:val="20"/>
          <w:color w:val="auto"/>
        </w:rPr>
      </w:pPr>
      <w:r>
        <w:rPr>
          <w:rFonts w:ascii="Arial" w:cs="Arial" w:eastAsia="Arial" w:hAnsi="Arial"/>
          <w:sz w:val="22"/>
          <w:szCs w:val="22"/>
          <w:color w:val="auto"/>
        </w:rPr>
        <w:t>important in determining whether to buy, sell or hold securities. Non-public information is information that has not been effectively disseminated to the investing public.</w:t>
      </w:r>
    </w:p>
    <w:p>
      <w:pPr>
        <w:spacing w:after="0" w:line="156" w:lineRule="exact"/>
        <w:rPr>
          <w:sz w:val="20"/>
          <w:szCs w:val="20"/>
          <w:color w:val="auto"/>
        </w:rPr>
      </w:pPr>
    </w:p>
    <w:p>
      <w:pPr>
        <w:ind w:firstLine="1296"/>
        <w:spacing w:after="0" w:line="251" w:lineRule="auto"/>
        <w:rPr>
          <w:sz w:val="20"/>
          <w:szCs w:val="20"/>
          <w:color w:val="auto"/>
        </w:rPr>
      </w:pPr>
      <w:r>
        <w:rPr>
          <w:rFonts w:ascii="Arial" w:cs="Arial" w:eastAsia="Arial" w:hAnsi="Arial"/>
          <w:sz w:val="22"/>
          <w:szCs w:val="22"/>
          <w:color w:val="auto"/>
        </w:rPr>
        <w:t>The sole exception to this prohibition is if the purchase or sale is made pursuant to a pre-existing written plan or arrangement complying with Rule 10b5-1 promulgated under the Securities Exchange Act of 1934, as amended (the “Exchange Act”), and approved in advance by the Aramark Legal Department. During the period that a person is aware of material, non-public information and absent a pre-existing written plan or arrangement pursuant to Rule 10b5-1, he or she will have to forgo a proposed transaction in the securities, even though he or she may have planned to make the purchase or sale before learning of the material, non-public information and even though failure to execute the purchase or sale may result in an economic loss to, or nonrealization of anticipated profit by, the person possessing such information.</w:t>
      </w:r>
    </w:p>
    <w:p>
      <w:pPr>
        <w:spacing w:after="0" w:line="179" w:lineRule="exact"/>
        <w:rPr>
          <w:sz w:val="20"/>
          <w:szCs w:val="20"/>
          <w:color w:val="auto"/>
        </w:rPr>
      </w:pPr>
    </w:p>
    <w:p>
      <w:pPr>
        <w:ind w:right="300" w:firstLine="1296"/>
        <w:spacing w:after="0" w:line="253" w:lineRule="auto"/>
        <w:rPr>
          <w:sz w:val="20"/>
          <w:szCs w:val="20"/>
          <w:color w:val="auto"/>
        </w:rPr>
      </w:pPr>
      <w:r>
        <w:rPr>
          <w:rFonts w:ascii="Arial" w:cs="Arial" w:eastAsia="Arial" w:hAnsi="Arial"/>
          <w:sz w:val="22"/>
          <w:szCs w:val="22"/>
          <w:color w:val="auto"/>
        </w:rPr>
        <w:t>This Policy is intended to protect Aramark personnel, Board members and their families and the Corporation from insider trading violations. However, the matters set forth in this Policy are guidelines only and are not intended to replace your responsibility to understand and comply with the legal prohibition on insider trading. Appropriate judgment should be exercised in connection with all securities trading. If you have specific questions regarding this Policy or applicable law, please contact the persons listed at the end of this Policy.</w:t>
      </w:r>
    </w:p>
    <w:p>
      <w:pPr>
        <w:spacing w:after="0" w:line="179"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 xml:space="preserve">It is Aramark’s policy that Aramark personnel and Board members may not purchase or sell securities issued by Aramark or any other company while aware of material, non-public information concerning Aramark or such other company (or its industry), respectively. It is also Aramark’s policy that </w:t>
      </w:r>
      <w:r>
        <w:rPr>
          <w:rFonts w:ascii="Arial" w:cs="Arial" w:eastAsia="Arial" w:hAnsi="Arial"/>
          <w:sz w:val="22"/>
          <w:szCs w:val="22"/>
          <w:u w:val="single" w:color="auto"/>
          <w:color w:val="auto"/>
        </w:rPr>
        <w:t>all</w:t>
      </w:r>
      <w:r>
        <w:rPr>
          <w:rFonts w:ascii="Arial" w:cs="Arial" w:eastAsia="Arial" w:hAnsi="Arial"/>
          <w:sz w:val="22"/>
          <w:szCs w:val="22"/>
          <w:color w:val="auto"/>
        </w:rPr>
        <w:t xml:space="preserve"> non-public information concerning Aramark, its clients, suppliers and competitors, which is obtained by Aramark personnel or a Board member in the course of his or her employment or Board membership at Aramark may not be communicated to any other person (including relatives, friends or business associates or in any consultant capacity and regardless of the purpose for which such communication may be made), except to the extent necessary to perform authorized work for Aramark or as otherwise specifically permitted by law, nor should such information be discussed with any person within Aramark under circumstances where it could be overheard. Written information should be appropriately safeguarded and should not be left where it may be seen by persons not entitled to the information. The unauthorized disclosure of information could result in serious consequences to Aramark and such other companies, whether or not such disclosure is made for the purpose of facilitating improper trading in securities.</w:t>
      </w:r>
    </w:p>
    <w:p>
      <w:pPr>
        <w:spacing w:after="0" w:line="184" w:lineRule="exact"/>
        <w:rPr>
          <w:sz w:val="20"/>
          <w:szCs w:val="20"/>
          <w:color w:val="auto"/>
        </w:rPr>
      </w:pPr>
    </w:p>
    <w:p>
      <w:pPr>
        <w:ind w:right="200" w:firstLine="1296"/>
        <w:spacing w:after="0" w:line="253" w:lineRule="auto"/>
        <w:rPr>
          <w:sz w:val="20"/>
          <w:szCs w:val="20"/>
          <w:color w:val="auto"/>
        </w:rPr>
      </w:pPr>
      <w:r>
        <w:rPr>
          <w:rFonts w:ascii="Arial" w:cs="Arial" w:eastAsia="Arial" w:hAnsi="Arial"/>
          <w:sz w:val="22"/>
          <w:szCs w:val="22"/>
          <w:color w:val="auto"/>
        </w:rPr>
        <w:t>In addition to other circumstances in which it may be applicable, this confidentiality policy must be strictly adhered to in responding to inquiries about Aramark that may be made by the press, financial analysts or other members of the financial community. It is important that responses to any such inquiries be made on behalf of Aramark by a designated person. Accordingly, neither Board members nor Aramark personnel should respond to such inquiries unless expressly authorized to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3" w:right="359" w:bottom="1440" w:gutter="0" w:footer="0" w:header="0"/>
        </w:sectPr>
      </w:pPr>
    </w:p>
    <w:bookmarkStart w:id="349" w:name="page350"/>
    <w:bookmarkEnd w:id="349"/>
    <w:p>
      <w:pPr>
        <w:ind w:right="160"/>
        <w:spacing w:after="0" w:line="257" w:lineRule="auto"/>
        <w:rPr>
          <w:sz w:val="20"/>
          <w:szCs w:val="20"/>
          <w:color w:val="auto"/>
        </w:rPr>
      </w:pPr>
      <w:r>
        <w:rPr>
          <w:rFonts w:ascii="Arial" w:cs="Arial" w:eastAsia="Arial" w:hAnsi="Arial"/>
          <w:sz w:val="22"/>
          <w:szCs w:val="22"/>
          <w:color w:val="auto"/>
        </w:rPr>
        <w:t>so. Any such inquiries should be referred to the Vice President of Investor Relations. For further information about Aramark’s policy with respect to disclosure of material, non-public information, see the Aramark Policy on Fair Disclosure to Investors.</w:t>
      </w:r>
    </w:p>
    <w:p>
      <w:pPr>
        <w:spacing w:after="0" w:line="186" w:lineRule="exact"/>
        <w:rPr>
          <w:sz w:val="20"/>
          <w:szCs w:val="20"/>
          <w:color w:val="auto"/>
        </w:rPr>
      </w:pPr>
    </w:p>
    <w:p>
      <w:pPr>
        <w:jc w:val="both"/>
        <w:ind w:right="360" w:firstLine="1296"/>
        <w:spacing w:after="0" w:line="257" w:lineRule="auto"/>
        <w:rPr>
          <w:sz w:val="20"/>
          <w:szCs w:val="20"/>
          <w:color w:val="auto"/>
        </w:rPr>
      </w:pPr>
      <w:r>
        <w:rPr>
          <w:rFonts w:ascii="Arial" w:cs="Arial" w:eastAsia="Arial" w:hAnsi="Arial"/>
          <w:sz w:val="22"/>
          <w:szCs w:val="22"/>
          <w:color w:val="auto"/>
        </w:rPr>
        <w:t>The term “security” or “securities” is defined very broadly by the securities laws and includes stock (common and preferred), stock options, warrants, bonds, notes, debentures, convertible instruments, put or call options (i.e., exchange-traded options), or other similar instruments.</w:t>
      </w:r>
    </w:p>
    <w:p>
      <w:pPr>
        <w:spacing w:after="0" w:line="173" w:lineRule="exact"/>
        <w:rPr>
          <w:sz w:val="20"/>
          <w:szCs w:val="20"/>
          <w:color w:val="auto"/>
        </w:rPr>
      </w:pPr>
    </w:p>
    <w:p>
      <w:pPr>
        <w:ind w:right="60" w:firstLine="1296"/>
        <w:spacing w:after="0" w:line="272" w:lineRule="auto"/>
        <w:rPr>
          <w:sz w:val="20"/>
          <w:szCs w:val="20"/>
          <w:color w:val="auto"/>
        </w:rPr>
      </w:pPr>
      <w:r>
        <w:rPr>
          <w:rFonts w:ascii="Arial" w:cs="Arial" w:eastAsia="Arial" w:hAnsi="Arial"/>
          <w:sz w:val="22"/>
          <w:szCs w:val="22"/>
          <w:color w:val="auto"/>
        </w:rPr>
        <w:t>A determination as to whether information is material or non-public depends on all of the related facts and circumstances. Information that you should consider material includes, but is not limited to:</w:t>
      </w:r>
    </w:p>
    <w:p>
      <w:pPr>
        <w:spacing w:after="0" w:line="169" w:lineRule="exact"/>
        <w:rPr>
          <w:sz w:val="20"/>
          <w:szCs w:val="20"/>
          <w:color w:val="auto"/>
        </w:rPr>
      </w:pPr>
    </w:p>
    <w:p>
      <w:pPr>
        <w:ind w:left="1680" w:hanging="376"/>
        <w:spacing w:after="0"/>
        <w:tabs>
          <w:tab w:leader="none" w:pos="168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quarterly or annual results;</w:t>
      </w:r>
    </w:p>
    <w:p>
      <w:pPr>
        <w:spacing w:after="0" w:line="23" w:lineRule="exact"/>
        <w:rPr>
          <w:rFonts w:ascii="Arial" w:cs="Arial" w:eastAsia="Arial" w:hAnsi="Arial"/>
          <w:sz w:val="22"/>
          <w:szCs w:val="22"/>
          <w:color w:val="auto"/>
        </w:rPr>
      </w:pPr>
    </w:p>
    <w:p>
      <w:pPr>
        <w:ind w:left="1680" w:hanging="376"/>
        <w:spacing w:after="0"/>
        <w:tabs>
          <w:tab w:leader="none" w:pos="168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guidance on earnings estimates and changing or confirming such guidance on a later date;</w:t>
      </w:r>
    </w:p>
    <w:p>
      <w:pPr>
        <w:spacing w:after="0" w:line="3" w:lineRule="exact"/>
        <w:rPr>
          <w:rFonts w:ascii="Arial" w:cs="Arial" w:eastAsia="Arial" w:hAnsi="Arial"/>
          <w:sz w:val="22"/>
          <w:szCs w:val="22"/>
          <w:color w:val="auto"/>
        </w:rPr>
      </w:pPr>
    </w:p>
    <w:p>
      <w:pPr>
        <w:ind w:left="1680" w:hanging="376"/>
        <w:spacing w:after="0"/>
        <w:tabs>
          <w:tab w:leader="none" w:pos="168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mergers, acquisitions, tender offers, joint ventures, or changes in assets;</w:t>
      </w:r>
    </w:p>
    <w:p>
      <w:pPr>
        <w:spacing w:after="0" w:line="3" w:lineRule="exact"/>
        <w:rPr>
          <w:rFonts w:ascii="Arial" w:cs="Arial" w:eastAsia="Arial" w:hAnsi="Arial"/>
          <w:sz w:val="22"/>
          <w:szCs w:val="22"/>
          <w:color w:val="auto"/>
        </w:rPr>
      </w:pPr>
    </w:p>
    <w:p>
      <w:pPr>
        <w:ind w:left="1680" w:hanging="376"/>
        <w:spacing w:after="0"/>
        <w:tabs>
          <w:tab w:leader="none" w:pos="168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new products or discoveries;</w:t>
      </w:r>
    </w:p>
    <w:p>
      <w:pPr>
        <w:spacing w:after="0" w:line="3" w:lineRule="exact"/>
        <w:rPr>
          <w:rFonts w:ascii="Arial" w:cs="Arial" w:eastAsia="Arial" w:hAnsi="Arial"/>
          <w:sz w:val="22"/>
          <w:szCs w:val="22"/>
          <w:color w:val="auto"/>
        </w:rPr>
      </w:pPr>
    </w:p>
    <w:p>
      <w:pPr>
        <w:ind w:left="1960" w:right="180" w:hanging="656"/>
        <w:spacing w:after="0" w:line="246" w:lineRule="auto"/>
        <w:tabs>
          <w:tab w:leader="none" w:pos="1688" w:val="left"/>
        </w:tabs>
        <w:numPr>
          <w:ilvl w:val="0"/>
          <w:numId w:val="381"/>
        </w:numPr>
        <w:rPr>
          <w:rFonts w:ascii="Arial" w:cs="Arial" w:eastAsia="Arial" w:hAnsi="Arial"/>
          <w:sz w:val="22"/>
          <w:szCs w:val="22"/>
          <w:color w:val="auto"/>
        </w:rPr>
      </w:pPr>
      <w:r>
        <w:rPr>
          <w:rFonts w:ascii="Arial" w:cs="Arial" w:eastAsia="Arial" w:hAnsi="Arial"/>
          <w:sz w:val="22"/>
          <w:szCs w:val="22"/>
          <w:color w:val="auto"/>
        </w:rPr>
        <w:t>developments regarding customers or suppliers, including the acquisition or loss of an important contract;</w:t>
      </w:r>
    </w:p>
    <w:p>
      <w:pPr>
        <w:spacing w:after="0" w:line="1" w:lineRule="exact"/>
        <w:rPr>
          <w:rFonts w:ascii="Arial" w:cs="Arial" w:eastAsia="Arial" w:hAnsi="Arial"/>
          <w:sz w:val="22"/>
          <w:szCs w:val="22"/>
          <w:color w:val="auto"/>
        </w:rPr>
      </w:pPr>
    </w:p>
    <w:p>
      <w:pPr>
        <w:ind w:left="1680" w:hanging="376"/>
        <w:spacing w:after="0"/>
        <w:tabs>
          <w:tab w:leader="none" w:pos="168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changes in control or in senior management;</w:t>
      </w:r>
    </w:p>
    <w:p>
      <w:pPr>
        <w:spacing w:after="0" w:line="10" w:lineRule="exact"/>
        <w:rPr>
          <w:rFonts w:ascii="Arial" w:cs="Arial" w:eastAsia="Arial" w:hAnsi="Arial"/>
          <w:sz w:val="22"/>
          <w:szCs w:val="22"/>
          <w:color w:val="auto"/>
        </w:rPr>
      </w:pPr>
    </w:p>
    <w:p>
      <w:pPr>
        <w:ind w:left="1680" w:hanging="376"/>
        <w:spacing w:after="0"/>
        <w:tabs>
          <w:tab w:leader="none" w:pos="168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changes in compensation policy;</w:t>
      </w:r>
    </w:p>
    <w:p>
      <w:pPr>
        <w:spacing w:after="0" w:line="3" w:lineRule="exact"/>
        <w:rPr>
          <w:rFonts w:ascii="Arial" w:cs="Arial" w:eastAsia="Arial" w:hAnsi="Arial"/>
          <w:sz w:val="22"/>
          <w:szCs w:val="22"/>
          <w:color w:val="auto"/>
        </w:rPr>
      </w:pPr>
    </w:p>
    <w:p>
      <w:pPr>
        <w:ind w:left="1960" w:right="160" w:hanging="656"/>
        <w:spacing w:after="0" w:line="243" w:lineRule="auto"/>
        <w:tabs>
          <w:tab w:leader="none" w:pos="1688" w:val="left"/>
        </w:tabs>
        <w:numPr>
          <w:ilvl w:val="0"/>
          <w:numId w:val="381"/>
        </w:numPr>
        <w:rPr>
          <w:rFonts w:ascii="Arial" w:cs="Arial" w:eastAsia="Arial" w:hAnsi="Arial"/>
          <w:sz w:val="22"/>
          <w:szCs w:val="22"/>
          <w:color w:val="auto"/>
        </w:rPr>
      </w:pPr>
      <w:r>
        <w:rPr>
          <w:rFonts w:ascii="Arial" w:cs="Arial" w:eastAsia="Arial" w:hAnsi="Arial"/>
          <w:sz w:val="22"/>
          <w:szCs w:val="22"/>
          <w:color w:val="auto"/>
        </w:rPr>
        <w:t>change in the Corporation’s independent registered public accounting firm or notification that the Corporation may no longer rely on such firm’s report;</w:t>
      </w:r>
    </w:p>
    <w:p>
      <w:pPr>
        <w:ind w:left="1960" w:right="20" w:hanging="656"/>
        <w:spacing w:after="0" w:line="247" w:lineRule="auto"/>
        <w:tabs>
          <w:tab w:leader="none" w:pos="1688" w:val="left"/>
        </w:tabs>
        <w:numPr>
          <w:ilvl w:val="0"/>
          <w:numId w:val="381"/>
        </w:numPr>
        <w:rPr>
          <w:rFonts w:ascii="Arial" w:cs="Arial" w:eastAsia="Arial" w:hAnsi="Arial"/>
          <w:sz w:val="22"/>
          <w:szCs w:val="22"/>
          <w:color w:val="auto"/>
        </w:rPr>
      </w:pPr>
      <w:r>
        <w:rPr>
          <w:rFonts w:ascii="Arial" w:cs="Arial" w:eastAsia="Arial" w:hAnsi="Arial"/>
          <w:sz w:val="22"/>
          <w:szCs w:val="22"/>
          <w:color w:val="auto"/>
        </w:rPr>
        <w:t>financings and other events regarding the Corporation securities (e.g., defaults on securities, calls of securities for redemption, share repurchase plans, stock splits, public or private sales of securities, changes in dividends and changes to the rights of securityholders);</w:t>
      </w:r>
    </w:p>
    <w:p>
      <w:pPr>
        <w:spacing w:after="0" w:line="1" w:lineRule="exact"/>
        <w:rPr>
          <w:rFonts w:ascii="Arial" w:cs="Arial" w:eastAsia="Arial" w:hAnsi="Arial"/>
          <w:sz w:val="22"/>
          <w:szCs w:val="22"/>
          <w:color w:val="auto"/>
        </w:rPr>
      </w:pPr>
    </w:p>
    <w:p>
      <w:pPr>
        <w:ind w:left="1680" w:hanging="376"/>
        <w:spacing w:after="0"/>
        <w:tabs>
          <w:tab w:leader="none" w:pos="168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significant write-offs;</w:t>
      </w:r>
    </w:p>
    <w:p>
      <w:pPr>
        <w:spacing w:after="0" w:line="3" w:lineRule="exact"/>
        <w:rPr>
          <w:rFonts w:ascii="Arial" w:cs="Arial" w:eastAsia="Arial" w:hAnsi="Arial"/>
          <w:sz w:val="22"/>
          <w:szCs w:val="22"/>
          <w:color w:val="auto"/>
        </w:rPr>
      </w:pPr>
    </w:p>
    <w:p>
      <w:pPr>
        <w:ind w:left="1680" w:hanging="376"/>
        <w:spacing w:after="0"/>
        <w:tabs>
          <w:tab w:leader="none" w:pos="168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significant litigation or governmental investigations;</w:t>
      </w:r>
    </w:p>
    <w:p>
      <w:pPr>
        <w:spacing w:after="0" w:line="3" w:lineRule="exact"/>
        <w:rPr>
          <w:rFonts w:ascii="Arial" w:cs="Arial" w:eastAsia="Arial" w:hAnsi="Arial"/>
          <w:sz w:val="22"/>
          <w:szCs w:val="22"/>
          <w:color w:val="auto"/>
        </w:rPr>
      </w:pPr>
    </w:p>
    <w:p>
      <w:pPr>
        <w:ind w:left="1620" w:hanging="316"/>
        <w:spacing w:after="0"/>
        <w:tabs>
          <w:tab w:leader="none" w:pos="1620" w:val="left"/>
        </w:tabs>
        <w:numPr>
          <w:ilvl w:val="0"/>
          <w:numId w:val="381"/>
        </w:numPr>
        <w:rPr>
          <w:rFonts w:ascii="Times New Roman" w:cs="Times New Roman" w:eastAsia="Times New Roman" w:hAnsi="Times New Roman"/>
          <w:sz w:val="22"/>
          <w:szCs w:val="22"/>
          <w:color w:val="auto"/>
        </w:rPr>
      </w:pPr>
      <w:r>
        <w:rPr>
          <w:rFonts w:ascii="Arial" w:cs="Arial" w:eastAsia="Arial" w:hAnsi="Arial"/>
          <w:sz w:val="22"/>
          <w:szCs w:val="22"/>
          <w:color w:val="auto"/>
        </w:rPr>
        <w:t>significant cybersecurity breaches; and</w:t>
      </w:r>
    </w:p>
    <w:p>
      <w:pPr>
        <w:spacing w:after="0" w:line="9"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bankruptcy, corporate restructuring or receivership.</w:t>
      </w:r>
    </w:p>
    <w:p>
      <w:pPr>
        <w:spacing w:after="0" w:line="233"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In addition, it should be emphasized that material information does not have to relate to a company’s business; information about the contents of a forthcoming publication in the financial press that is expected to affect the market price of a security could be material. Courts often resolve close cases in favor of finding the information material. Therefore, insiders should err on the side of caution. Insiders should keep in mind that the Securities and Exchange Commission’s (“SEC”) rules and regulations provide that the mere fact that a person is aware of the information is a bar to trading. It is no excuse that such person’s reasons for trading were not based on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320" w:top="1423" w:right="559" w:bottom="1440" w:gutter="0" w:footer="0" w:header="0"/>
        </w:sectPr>
      </w:pPr>
    </w:p>
    <w:bookmarkStart w:id="350" w:name="page351"/>
    <w:bookmarkEnd w:id="350"/>
    <w:p>
      <w:pPr>
        <w:ind w:left="240"/>
        <w:spacing w:after="0"/>
        <w:rPr>
          <w:sz w:val="20"/>
          <w:szCs w:val="20"/>
          <w:color w:val="auto"/>
        </w:rPr>
      </w:pPr>
      <w:r>
        <w:rPr>
          <w:rFonts w:ascii="Arial" w:cs="Arial" w:eastAsia="Arial" w:hAnsi="Arial"/>
          <w:sz w:val="22"/>
          <w:szCs w:val="22"/>
          <w:color w:val="auto"/>
        </w:rPr>
        <w:t>For the purpose of this Policy, information is “non-public” until three criteria have been satisfied: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First, the information must have been widely disseminated. Insiders should assume that information has</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NOT been widely disseminated unless </w:t>
      </w:r>
      <w:r>
        <w:rPr>
          <w:rFonts w:ascii="Arial" w:cs="Arial" w:eastAsia="Arial" w:hAnsi="Arial"/>
          <w:sz w:val="22"/>
          <w:szCs w:val="22"/>
          <w:u w:val="single" w:color="auto"/>
          <w:color w:val="auto"/>
        </w:rPr>
        <w:t>one or more</w:t>
      </w:r>
      <w:r>
        <w:rPr>
          <w:rFonts w:ascii="Arial" w:cs="Arial" w:eastAsia="Arial" w:hAnsi="Arial"/>
          <w:sz w:val="22"/>
          <w:szCs w:val="22"/>
          <w:color w:val="auto"/>
        </w:rPr>
        <w:t xml:space="preserve"> of the following has occurred:</w:t>
      </w:r>
    </w:p>
    <w:p>
      <w:pPr>
        <w:spacing w:after="0" w:line="240" w:lineRule="exact"/>
        <w:rPr>
          <w:sz w:val="20"/>
          <w:szCs w:val="20"/>
          <w:color w:val="auto"/>
        </w:rPr>
      </w:pPr>
    </w:p>
    <w:p>
      <w:pPr>
        <w:ind w:left="1680" w:hanging="376"/>
        <w:spacing w:after="0"/>
        <w:tabs>
          <w:tab w:leader="none" w:pos="1680" w:val="left"/>
        </w:tabs>
        <w:numPr>
          <w:ilvl w:val="0"/>
          <w:numId w:val="382"/>
        </w:numPr>
        <w:rPr>
          <w:rFonts w:ascii="Arial" w:cs="Arial" w:eastAsia="Arial" w:hAnsi="Arial"/>
          <w:sz w:val="22"/>
          <w:szCs w:val="22"/>
          <w:color w:val="auto"/>
        </w:rPr>
      </w:pPr>
      <w:r>
        <w:rPr>
          <w:rFonts w:ascii="Arial" w:cs="Arial" w:eastAsia="Arial" w:hAnsi="Arial"/>
          <w:sz w:val="22"/>
          <w:szCs w:val="22"/>
          <w:color w:val="auto"/>
        </w:rPr>
        <w:t>it has been carried in a “financial” news service such as the Dow Jones Broad Tape;</w:t>
      </w:r>
    </w:p>
    <w:p>
      <w:pPr>
        <w:spacing w:after="0" w:line="23" w:lineRule="exact"/>
        <w:rPr>
          <w:rFonts w:ascii="Arial" w:cs="Arial" w:eastAsia="Arial" w:hAnsi="Arial"/>
          <w:sz w:val="22"/>
          <w:szCs w:val="22"/>
          <w:color w:val="auto"/>
        </w:rPr>
      </w:pPr>
    </w:p>
    <w:p>
      <w:pPr>
        <w:ind w:left="1680" w:hanging="376"/>
        <w:spacing w:after="0"/>
        <w:tabs>
          <w:tab w:leader="none" w:pos="1680" w:val="left"/>
        </w:tabs>
        <w:numPr>
          <w:ilvl w:val="0"/>
          <w:numId w:val="382"/>
        </w:numPr>
        <w:rPr>
          <w:rFonts w:ascii="Arial" w:cs="Arial" w:eastAsia="Arial" w:hAnsi="Arial"/>
          <w:sz w:val="22"/>
          <w:szCs w:val="22"/>
          <w:color w:val="auto"/>
        </w:rPr>
      </w:pPr>
      <w:r>
        <w:rPr>
          <w:rFonts w:ascii="Arial" w:cs="Arial" w:eastAsia="Arial" w:hAnsi="Arial"/>
          <w:sz w:val="22"/>
          <w:szCs w:val="22"/>
          <w:color w:val="auto"/>
        </w:rPr>
        <w:t>it has been carried in a “general” news service such as the Associated Press;</w:t>
      </w:r>
    </w:p>
    <w:p>
      <w:pPr>
        <w:spacing w:after="0" w:line="3" w:lineRule="exact"/>
        <w:rPr>
          <w:rFonts w:ascii="Arial" w:cs="Arial" w:eastAsia="Arial" w:hAnsi="Arial"/>
          <w:sz w:val="22"/>
          <w:szCs w:val="22"/>
          <w:color w:val="auto"/>
        </w:rPr>
      </w:pPr>
    </w:p>
    <w:p>
      <w:pPr>
        <w:ind w:left="1680" w:hanging="376"/>
        <w:spacing w:after="0"/>
        <w:tabs>
          <w:tab w:leader="none" w:pos="1680" w:val="left"/>
        </w:tabs>
        <w:numPr>
          <w:ilvl w:val="0"/>
          <w:numId w:val="382"/>
        </w:numPr>
        <w:rPr>
          <w:rFonts w:ascii="Arial" w:cs="Arial" w:eastAsia="Arial" w:hAnsi="Arial"/>
          <w:sz w:val="22"/>
          <w:szCs w:val="22"/>
          <w:color w:val="auto"/>
        </w:rPr>
      </w:pPr>
      <w:r>
        <w:rPr>
          <w:rFonts w:ascii="Arial" w:cs="Arial" w:eastAsia="Arial" w:hAnsi="Arial"/>
          <w:sz w:val="22"/>
          <w:szCs w:val="22"/>
          <w:color w:val="auto"/>
        </w:rPr>
        <w:t>it has appeared in a filing with the SEC; or</w:t>
      </w:r>
    </w:p>
    <w:p>
      <w:pPr>
        <w:spacing w:after="0" w:line="3" w:lineRule="exact"/>
        <w:rPr>
          <w:rFonts w:ascii="Arial" w:cs="Arial" w:eastAsia="Arial" w:hAnsi="Arial"/>
          <w:sz w:val="22"/>
          <w:szCs w:val="22"/>
          <w:color w:val="auto"/>
        </w:rPr>
      </w:pPr>
    </w:p>
    <w:p>
      <w:pPr>
        <w:ind w:left="1620" w:hanging="316"/>
        <w:spacing w:after="0"/>
        <w:tabs>
          <w:tab w:leader="none" w:pos="1620" w:val="left"/>
        </w:tabs>
        <w:numPr>
          <w:ilvl w:val="0"/>
          <w:numId w:val="382"/>
        </w:numPr>
        <w:rPr>
          <w:rFonts w:ascii="Times New Roman" w:cs="Times New Roman" w:eastAsia="Times New Roman" w:hAnsi="Times New Roman"/>
          <w:sz w:val="22"/>
          <w:szCs w:val="22"/>
          <w:color w:val="auto"/>
        </w:rPr>
      </w:pPr>
      <w:r>
        <w:rPr>
          <w:rFonts w:ascii="Arial" w:cs="Arial" w:eastAsia="Arial" w:hAnsi="Arial"/>
          <w:sz w:val="22"/>
          <w:szCs w:val="22"/>
          <w:color w:val="auto"/>
        </w:rPr>
        <w:t>another manner compliant with Regulation FD.</w:t>
      </w:r>
    </w:p>
    <w:p>
      <w:pPr>
        <w:spacing w:after="0" w:line="226" w:lineRule="exact"/>
        <w:rPr>
          <w:sz w:val="20"/>
          <w:szCs w:val="20"/>
          <w:color w:val="auto"/>
        </w:rPr>
      </w:pPr>
    </w:p>
    <w:p>
      <w:pPr>
        <w:ind w:left="660" w:right="920"/>
        <w:spacing w:after="0" w:line="264" w:lineRule="auto"/>
        <w:rPr>
          <w:sz w:val="20"/>
          <w:szCs w:val="20"/>
          <w:color w:val="auto"/>
        </w:rPr>
      </w:pPr>
      <w:r>
        <w:rPr>
          <w:rFonts w:ascii="Arial" w:cs="Arial" w:eastAsia="Arial" w:hAnsi="Arial"/>
          <w:sz w:val="22"/>
          <w:szCs w:val="22"/>
          <w:color w:val="auto"/>
        </w:rPr>
        <w:t>Second, the information disseminated must be some form of “official” announcement. In other words, the fact that rumors, speculation, or statements attributed to unidentified sources are public is insufficient to be considered widely disseminated even when the information is accurate.</w:t>
      </w:r>
    </w:p>
    <w:p>
      <w:pPr>
        <w:spacing w:after="0" w:line="164" w:lineRule="exact"/>
        <w:rPr>
          <w:sz w:val="20"/>
          <w:szCs w:val="20"/>
          <w:color w:val="auto"/>
        </w:rPr>
      </w:pPr>
    </w:p>
    <w:p>
      <w:pPr>
        <w:ind w:left="660" w:right="660"/>
        <w:spacing w:after="0" w:line="253" w:lineRule="auto"/>
        <w:rPr>
          <w:sz w:val="20"/>
          <w:szCs w:val="20"/>
          <w:color w:val="auto"/>
        </w:rPr>
      </w:pPr>
      <w:r>
        <w:rPr>
          <w:rFonts w:ascii="Arial" w:cs="Arial" w:eastAsia="Arial" w:hAnsi="Arial"/>
          <w:sz w:val="22"/>
          <w:szCs w:val="22"/>
          <w:color w:val="auto"/>
        </w:rPr>
        <w:t>Third, after the information has been disseminated, a period of time must pass sufficient for the information to be assimilated by the general public. As a general rule, at least 48 hours (several of which must be hours during which the New York Stock Exchange is open for trading) must elapse between the dissemination of information in a national news medium and when that information may be considered public.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Stock Options</w:t>
      </w:r>
    </w:p>
    <w:p>
      <w:pPr>
        <w:spacing w:after="0" w:line="220" w:lineRule="exact"/>
        <w:rPr>
          <w:sz w:val="20"/>
          <w:szCs w:val="20"/>
          <w:color w:val="auto"/>
        </w:rPr>
      </w:pPr>
    </w:p>
    <w:p>
      <w:pPr>
        <w:ind w:right="20" w:firstLine="1296"/>
        <w:spacing w:after="0" w:line="251" w:lineRule="auto"/>
        <w:rPr>
          <w:sz w:val="20"/>
          <w:szCs w:val="20"/>
          <w:color w:val="auto"/>
        </w:rPr>
      </w:pPr>
      <w:r>
        <w:rPr>
          <w:rFonts w:ascii="Arial" w:cs="Arial" w:eastAsia="Arial" w:hAnsi="Arial"/>
          <w:sz w:val="22"/>
          <w:szCs w:val="22"/>
          <w:color w:val="auto"/>
        </w:rPr>
        <w:t>Aramark employees may exercise stock options and hold the underlying securities, notwithstanding the foregoing prohibitions. “Broker’s cashless exercises” and option exercises where securities are traded in order to pay the exercise price or withholding may only be executed when the holder is not in possession of material, non-public information and in accordance with any applicable restrictions under Aramark’s equity plans. In general, option exercises where securities are withheld or transferred to Aramark to pay the exercise price or withholding taxes may be made at any time, subject to the applicable provisions of Aramark’s equity plans.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Stock Purchase Plan</w:t>
      </w:r>
    </w:p>
    <w:p>
      <w:pPr>
        <w:spacing w:after="0" w:line="220" w:lineRule="exact"/>
        <w:rPr>
          <w:sz w:val="20"/>
          <w:szCs w:val="20"/>
          <w:color w:val="auto"/>
        </w:rPr>
      </w:pPr>
    </w:p>
    <w:p>
      <w:pPr>
        <w:ind w:firstLine="240"/>
        <w:spacing w:after="0" w:line="253" w:lineRule="auto"/>
        <w:rPr>
          <w:sz w:val="20"/>
          <w:szCs w:val="20"/>
          <w:color w:val="auto"/>
        </w:rPr>
      </w:pPr>
      <w:r>
        <w:rPr>
          <w:rFonts w:ascii="Arial" w:cs="Arial" w:eastAsia="Arial" w:hAnsi="Arial"/>
          <w:sz w:val="22"/>
          <w:szCs w:val="22"/>
          <w:color w:val="auto"/>
        </w:rPr>
        <w:t>Aramark employees may participate in Aramark’s Employee Stock Purchase Plan in effect from time to time, including any “cashless participation feature”, notwithstanding the prohibitions described herein, provided that such participation is in accordance with the Corporation’s policies and procedures in effect at such time. Note that any sale of stock acquired through such Employee Stock Purchase Plan, other than through the “cashless participation feature” is subject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80"/>
          </w:cols>
          <w:pgMar w:left="320" w:top="1423" w:right="399" w:bottom="1440" w:gutter="0" w:footer="0" w:header="0"/>
        </w:sectPr>
      </w:pPr>
    </w:p>
    <w:bookmarkStart w:id="351" w:name="page352"/>
    <w:bookmarkEnd w:id="351"/>
    <w:p>
      <w:pPr>
        <w:spacing w:after="0"/>
        <w:rPr>
          <w:sz w:val="20"/>
          <w:szCs w:val="20"/>
          <w:color w:val="auto"/>
        </w:rPr>
      </w:pPr>
      <w:r>
        <w:rPr>
          <w:rFonts w:ascii="Arial" w:cs="Arial" w:eastAsia="Arial" w:hAnsi="Arial"/>
          <w:sz w:val="22"/>
          <w:szCs w:val="22"/>
          <w:u w:val="single" w:color="auto"/>
          <w:color w:val="auto"/>
        </w:rPr>
        <w:t>Prohibition on Short-Term Trading</w:t>
      </w:r>
    </w:p>
    <w:p>
      <w:pPr>
        <w:spacing w:after="0" w:line="220" w:lineRule="exact"/>
        <w:rPr>
          <w:sz w:val="20"/>
          <w:szCs w:val="20"/>
          <w:color w:val="auto"/>
        </w:rPr>
      </w:pPr>
    </w:p>
    <w:p>
      <w:pPr>
        <w:ind w:firstLine="1296"/>
        <w:spacing w:after="0" w:line="268" w:lineRule="auto"/>
        <w:rPr>
          <w:sz w:val="20"/>
          <w:szCs w:val="20"/>
          <w:color w:val="auto"/>
        </w:rPr>
      </w:pPr>
      <w:r>
        <w:rPr>
          <w:rFonts w:ascii="Arial" w:cs="Arial" w:eastAsia="Arial" w:hAnsi="Arial"/>
          <w:sz w:val="21"/>
          <w:szCs w:val="21"/>
          <w:color w:val="auto"/>
        </w:rPr>
        <w:t>Short-term investment activity in Aramark securities, such as trading in or writing options, warrants, puts, calls or similar instruments on the Corporation’s securities or selling such securities “short” (i.e., selling stock that is not owned and borrowing the shares to make delivery), arbitrage trading or “day trading,” is not appropriate under any circumstances, and accordingly is prohibited. Such activities put the personal gain of the trader in conflict with the best interests of the Corporation and its securityholders or otherwise may give the appearance of impropriety.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Hedging Transactions</w:t>
      </w:r>
    </w:p>
    <w:p>
      <w:pPr>
        <w:spacing w:after="0" w:line="220" w:lineRule="exact"/>
        <w:rPr>
          <w:sz w:val="20"/>
          <w:szCs w:val="20"/>
          <w:color w:val="auto"/>
        </w:rPr>
      </w:pPr>
    </w:p>
    <w:p>
      <w:pPr>
        <w:ind w:right="140" w:firstLine="1296"/>
        <w:spacing w:after="0" w:line="251" w:lineRule="auto"/>
        <w:rPr>
          <w:sz w:val="20"/>
          <w:szCs w:val="20"/>
          <w:color w:val="auto"/>
        </w:rPr>
      </w:pPr>
      <w:r>
        <w:rPr>
          <w:rFonts w:ascii="Arial" w:cs="Arial" w:eastAsia="Arial" w:hAnsi="Arial"/>
          <w:sz w:val="22"/>
          <w:szCs w:val="22"/>
          <w:color w:val="auto"/>
        </w:rPr>
        <w:t>Hedging arrangements include any swap, forward, option, future, collar, exchange fund or other derivative transactions or arrangements that hedge or offset, or are designed to hedge or offset, any decrease in the market value of shares of Aramark common stock, or otherwise transfer to another, in whole or in part, any of the economic consequences of ownership of any shares of Aramark common stock at the same time the director or employee holds the stock. Aramark directors and employees may not enter into any hedging transactions with respect to the Corporation’s securities.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Margin Accounts and Pledges</w:t>
      </w:r>
    </w:p>
    <w:p>
      <w:pPr>
        <w:spacing w:after="0" w:line="233" w:lineRule="exact"/>
        <w:rPr>
          <w:sz w:val="20"/>
          <w:szCs w:val="20"/>
          <w:color w:val="auto"/>
        </w:rPr>
      </w:pPr>
    </w:p>
    <w:p>
      <w:pPr>
        <w:ind w:right="40" w:firstLine="1296"/>
        <w:spacing w:after="0" w:line="248" w:lineRule="auto"/>
        <w:rPr>
          <w:sz w:val="20"/>
          <w:szCs w:val="20"/>
          <w:color w:val="auto"/>
        </w:rPr>
      </w:pPr>
      <w:r>
        <w:rPr>
          <w:rFonts w:ascii="Arial" w:cs="Arial" w:eastAsia="Arial" w:hAnsi="Arial"/>
          <w:sz w:val="22"/>
          <w:szCs w:val="22"/>
          <w:color w:val="auto"/>
        </w:rPr>
        <w:t>Securities purchased on margin may be sold by the broker without the customer’s consent if the customer fails to meet a margin call. Similarly, securities held in an account which may be borrowed against or are otherwise pledged (or hypothecated) as collateral for a loan may be sold in foreclosure if the borrower defaults on the loan. Accordingly, if a person purchases securities on margin or pledges them as collateral for a loan, a margin sale or foreclosure sale may occur at a time when such person is aware of material non-public information or otherwise not permitted to trade in the Corporation’s securities. The sale, even though not initiated at the person’s request, is still a sale for such person’s benefit and may subject such person to liability under the insider trading rules if made at a time when such person is aware of material non-public information. Similar cautions apply to a bank or other loans for which a person has pledged stock as collateral. Because of these risks, employees who are not directors, executive officers or Designated Employees (as defined below) should consult with the Aramark Legal Department and their own outside legal advisor prior to engaging in any such transactions.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u w:val="single" w:color="auto"/>
          <w:color w:val="auto"/>
        </w:rPr>
        <w:t>Directors, Executive Officers and Designated Employees</w:t>
      </w:r>
    </w:p>
    <w:p>
      <w:pPr>
        <w:spacing w:after="0" w:line="222"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u w:val="single" w:color="auto"/>
          <w:color w:val="auto"/>
        </w:rPr>
        <w:t>In addition to the policies set forth in Section 1 of this Policy, the following sets forth additional restrictions applicable to directors, executive officers and Designated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3" w:right="359" w:bottom="1440" w:gutter="0" w:footer="0" w:header="0"/>
        </w:sectPr>
      </w:pPr>
    </w:p>
    <w:bookmarkStart w:id="352" w:name="page353"/>
    <w:bookmarkEnd w:id="352"/>
    <w:p>
      <w:pPr>
        <w:spacing w:after="0"/>
        <w:rPr>
          <w:sz w:val="20"/>
          <w:szCs w:val="20"/>
          <w:color w:val="auto"/>
        </w:rPr>
      </w:pPr>
      <w:r>
        <w:rPr>
          <w:rFonts w:ascii="Arial" w:cs="Arial" w:eastAsia="Arial" w:hAnsi="Arial"/>
          <w:sz w:val="22"/>
          <w:szCs w:val="22"/>
          <w:u w:val="single" w:color="auto"/>
          <w:color w:val="auto"/>
        </w:rPr>
        <w:t>General</w:t>
      </w:r>
    </w:p>
    <w:p>
      <w:pPr>
        <w:spacing w:after="0" w:line="220" w:lineRule="exact"/>
        <w:rPr>
          <w:sz w:val="20"/>
          <w:szCs w:val="20"/>
          <w:color w:val="auto"/>
        </w:rPr>
      </w:pPr>
    </w:p>
    <w:p>
      <w:pPr>
        <w:ind w:right="100" w:firstLine="1296"/>
        <w:spacing w:after="0" w:line="249" w:lineRule="auto"/>
        <w:rPr>
          <w:sz w:val="20"/>
          <w:szCs w:val="20"/>
          <w:color w:val="auto"/>
        </w:rPr>
      </w:pPr>
      <w:r>
        <w:rPr>
          <w:rFonts w:ascii="Arial" w:cs="Arial" w:eastAsia="Arial" w:hAnsi="Arial"/>
          <w:sz w:val="22"/>
          <w:szCs w:val="22"/>
          <w:color w:val="auto"/>
        </w:rPr>
        <w:t>In addition to the trading restrictions and policies which apply to all employees as outlined in Section 1 above, Aramark requires that all directors executive officers and other employees who have been advised from time to time or permanently that they may only trade in Aramark securities during window periods (“Designated Employees”) obtain prior written approval to purchase, sell, gift or otherwise acquire, transfer or dispose of Aramark securities. Approval is required not only for transactions engaged in by such persons (directly or indirectly, through Rule 10b5-1 plans or otherwise), but also for transactions engaged in by their spouse, minor children and any other family members having the same home as them, as well as, unless an exception is specifically authorized by the Board of Directors, any other account for which they make or influence investment decisions, such as an account for a member of their family who consults them about investment decisions or a trust account or other account as to which they have investment authority.</w:t>
      </w:r>
    </w:p>
    <w:p>
      <w:pPr>
        <w:spacing w:after="0" w:line="181" w:lineRule="exact"/>
        <w:rPr>
          <w:sz w:val="20"/>
          <w:szCs w:val="20"/>
          <w:color w:val="auto"/>
        </w:rPr>
      </w:pPr>
    </w:p>
    <w:p>
      <w:pPr>
        <w:ind w:right="100" w:firstLine="1296"/>
        <w:spacing w:after="0" w:line="264" w:lineRule="auto"/>
        <w:rPr>
          <w:sz w:val="20"/>
          <w:szCs w:val="20"/>
          <w:color w:val="auto"/>
        </w:rPr>
      </w:pPr>
      <w:r>
        <w:rPr>
          <w:rFonts w:ascii="Arial" w:cs="Arial" w:eastAsia="Arial" w:hAnsi="Arial"/>
          <w:sz w:val="22"/>
          <w:szCs w:val="22"/>
          <w:color w:val="auto"/>
        </w:rPr>
        <w:t xml:space="preserve">Below is additional information regarding Aramark’s securities trading approval process. </w:t>
      </w:r>
      <w:r>
        <w:rPr>
          <w:rFonts w:ascii="Arial" w:cs="Arial" w:eastAsia="Arial" w:hAnsi="Arial"/>
          <w:sz w:val="22"/>
          <w:szCs w:val="22"/>
          <w:b w:val="1"/>
          <w:bCs w:val="1"/>
          <w:color w:val="auto"/>
        </w:rPr>
        <w:t>Any violation</w:t>
      </w:r>
      <w:r>
        <w:rPr>
          <w:rFonts w:ascii="Arial" w:cs="Arial" w:eastAsia="Arial" w:hAnsi="Arial"/>
          <w:sz w:val="22"/>
          <w:szCs w:val="22"/>
          <w:color w:val="auto"/>
        </w:rPr>
        <w:t xml:space="preserve"> </w:t>
      </w:r>
      <w:r>
        <w:rPr>
          <w:rFonts w:ascii="Arial" w:cs="Arial" w:eastAsia="Arial" w:hAnsi="Arial"/>
          <w:sz w:val="22"/>
          <w:szCs w:val="22"/>
          <w:b w:val="1"/>
          <w:bCs w:val="1"/>
          <w:color w:val="auto"/>
        </w:rPr>
        <w:t>of the securities trading policy or failure to comply with the approval process may result in serious civil or criminal penalties under the law.</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Window Periods and Pre-Clearance Requirements</w:t>
      </w:r>
    </w:p>
    <w:p>
      <w:pPr>
        <w:spacing w:after="0" w:line="220" w:lineRule="exact"/>
        <w:rPr>
          <w:sz w:val="20"/>
          <w:szCs w:val="20"/>
          <w:color w:val="auto"/>
        </w:rPr>
      </w:pPr>
    </w:p>
    <w:p>
      <w:pPr>
        <w:ind w:firstLine="1296"/>
        <w:spacing w:after="0" w:line="261" w:lineRule="auto"/>
        <w:rPr>
          <w:sz w:val="20"/>
          <w:szCs w:val="20"/>
          <w:color w:val="auto"/>
        </w:rPr>
      </w:pPr>
      <w:r>
        <w:rPr>
          <w:rFonts w:ascii="Arial" w:cs="Arial" w:eastAsia="Arial" w:hAnsi="Arial"/>
          <w:sz w:val="21"/>
          <w:szCs w:val="21"/>
          <w:color w:val="auto"/>
        </w:rPr>
        <w:t>Directors, executive officers and Designated Employees may only trade, transfer and gift Aramark securities after obtaining Aramark approval (with any trades pursuant to a Rule 10b5-1 plan deemed approved upon pre-approval of the entry into such Rule 10b5-1 plan). Aramark has established four “windows” of time during the fiscal year during which requests for approval may be submitted and approved trades, transfers and gifts may be performed</w:t>
      </w:r>
      <w:r>
        <w:rPr>
          <w:rFonts w:ascii="Arial" w:cs="Arial" w:eastAsia="Arial" w:hAnsi="Arial"/>
          <w:sz w:val="21"/>
          <w:szCs w:val="21"/>
          <w:b w:val="1"/>
          <w:bCs w:val="1"/>
          <w:color w:val="auto"/>
        </w:rPr>
        <w:t>. Approval for trades, transfers and gifts of Aramark securities will generally be granted only during</w:t>
      </w:r>
      <w:r>
        <w:rPr>
          <w:rFonts w:ascii="Arial" w:cs="Arial" w:eastAsia="Arial" w:hAnsi="Arial"/>
          <w:sz w:val="21"/>
          <w:szCs w:val="21"/>
          <w:color w:val="auto"/>
        </w:rPr>
        <w:t xml:space="preserve"> </w:t>
      </w:r>
      <w:r>
        <w:rPr>
          <w:rFonts w:ascii="Arial" w:cs="Arial" w:eastAsia="Arial" w:hAnsi="Arial"/>
          <w:sz w:val="21"/>
          <w:szCs w:val="21"/>
          <w:b w:val="1"/>
          <w:bCs w:val="1"/>
          <w:color w:val="auto"/>
        </w:rPr>
        <w:t>a window period and the transaction may only be performed during the window period in which the approval was granted</w:t>
      </w:r>
      <w:r>
        <w:rPr>
          <w:rFonts w:ascii="Arial" w:cs="Arial" w:eastAsia="Arial" w:hAnsi="Arial"/>
          <w:sz w:val="21"/>
          <w:szCs w:val="21"/>
          <w:color w:val="auto"/>
        </w:rPr>
        <w:t>. A window period generally begins with the second trading day on the New York Stock Exchange after</w:t>
      </w:r>
      <w:r>
        <w:rPr>
          <w:rFonts w:ascii="Arial" w:cs="Arial" w:eastAsia="Arial" w:hAnsi="Arial"/>
          <w:sz w:val="21"/>
          <w:szCs w:val="21"/>
          <w:b w:val="1"/>
          <w:bCs w:val="1"/>
          <w:color w:val="auto"/>
        </w:rPr>
        <w:t xml:space="preserve"> </w:t>
      </w:r>
      <w:r>
        <w:rPr>
          <w:rFonts w:ascii="Arial" w:cs="Arial" w:eastAsia="Arial" w:hAnsi="Arial"/>
          <w:sz w:val="21"/>
          <w:szCs w:val="21"/>
          <w:color w:val="auto"/>
        </w:rPr>
        <w:t>the day on which Aramark makes a public news release of its quarterly or annual earnings for the prior fiscal quarter or fiscal year, as the case may be. That same trading window closes 14 calendar days prior to the end of the then current fiscal quarter. After the close of the window period, directors, executive officers and Designated Employees may not purchase, sell, gift or otherwise acquire, transfer or dispose of any Aramark securities. After the close of a window period, requests for approval may not be submitted until the following window period.</w:t>
      </w:r>
    </w:p>
    <w:p>
      <w:pPr>
        <w:spacing w:after="0" w:line="170" w:lineRule="exact"/>
        <w:rPr>
          <w:sz w:val="20"/>
          <w:szCs w:val="20"/>
          <w:color w:val="auto"/>
        </w:rPr>
      </w:pPr>
    </w:p>
    <w:p>
      <w:pPr>
        <w:ind w:right="20" w:firstLine="1296"/>
        <w:spacing w:after="0" w:line="275" w:lineRule="auto"/>
        <w:rPr>
          <w:sz w:val="20"/>
          <w:szCs w:val="20"/>
          <w:color w:val="auto"/>
        </w:rPr>
      </w:pPr>
      <w:r>
        <w:rPr>
          <w:rFonts w:ascii="Arial" w:cs="Arial" w:eastAsia="Arial" w:hAnsi="Arial"/>
          <w:sz w:val="21"/>
          <w:szCs w:val="21"/>
          <w:color w:val="auto"/>
        </w:rPr>
        <w:t>To the extent possible, requests for approval will be processed within two business days after receipt. If approved, the transaction must be completed within 5 business days, but in no event after the expiration of the applicable window period and in no event if the person comes into possession of material, non-public information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23" w:right="379" w:bottom="1440" w:gutter="0" w:footer="0" w:header="0"/>
        </w:sectPr>
      </w:pPr>
    </w:p>
    <w:bookmarkStart w:id="353" w:name="page354"/>
    <w:bookmarkEnd w:id="353"/>
    <w:p>
      <w:pPr>
        <w:ind w:right="160"/>
        <w:spacing w:after="0" w:line="272" w:lineRule="auto"/>
        <w:rPr>
          <w:sz w:val="20"/>
          <w:szCs w:val="20"/>
          <w:color w:val="auto"/>
        </w:rPr>
      </w:pPr>
      <w:r>
        <w:rPr>
          <w:rFonts w:ascii="Arial" w:cs="Arial" w:eastAsia="Arial" w:hAnsi="Arial"/>
          <w:sz w:val="22"/>
          <w:szCs w:val="22"/>
          <w:color w:val="auto"/>
        </w:rPr>
        <w:t>the pre-clearance is withdrawn. A form of “Request for Approval” is attached to this memorandum. Approval is in the sole discretion of Aramark.</w:t>
      </w:r>
    </w:p>
    <w:p>
      <w:pPr>
        <w:spacing w:after="0" w:line="156" w:lineRule="exact"/>
        <w:rPr>
          <w:sz w:val="20"/>
          <w:szCs w:val="20"/>
          <w:color w:val="auto"/>
        </w:rPr>
      </w:pPr>
    </w:p>
    <w:p>
      <w:pPr>
        <w:ind w:right="140" w:firstLine="1296"/>
        <w:spacing w:after="0" w:line="251" w:lineRule="auto"/>
        <w:rPr>
          <w:sz w:val="20"/>
          <w:szCs w:val="20"/>
          <w:color w:val="auto"/>
        </w:rPr>
      </w:pPr>
      <w:r>
        <w:rPr>
          <w:rFonts w:ascii="Arial" w:cs="Arial" w:eastAsia="Arial" w:hAnsi="Arial"/>
          <w:sz w:val="22"/>
          <w:szCs w:val="22"/>
          <w:color w:val="auto"/>
        </w:rPr>
        <w:t>The prohibition against trading on or tipping material non-public information applies even in a trading “window” described above. For example, if a material acquisition or divestiture is pending or if a forthcoming publication in the financial press may affect the relevant securities market, you may not trade Aramark securities. Aramark may also close regular window periods or fail to open regular window periods for some or all directors, executive officers and Designated Employees if any such event occurs or appears likely. All those affected shall not trade in our securities while the suspension is in effect, and shall not disclose to others that we have suspended trading for certain individuals. You should consult the persons listed at the end of this document whenever you are in doubt.</w:t>
      </w:r>
    </w:p>
    <w:p>
      <w:pPr>
        <w:spacing w:after="0" w:line="179" w:lineRule="exact"/>
        <w:rPr>
          <w:sz w:val="20"/>
          <w:szCs w:val="20"/>
          <w:color w:val="auto"/>
        </w:rPr>
      </w:pPr>
    </w:p>
    <w:p>
      <w:pPr>
        <w:ind w:right="120" w:firstLine="1296"/>
        <w:spacing w:after="0" w:line="253" w:lineRule="auto"/>
        <w:rPr>
          <w:sz w:val="20"/>
          <w:szCs w:val="20"/>
          <w:color w:val="auto"/>
        </w:rPr>
      </w:pPr>
      <w:r>
        <w:rPr>
          <w:rFonts w:ascii="Arial" w:cs="Arial" w:eastAsia="Arial" w:hAnsi="Arial"/>
          <w:sz w:val="22"/>
          <w:szCs w:val="22"/>
          <w:color w:val="auto"/>
        </w:rPr>
        <w:t>In order to assist you in complying with this Policy, the Corporation plans to deliver an e-mail (or other communication) notifying all directors, executive officers and Designated Employees when the window period has opened, when the window period is scheduled to close and to whom pre-clearance requests should be directed. The Corporation’s delivery or nondelivery of these e-mails (or other communication) does not relieve you of your obligation to only trade in the Corporation’s securities in full compliance with this Policy.</w:t>
      </w:r>
    </w:p>
    <w:p>
      <w:pPr>
        <w:spacing w:after="0" w:line="179"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Hardship Exemptions. Those subject to the window periods or a blackout pursuant to this Section 2 may request a hardship exemption for periods outside the window periods or during a blackout, as applicable, if they are not in possession of material non-public information and are not otherwise prohibited from trading pursuant to this Policy. Hardship exemptions are granted infrequently and only in exceptional circumstances. Any request for a hardship exemption should be made to the General Counsel.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Stock Options</w:t>
      </w:r>
    </w:p>
    <w:p>
      <w:pPr>
        <w:spacing w:after="0" w:line="220" w:lineRule="exact"/>
        <w:rPr>
          <w:sz w:val="20"/>
          <w:szCs w:val="20"/>
          <w:color w:val="auto"/>
        </w:rPr>
      </w:pPr>
    </w:p>
    <w:p>
      <w:pPr>
        <w:ind w:firstLine="1296"/>
        <w:spacing w:after="0" w:line="249" w:lineRule="auto"/>
        <w:rPr>
          <w:sz w:val="20"/>
          <w:szCs w:val="20"/>
          <w:color w:val="auto"/>
        </w:rPr>
      </w:pPr>
      <w:r>
        <w:rPr>
          <w:rFonts w:ascii="Arial" w:cs="Arial" w:eastAsia="Arial" w:hAnsi="Arial"/>
          <w:sz w:val="22"/>
          <w:szCs w:val="22"/>
          <w:color w:val="auto"/>
        </w:rPr>
        <w:t>Directors, executive officers and Designated Employees may exercise and hold stock options without regard to the “windows” where the exercise price and applicable withholding tax are paid in cash. “Broker’s cashless exercises” and option exercises where securities are traded in order to pay the exercise price or withholding taxes are subject to pre-approval, must be performed during a window period and at a time when the holder is not in possession of material, non-public information, and must be in accordance with the applicable provisions of Aramark’s equity plans. In general, option exercises where securities are withheld or transferred to Aramark to pay the exercise price or withholding taxes are not subject to the foregoing prohibitions; subject to the applicable provisions of Aramark’s equity plans.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3" w:right="339" w:bottom="1440" w:gutter="0" w:footer="0" w:header="0"/>
        </w:sectPr>
      </w:pPr>
    </w:p>
    <w:bookmarkStart w:id="354" w:name="page355"/>
    <w:bookmarkEnd w:id="354"/>
    <w:p>
      <w:pPr>
        <w:ind w:right="160" w:firstLine="240"/>
        <w:spacing w:after="0" w:line="262" w:lineRule="auto"/>
        <w:rPr>
          <w:sz w:val="20"/>
          <w:szCs w:val="20"/>
          <w:color w:val="auto"/>
        </w:rPr>
      </w:pPr>
      <w:r>
        <w:rPr>
          <w:rFonts w:ascii="Arial" w:cs="Arial" w:eastAsia="Arial" w:hAnsi="Arial"/>
          <w:sz w:val="21"/>
          <w:szCs w:val="21"/>
          <w:color w:val="auto"/>
        </w:rPr>
        <w:t>Executive officers and Designated Employees may participate in Aramark’s Employee Stock Purchase Employee Stock Purchase Plan in effect from time to time, including, as permitted, any “cashless participation feature”, notwithstanding the prohibitions described herein, provided that such participation is in accordance with the Corporation’s policies and procedures in effect at such time and provided that in the case of executive officers, such participation and the election to participate and changing instructions regarding level of withholding contributions which are used to purchase stock are subject to pre-approval under this Policy. Note that any sale of stock acquired through such Employee Stock Purchase Plan, other than through the “cashless participation feature”, and changing instructions regarding level of withholding contributions which are used to purchase stock is subject to this Policy.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Margin Accounts and Pledges</w:t>
      </w:r>
    </w:p>
    <w:p>
      <w:pPr>
        <w:spacing w:after="0" w:line="220" w:lineRule="exact"/>
        <w:rPr>
          <w:sz w:val="20"/>
          <w:szCs w:val="20"/>
          <w:color w:val="auto"/>
        </w:rPr>
      </w:pPr>
    </w:p>
    <w:p>
      <w:pPr>
        <w:ind w:right="80" w:firstLine="1296"/>
        <w:spacing w:after="0" w:line="253" w:lineRule="auto"/>
        <w:rPr>
          <w:sz w:val="20"/>
          <w:szCs w:val="20"/>
          <w:color w:val="auto"/>
        </w:rPr>
      </w:pPr>
      <w:r>
        <w:rPr>
          <w:rFonts w:ascii="Arial" w:cs="Arial" w:eastAsia="Arial" w:hAnsi="Arial"/>
          <w:sz w:val="22"/>
          <w:szCs w:val="22"/>
          <w:color w:val="auto"/>
        </w:rPr>
        <w:t>Because of the heightened risks associated with pledges and margin accounts, no Aramark director, executive officer or Designated Employee, whether or not in possession of material non-public information, may purchase the Corporation’s securities on margin, or borrow against any account in which the Corporation’s securities are held, or pledge the Corporation’s securities as collateral for a loan.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Broker Requirements for Section 16 Persons</w:t>
      </w:r>
    </w:p>
    <w:p>
      <w:pPr>
        <w:spacing w:after="0" w:line="233"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The timely reporting of transactions requires tight interface with brokers handling transactions for our directors and executive officers. In order to facilitate timely compliance by the directors and executive officers with the requirements of Section 16 of the Securities Exchange Act of 1934, directors and executive officers should instruct their brokers to comply with the following requirements:</w:t>
      </w:r>
    </w:p>
    <w:p>
      <w:pPr>
        <w:spacing w:after="0" w:line="175" w:lineRule="exact"/>
        <w:rPr>
          <w:sz w:val="20"/>
          <w:szCs w:val="20"/>
          <w:color w:val="auto"/>
        </w:rPr>
      </w:pPr>
    </w:p>
    <w:p>
      <w:pPr>
        <w:ind w:left="1960" w:right="680" w:hanging="656"/>
        <w:spacing w:after="0" w:line="264" w:lineRule="auto"/>
        <w:tabs>
          <w:tab w:leader="none" w:pos="1688" w:val="left"/>
        </w:tabs>
        <w:numPr>
          <w:ilvl w:val="0"/>
          <w:numId w:val="383"/>
        </w:numPr>
        <w:rPr>
          <w:rFonts w:ascii="Arial" w:cs="Arial" w:eastAsia="Arial" w:hAnsi="Arial"/>
          <w:sz w:val="22"/>
          <w:szCs w:val="22"/>
          <w:color w:val="auto"/>
        </w:rPr>
      </w:pPr>
      <w:r>
        <w:rPr>
          <w:rFonts w:ascii="Arial" w:cs="Arial" w:eastAsia="Arial" w:hAnsi="Arial"/>
          <w:sz w:val="22"/>
          <w:szCs w:val="22"/>
          <w:color w:val="auto"/>
        </w:rPr>
        <w:t>Not to enter any order (except for orders under pre-approved Rule 10b5-1 plans) without first verifying with the Corporation that the transaction was pre-cleared and complying with the brokerage firm’s compliance procedures (e.g., Rule 144), and</w:t>
      </w:r>
    </w:p>
    <w:p>
      <w:pPr>
        <w:spacing w:after="0" w:line="191" w:lineRule="exact"/>
        <w:rPr>
          <w:rFonts w:ascii="Arial" w:cs="Arial" w:eastAsia="Arial" w:hAnsi="Arial"/>
          <w:sz w:val="22"/>
          <w:szCs w:val="22"/>
          <w:color w:val="auto"/>
        </w:rPr>
      </w:pPr>
    </w:p>
    <w:p>
      <w:pPr>
        <w:ind w:left="1960" w:right="20" w:hanging="656"/>
        <w:spacing w:after="0" w:line="253" w:lineRule="auto"/>
        <w:tabs>
          <w:tab w:leader="none" w:pos="1684" w:val="left"/>
        </w:tabs>
        <w:numPr>
          <w:ilvl w:val="0"/>
          <w:numId w:val="383"/>
        </w:numPr>
        <w:rPr>
          <w:rFonts w:ascii="Arial" w:cs="Arial" w:eastAsia="Arial" w:hAnsi="Arial"/>
          <w:sz w:val="22"/>
          <w:szCs w:val="22"/>
          <w:color w:val="auto"/>
        </w:rPr>
      </w:pPr>
      <w:r>
        <w:rPr>
          <w:rFonts w:ascii="Arial" w:cs="Arial" w:eastAsia="Arial" w:hAnsi="Arial"/>
          <w:sz w:val="22"/>
          <w:szCs w:val="22"/>
          <w:color w:val="auto"/>
        </w:rPr>
        <w:t>To report as soon as practicable, but in any event before the opening of business on the day after the execution of the transaction to the Corporation in writing via e-mail to securitiestrading@aramark.com, the complete details (i.e., date, type of transaction, number of shares and price) of every transaction involving the Corporation’s stock, including gifts, transfers, pledges and all Rule 10b5-1 transactions.</w:t>
      </w:r>
    </w:p>
    <w:p>
      <w:pPr>
        <w:spacing w:after="0" w:line="206" w:lineRule="exact"/>
        <w:rPr>
          <w:sz w:val="20"/>
          <w:szCs w:val="20"/>
          <w:color w:val="auto"/>
        </w:rPr>
      </w:pPr>
    </w:p>
    <w:p>
      <w:pPr>
        <w:ind w:right="480" w:firstLine="1296"/>
        <w:spacing w:after="0" w:line="272" w:lineRule="auto"/>
        <w:rPr>
          <w:sz w:val="20"/>
          <w:szCs w:val="20"/>
          <w:color w:val="auto"/>
        </w:rPr>
      </w:pPr>
      <w:r>
        <w:rPr>
          <w:rFonts w:ascii="Arial" w:cs="Arial" w:eastAsia="Arial" w:hAnsi="Arial"/>
          <w:sz w:val="22"/>
          <w:szCs w:val="22"/>
          <w:color w:val="auto"/>
        </w:rPr>
        <w:t>Because it is the legal obligation of the trading person to cause this filing to be made, directors and executive officers are strongly encouraged to confirm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20" w:top="1423" w:right="379" w:bottom="1440" w:gutter="0" w:footer="0" w:header="0"/>
        </w:sectPr>
      </w:pPr>
    </w:p>
    <w:bookmarkStart w:id="355" w:name="page356"/>
    <w:bookmarkEnd w:id="355"/>
    <w:p>
      <w:pPr>
        <w:ind w:right="720"/>
        <w:spacing w:after="0" w:line="448" w:lineRule="auto"/>
        <w:rPr>
          <w:sz w:val="20"/>
          <w:szCs w:val="20"/>
          <w:color w:val="auto"/>
        </w:rPr>
      </w:pPr>
      <w:r>
        <w:rPr>
          <w:rFonts w:ascii="Arial" w:cs="Arial" w:eastAsia="Arial" w:hAnsi="Arial"/>
          <w:sz w:val="22"/>
          <w:szCs w:val="22"/>
          <w:color w:val="auto"/>
        </w:rPr>
        <w:t xml:space="preserve">following any transaction that the broker has immediately e-mailed the required information to the Corporation. Section 3. </w:t>
      </w:r>
      <w:r>
        <w:rPr>
          <w:rFonts w:ascii="Arial" w:cs="Arial" w:eastAsia="Arial" w:hAnsi="Arial"/>
          <w:sz w:val="22"/>
          <w:szCs w:val="22"/>
          <w:b w:val="1"/>
          <w:bCs w:val="1"/>
          <w:color w:val="auto"/>
        </w:rPr>
        <w:t>Company Transactions</w:t>
      </w:r>
    </w:p>
    <w:p>
      <w:pPr>
        <w:spacing w:after="0" w:line="1" w:lineRule="exact"/>
        <w:rPr>
          <w:sz w:val="20"/>
          <w:szCs w:val="20"/>
          <w:color w:val="auto"/>
        </w:rPr>
      </w:pPr>
    </w:p>
    <w:p>
      <w:pPr>
        <w:ind w:right="460"/>
        <w:spacing w:after="0" w:line="310" w:lineRule="auto"/>
        <w:rPr>
          <w:sz w:val="20"/>
          <w:szCs w:val="20"/>
          <w:color w:val="auto"/>
        </w:rPr>
      </w:pPr>
      <w:r>
        <w:rPr>
          <w:rFonts w:ascii="Arial" w:cs="Arial" w:eastAsia="Arial" w:hAnsi="Arial"/>
          <w:sz w:val="21"/>
          <w:szCs w:val="21"/>
          <w:color w:val="auto"/>
        </w:rPr>
        <w:t>From time to time, Aramark and its subsidiaries may engage in transactions in Aramark securities. It is Aramark’s policy to comply with all applicable securities laws when engaging in transactions in Aramark securities.</w:t>
      </w:r>
    </w:p>
    <w:p>
      <w:pPr>
        <w:spacing w:after="0" w:line="144" w:lineRule="exact"/>
        <w:rPr>
          <w:sz w:val="20"/>
          <w:szCs w:val="20"/>
          <w:color w:val="auto"/>
        </w:rPr>
      </w:pPr>
    </w:p>
    <w:p>
      <w:pPr>
        <w:ind w:right="3700"/>
        <w:spacing w:after="0" w:line="449" w:lineRule="auto"/>
        <w:rPr>
          <w:sz w:val="20"/>
          <w:szCs w:val="20"/>
          <w:color w:val="auto"/>
        </w:rPr>
      </w:pPr>
      <w:r>
        <w:rPr>
          <w:rFonts w:ascii="Arial" w:cs="Arial" w:eastAsia="Arial" w:hAnsi="Arial"/>
          <w:sz w:val="22"/>
          <w:szCs w:val="22"/>
          <w:u w:val="single" w:color="auto"/>
          <w:color w:val="auto"/>
        </w:rPr>
        <w:t xml:space="preserve">Section 4. </w:t>
      </w:r>
      <w:r>
        <w:rPr>
          <w:rFonts w:ascii="Arial" w:cs="Arial" w:eastAsia="Arial" w:hAnsi="Arial"/>
          <w:sz w:val="22"/>
          <w:szCs w:val="22"/>
          <w:b w:val="1"/>
          <w:bCs w:val="1"/>
          <w:u w:val="single" w:color="auto"/>
          <w:color w:val="auto"/>
        </w:rPr>
        <w:t>Potential Criminal And Civil Liability And/Or Disciplinary Action</w:t>
      </w:r>
      <w:r>
        <w:rPr>
          <w:rFonts w:ascii="Arial" w:cs="Arial" w:eastAsia="Arial" w:hAnsi="Arial"/>
          <w:sz w:val="22"/>
          <w:szCs w:val="22"/>
          <w:u w:val="single" w:color="auto"/>
          <w:color w:val="auto"/>
        </w:rPr>
        <w:t xml:space="preserve"> Individual Responsibility</w:t>
      </w:r>
    </w:p>
    <w:p>
      <w:pPr>
        <w:ind w:firstLine="1296"/>
        <w:spacing w:after="0" w:line="253" w:lineRule="auto"/>
        <w:rPr>
          <w:sz w:val="20"/>
          <w:szCs w:val="20"/>
          <w:color w:val="auto"/>
        </w:rPr>
      </w:pPr>
      <w:r>
        <w:rPr>
          <w:rFonts w:ascii="Arial" w:cs="Arial" w:eastAsia="Arial" w:hAnsi="Arial"/>
          <w:sz w:val="22"/>
          <w:szCs w:val="22"/>
          <w:color w:val="auto"/>
        </w:rPr>
        <w:t>Each person is individually responsible for complying with the securities laws and this Policy, regardless of whether the Corporation has prohibited trading by that person or any other persons. Trading in securities during the window periods and outside of any suspension periods should not be considered a “safe harbor”. You are reminded that, whether or not during a window period, no person may trade securities on the basis of material non-public information.</w:t>
      </w:r>
    </w:p>
    <w:p>
      <w:pPr>
        <w:spacing w:after="0" w:line="179"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Also bear in mind that any proceeding alleging improper trading will necessarily occur after the trade has been completed and is particularly susceptible to second-guessing with the benefit of hindsight. Therefore, as a practical matter, before engaging in any transaction all persons should carefully consider how enforcement authorities and others might view the transaction in hindsight. Further, whether or not a person possesses material non-public information, it is advisable that all persons invest in the Corporation’s securities or the securities of any company that has a substantial relationship with the Corporation from the perspective of a long term investor who would like to participate over time in the Corporation’s or such company’s earnings growth.</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Controlling Persons.</w:t>
      </w:r>
    </w:p>
    <w:p>
      <w:pPr>
        <w:spacing w:after="0" w:line="233"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The securities laws provide that, in addition to sanctions against an individual who trades illegally, penalties may be assessed against what are known as “controlling persons” with respect to the violator. The term “controlling person” is not defined, but includes employers (i.e., the Corporation),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 Second, it must be shown that the “controlling person” failed to take appropriate steps to prevent the violation from occurring. For this reason, the Corporation’s supervisory personnel are directed to take appropriate steps to ensure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3" w:right="339" w:bottom="1440" w:gutter="0" w:footer="0" w:header="0"/>
        </w:sectPr>
      </w:pPr>
    </w:p>
    <w:bookmarkStart w:id="356" w:name="page357"/>
    <w:bookmarkEnd w:id="356"/>
    <w:p>
      <w:pPr>
        <w:spacing w:after="0"/>
        <w:rPr>
          <w:sz w:val="20"/>
          <w:szCs w:val="20"/>
          <w:color w:val="auto"/>
        </w:rPr>
      </w:pPr>
      <w:r>
        <w:rPr>
          <w:rFonts w:ascii="Arial" w:cs="Arial" w:eastAsia="Arial" w:hAnsi="Arial"/>
          <w:sz w:val="22"/>
          <w:szCs w:val="22"/>
          <w:color w:val="auto"/>
        </w:rPr>
        <w:t>that those they supervise understand and comply with the requirements set forth in this Policy.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Potential Sanctions.</w:t>
      </w:r>
    </w:p>
    <w:p>
      <w:pPr>
        <w:spacing w:after="0" w:line="220" w:lineRule="exact"/>
        <w:rPr>
          <w:sz w:val="20"/>
          <w:szCs w:val="20"/>
          <w:color w:val="auto"/>
        </w:rPr>
      </w:pPr>
    </w:p>
    <w:p>
      <w:pPr>
        <w:ind w:firstLine="1296"/>
        <w:spacing w:after="0" w:line="252" w:lineRule="auto"/>
        <w:rPr>
          <w:sz w:val="20"/>
          <w:szCs w:val="20"/>
          <w:color w:val="auto"/>
        </w:rPr>
      </w:pPr>
      <w:r>
        <w:rPr>
          <w:rFonts w:ascii="Arial" w:cs="Arial" w:eastAsia="Arial" w:hAnsi="Arial"/>
          <w:sz w:val="22"/>
          <w:szCs w:val="22"/>
          <w:color w:val="auto"/>
        </w:rPr>
        <w:t>Liability for Insider Trading and Tipping. Insiders, controlling persons and the Corporation may be subject to civil penalties, criminal penalties and/or jail for trading in securities when they have material non-public information or for improper transactions by any person (commonly referred to as a “tippee”) to whom they have disclosed material non-public information, or to whom they have made recommendations or expressed opinions on the basis of such information about trading securities. The SEC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179" w:lineRule="exact"/>
        <w:rPr>
          <w:sz w:val="20"/>
          <w:szCs w:val="20"/>
          <w:color w:val="auto"/>
        </w:rPr>
      </w:pPr>
    </w:p>
    <w:p>
      <w:pPr>
        <w:ind w:right="140" w:firstLine="1296"/>
        <w:spacing w:after="0" w:line="253" w:lineRule="auto"/>
        <w:rPr>
          <w:sz w:val="20"/>
          <w:szCs w:val="20"/>
          <w:color w:val="auto"/>
        </w:rPr>
      </w:pPr>
      <w:r>
        <w:rPr>
          <w:rFonts w:ascii="Arial" w:cs="Arial" w:eastAsia="Arial" w:hAnsi="Arial"/>
          <w:sz w:val="22"/>
          <w:szCs w:val="22"/>
          <w:color w:val="auto"/>
        </w:rPr>
        <w:t>Possible Disciplinary Actions. Aramark personnel and Board members who violate this Policy will be subject to disciplinary action, up to and including termination of employment for cause, whether or not such person’s failure to comply results in a violation of law. Needless to say, a violation of law, or even an SEC investigation that does not result in prosecution, can tarnish one’s reputation and irreparably damage a career.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Conclusion</w:t>
      </w:r>
    </w:p>
    <w:p>
      <w:pPr>
        <w:spacing w:after="0" w:line="233" w:lineRule="exact"/>
        <w:rPr>
          <w:sz w:val="20"/>
          <w:szCs w:val="20"/>
          <w:color w:val="auto"/>
        </w:rPr>
      </w:pPr>
    </w:p>
    <w:p>
      <w:pPr>
        <w:ind w:right="40" w:firstLine="1296"/>
        <w:spacing w:after="0" w:line="296" w:lineRule="auto"/>
        <w:rPr>
          <w:sz w:val="20"/>
          <w:szCs w:val="20"/>
          <w:color w:val="auto"/>
        </w:rPr>
      </w:pPr>
      <w:r>
        <w:rPr>
          <w:rFonts w:ascii="Arial" w:cs="Arial" w:eastAsia="Arial" w:hAnsi="Arial"/>
          <w:sz w:val="21"/>
          <w:szCs w:val="21"/>
          <w:color w:val="auto"/>
        </w:rPr>
        <w:t>We expect all Aramark personnel and Board members to abide by the foregoing trading restrictions and policies. Any violation may result in immediate dismissal and may subject you to both civil and criminal penalties.</w:t>
      </w:r>
    </w:p>
    <w:p>
      <w:pPr>
        <w:spacing w:after="0" w:line="133" w:lineRule="exact"/>
        <w:rPr>
          <w:sz w:val="20"/>
          <w:szCs w:val="20"/>
          <w:color w:val="auto"/>
        </w:rPr>
      </w:pPr>
    </w:p>
    <w:p>
      <w:pPr>
        <w:ind w:right="420" w:firstLine="1296"/>
        <w:spacing w:after="0" w:line="275" w:lineRule="auto"/>
        <w:rPr>
          <w:sz w:val="20"/>
          <w:szCs w:val="20"/>
          <w:color w:val="auto"/>
        </w:rPr>
      </w:pPr>
      <w:r>
        <w:rPr>
          <w:rFonts w:ascii="Arial" w:cs="Arial" w:eastAsia="Arial" w:hAnsi="Arial"/>
          <w:sz w:val="21"/>
          <w:szCs w:val="21"/>
          <w:color w:val="auto"/>
        </w:rPr>
        <w:t>In addition, please note that during the course of our commercial relationship with clients, you may obtain material non-public information that could affect the future financial performance of such clients. Please be advised that any trading on the basis of such information may violate the United States securities laws.</w:t>
      </w:r>
    </w:p>
    <w:p>
      <w:pPr>
        <w:spacing w:after="0" w:line="169" w:lineRule="exact"/>
        <w:rPr>
          <w:sz w:val="20"/>
          <w:szCs w:val="20"/>
          <w:color w:val="auto"/>
        </w:rPr>
      </w:pPr>
    </w:p>
    <w:p>
      <w:pPr>
        <w:ind w:right="140" w:firstLine="1296"/>
        <w:spacing w:after="0" w:line="272" w:lineRule="auto"/>
        <w:rPr>
          <w:sz w:val="20"/>
          <w:szCs w:val="20"/>
          <w:color w:val="auto"/>
        </w:rPr>
      </w:pPr>
      <w:r>
        <w:rPr>
          <w:rFonts w:ascii="Arial" w:cs="Arial" w:eastAsia="Arial" w:hAnsi="Arial"/>
          <w:sz w:val="22"/>
          <w:szCs w:val="22"/>
          <w:color w:val="auto"/>
        </w:rPr>
        <w:t>Any questions concerning the trading restrictions and policies set forth above should be directed to the persons listed below. You should not try to resolve any uncertainties on your own.</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you have questions, please contact Harold Dichter at 215-238-3506.</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 Date: November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3" w:right="359" w:bottom="1440" w:gutter="0" w:footer="0" w:header="0"/>
        </w:sectPr>
      </w:pPr>
    </w:p>
    <w:bookmarkStart w:id="357" w:name="page358"/>
    <w:bookmarkEnd w:id="357"/>
    <w:p>
      <w:pPr>
        <w:ind w:left="2640"/>
        <w:spacing w:after="0"/>
        <w:rPr>
          <w:sz w:val="20"/>
          <w:szCs w:val="20"/>
          <w:color w:val="auto"/>
        </w:rPr>
      </w:pPr>
      <w:r>
        <w:rPr>
          <w:rFonts w:ascii="Arial" w:cs="Arial" w:eastAsia="Arial" w:hAnsi="Arial"/>
          <w:sz w:val="20"/>
          <w:szCs w:val="20"/>
          <w:b w:val="1"/>
          <w:bCs w:val="1"/>
          <w:color w:val="auto"/>
        </w:rPr>
        <w:t>REQUEST FOR APPROVAL TO TRADE ARAMARK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Type of Security [check all applicable boxes]</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Restricted stock</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Stock Option</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Debt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-7620</wp:posOffset>
            </wp:positionV>
            <wp:extent cx="2540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82">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Type of Transaction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Stock option exercise – Exercise Price $_______/share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Exercise Price paid as follows: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Broker’s cashless exchange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 _____________________</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Withholding tax paid as follows: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Broker’s cashless exchange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 _____________________</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Purchase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Sale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Gift</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Rule 10b5-1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Broker Contact Information</w:t>
      </w:r>
    </w:p>
    <w:p>
      <w:pPr>
        <w:spacing w:after="0" w:line="9" w:lineRule="exact"/>
        <w:rPr>
          <w:sz w:val="20"/>
          <w:szCs w:val="20"/>
          <w:color w:val="auto"/>
        </w:rPr>
      </w:pPr>
    </w:p>
    <w:p>
      <w:pPr>
        <w:ind w:left="200"/>
        <w:spacing w:after="0"/>
        <w:tabs>
          <w:tab w:leader="none" w:pos="1740" w:val="left"/>
        </w:tabs>
        <w:rPr>
          <w:sz w:val="20"/>
          <w:szCs w:val="20"/>
          <w:color w:val="auto"/>
        </w:rPr>
      </w:pPr>
      <w:r>
        <w:rPr>
          <w:rFonts w:ascii="Arial" w:cs="Arial" w:eastAsia="Arial" w:hAnsi="Arial"/>
          <w:sz w:val="18"/>
          <w:szCs w:val="18"/>
          <w:color w:val="auto"/>
        </w:rPr>
        <w:t>Company Name</w:t>
      </w:r>
      <w:r>
        <w:rPr>
          <w:sz w:val="20"/>
          <w:szCs w:val="20"/>
          <w:color w:val="auto"/>
        </w:rPr>
        <w:tab/>
      </w:r>
      <w:r>
        <w:rPr>
          <w:rFonts w:ascii="Arial" w:cs="Arial" w:eastAsia="Arial" w:hAnsi="Arial"/>
          <w:sz w:val="17"/>
          <w:szCs w:val="17"/>
          <w:color w:val="auto"/>
        </w:rPr>
        <w:t>___________________________________________</w:t>
      </w:r>
    </w:p>
    <w:p>
      <w:pPr>
        <w:spacing w:after="0" w:line="9"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color w:val="auto"/>
        </w:rPr>
        <w:t>Contact Name</w:t>
      </w:r>
      <w:r>
        <w:rPr>
          <w:sz w:val="20"/>
          <w:szCs w:val="20"/>
          <w:color w:val="auto"/>
        </w:rPr>
        <w:tab/>
      </w:r>
      <w:r>
        <w:rPr>
          <w:rFonts w:ascii="Arial" w:cs="Arial" w:eastAsia="Arial" w:hAnsi="Arial"/>
          <w:sz w:val="18"/>
          <w:szCs w:val="18"/>
          <w:color w:val="auto"/>
        </w:rPr>
        <w:t>___________________________________________</w:t>
      </w:r>
    </w:p>
    <w:p>
      <w:pPr>
        <w:spacing w:after="0" w:line="9"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___________________________________________</w:t>
      </w:r>
    </w:p>
    <w:p>
      <w:pPr>
        <w:spacing w:after="0" w:line="9" w:lineRule="exact"/>
        <w:rPr>
          <w:sz w:val="20"/>
          <w:szCs w:val="20"/>
          <w:color w:val="auto"/>
        </w:rPr>
      </w:pPr>
    </w:p>
    <w:p>
      <w:pPr>
        <w:ind w:left="200"/>
        <w:spacing w:after="0"/>
        <w:tabs>
          <w:tab w:leader="none" w:pos="10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___________________________________________</w:t>
      </w:r>
    </w:p>
    <w:p>
      <w:pPr>
        <w:spacing w:after="0" w:line="9" w:lineRule="exact"/>
        <w:rPr>
          <w:sz w:val="20"/>
          <w:szCs w:val="20"/>
          <w:color w:val="auto"/>
        </w:rPr>
      </w:pPr>
    </w:p>
    <w:p>
      <w:pPr>
        <w:ind w:left="200"/>
        <w:spacing w:after="0"/>
        <w:tabs>
          <w:tab w:leader="none" w:pos="172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7"/>
          <w:szCs w:val="17"/>
          <w:color w:val="auto"/>
        </w:rPr>
        <w:t>___________________________________________</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Status (check all applicable boxes and complete blanks)</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Employee – Citizenship ________, Country in which you are based________</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Board Member</w:t>
      </w: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I am not currently in possession of any material non-public information relating to Aramark. I hereby certify that the statements made on this form are true and correct. I have also discussed any questions I had with respect to Aramark’s securities trading policy and its applicability to the transactions contemplated hereby with the Legal Department.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 Name 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Where You May Be Reached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ind w:left="9800"/>
        <w:spacing w:after="0"/>
        <w:rPr>
          <w:sz w:val="20"/>
          <w:szCs w:val="20"/>
          <w:color w:val="auto"/>
        </w:rPr>
      </w:pPr>
      <w:r>
        <w:rPr>
          <w:rFonts w:ascii="Arial" w:cs="Arial" w:eastAsia="Arial" w:hAnsi="Arial"/>
          <w:sz w:val="18"/>
          <w:szCs w:val="18"/>
          <w:b w:val="1"/>
          <w:bCs w:val="1"/>
          <w:color w:val="auto"/>
        </w:rPr>
        <w:t>(office use only)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Request Approved (transaction must be completed within 5 business days after approval)</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Request Denied</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Request Approved with the following modification 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____________________________________</w:t>
      </w:r>
    </w:p>
    <w:p>
      <w:pPr>
        <w:sectPr>
          <w:pgSz w:w="11900" w:h="16838" w:orient="portrait"/>
          <w:cols w:equalWidth="0" w:num="1">
            <w:col w:w="11240"/>
          </w:cols>
          <w:pgMar w:left="320" w:top="1412" w:right="33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color w:val="auto"/>
        </w:rPr>
        <w:t>Date:________________________</w:t>
      </w:r>
    </w:p>
    <w:p>
      <w:pPr>
        <w:sectPr>
          <w:pgSz w:w="11900" w:h="16838" w:orient="portrait"/>
          <w:cols w:equalWidth="0" w:num="1">
            <w:col w:w="10139"/>
          </w:cols>
          <w:pgMar w:left="320" w:top="14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07/08/13 12:09 PM</w:t>
      </w:r>
    </w:p>
    <w:p>
      <w:pPr>
        <w:sectPr>
          <w:pgSz w:w="11900" w:h="16838" w:orient="portrait"/>
          <w:cols w:equalWidth="0" w:num="1">
            <w:col w:w="10139"/>
          </w:cols>
          <w:pgMar w:left="320" w:top="1417" w:right="1440" w:bottom="1440" w:gutter="0" w:footer="0" w:header="0"/>
          <w:type w:val="continuous"/>
        </w:sectPr>
      </w:pPr>
    </w:p>
    <w:bookmarkStart w:id="359" w:name="page360"/>
    <w:bookmarkEnd w:id="35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r>
      <w:tr>
        <w:trPr>
          <w:trHeight w:val="218"/>
        </w:trPr>
        <w:tc>
          <w:tcPr>
            <w:tcW w:w="7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4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Intermediate HoldCo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Services,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1st &amp; Fresh,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American Snack &amp; Beverage,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American Food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Asia Management,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Aviation Services Limited Partnership</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Business &amp; Industry,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Business Center,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Business Dining Services of Texas,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Business Facilities,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Campus,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Concession Services Joint Venture</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Confection,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Construction And Energy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Construction Services,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Consumer Discount Company</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Converge Network,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Correctional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Educational Group,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Educational Services of Texas,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Educational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Entertainment,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Facility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Business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Correctional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Healthcare Support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Kansas,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Refreshment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School Support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Sports And Entertainment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Food And Support Services Group,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Food Service of Texas,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Food Service,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FSM,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Global,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Healthcare Support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Industrial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31" w:right="339" w:bottom="1440" w:gutter="0" w:footer="0" w:header="0"/>
        </w:sectPr>
      </w:pPr>
    </w:p>
    <w:bookmarkStart w:id="360" w:name="page361"/>
    <w:bookmarkEnd w:id="360"/>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Japan,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Lakewood Associates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Management Services Limited Partnership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Management,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Mexico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Organizational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Personnel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Processing,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Rail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RBI,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Receivables,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Refreshment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Refreshment Services of Tampa,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Refreshment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S&amp;E/QCF Joint Venture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Schools Facilities,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Schools,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SCM,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Senior Living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Services of Kansas,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Services of Puerto Rico,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SMMS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SMMS Real Estate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And Entertainment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And Entertainment Services of Texas,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And Entertainment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Facilities,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Technical Services North Carolina,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Technical Services of New York,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Togwotee,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Trademark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U.S. Offshore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Uniform &amp; Career Apparel Holdco,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Venue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WTC,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Aramark/Globetrotters,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Carolina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58" w:lineRule="exact"/>
        <w:rPr>
          <w:sz w:val="20"/>
          <w:szCs w:val="20"/>
          <w:color w:val="auto"/>
        </w:rPr>
      </w:pPr>
    </w:p>
    <w:p>
      <w:pPr>
        <w:sectPr>
          <w:pgSz w:w="11900" w:h="16838" w:orient="portrait"/>
          <w:cols w:equalWidth="0" w:num="2">
            <w:col w:w="6600" w:space="720"/>
            <w:col w:w="2799"/>
          </w:cols>
          <w:pgMar w:left="340" w:top="1440"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Aramark/GM Concessions Joint 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Aramark/HF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Aramark/HMS,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Aramark/Martin's Stadium Concession Services OPACY Joint Venture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Aramark/QHC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Aramark/SFS Joint Venture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6600" w:space="720"/>
            <w:col w:w="2799"/>
          </w:cols>
          <w:pgMar w:left="340" w:top="1440" w:right="1440" w:bottom="1440" w:gutter="0" w:footer="0" w:header="0"/>
          <w:type w:val="continuous"/>
        </w:sectPr>
      </w:pPr>
    </w:p>
    <w:bookmarkStart w:id="361" w:name="page362"/>
    <w:bookmarkEnd w:id="361"/>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Aramark-Clarksville Club,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Aramark-Finco of Texas,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Aramark-Gourmet DPS,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Aramark-Kwame of St. Louis,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Aramark-SFS Healthcare JV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Gaming,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Replenishment,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Badlands Hospitality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 Coffee Service,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Bryce Hospitality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BuyEfficient,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Canyonlands Rafting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Casa Grande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Chi-Town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Cliff House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Coffee Systems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Crater Lake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 Maren II,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Delicious On West Street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Eversafe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Farm-Logix,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Filterfresh Coffee Service,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Filterfresh Franchise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Fine Host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Freedom Ferry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Glacier Bay National Park And Preserve Concessions,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 Canyon Rafting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Uncle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Gourmet Aramark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Harry M. Stevens, Inc. of New Jersey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Harry M. Stevens, Inc. of Penn.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Harry M. Stevens,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Hospitality at Olympic Peninsula,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HPSI Purchasing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Institutional Processing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Lake Tahoe Cruises,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Islands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Lifeworks Restaurant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MyAssistant,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Mall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Level Hospitality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Level PEO,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Arkansas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Alaska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6600" w:space="720"/>
            <w:col w:w="2799"/>
          </w:cols>
          <w:pgMar w:left="340" w:top="1440" w:right="1440" w:bottom="1440" w:gutter="0" w:footer="0" w:header="0"/>
        </w:sectPr>
      </w:pPr>
    </w:p>
    <w:bookmarkStart w:id="362" w:name="page363"/>
    <w:bookmarkEnd w:id="362"/>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NLAL Hospitality,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NLNC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NLPA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Rim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NYC Catering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Old Time Coffee 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Olympic Peninsula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 Restaurants,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Paradise Hornblower,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Premier Offshore Catering,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 Office Service,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 Systems,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Unica-Aramark JV,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 Supply Commissary Solutions,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 Supply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Wilderness River Adventures,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Yellowstone Gift &amp; Grocery,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Yosemite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Zion Canyon Hospitality,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Louisiana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600" w:space="720"/>
            <w:col w:w="2799"/>
          </w:cols>
          <w:pgMar w:left="340" w:top="1440" w:right="1440"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(BVI)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Canada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Catering Services (Anfu)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Catering Services (Shanghai)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CCT Trustees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China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Cleaning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Defence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Denmark ApS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Entertainment Services (Canada)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Global Group S.a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Holding Deutschland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International Finance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International Holdings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Inversiones Latinoamericanas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Investments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Ireland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Japan Holdings Limited</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2">
            <w:col w:w="6600" w:space="720"/>
            <w:col w:w="2799"/>
          </w:cols>
          <w:pgMar w:left="340" w:top="1440" w:right="1440" w:bottom="1440" w:gutter="0" w:footer="0" w:header="0"/>
          <w:type w:val="continuous"/>
        </w:sectPr>
      </w:pPr>
    </w:p>
    <w:bookmarkStart w:id="363" w:name="page364"/>
    <w:bookmarkEnd w:id="363"/>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Mexico S. de R.L.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Norge Offshore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Norge Offshore Fixed Installations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Norway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Offshore Mexico S. de R.L.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Offshore Netherlands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Property Management Services Jiangsu 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Property Service Management (Quzhou)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Property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Quebec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Regional Treasury Europe, DAC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Remote Workplace Services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Restaurations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 de R.L.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School Catering Facility, Ltd. (Czech)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 Industries (China)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 Industries (Shenzhen)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 Industry (Hainan) 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 Industry (Pingxiang City) 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Services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Services, S.R.O.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de Catering, S.L.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Aramark Servicios Industriales de Mexico, S. de R.L. de C.V.</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Integrales,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Mineros y Remotos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Servicos Alimenticios e Participacoes Ltda.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Trustees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Workplace Solutions (UK)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S.R.O.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ARAMONT Company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Canada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Designs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NI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Shops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Golden Collar Dining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BrownsPlus+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Word of Mouth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Catering (N.I.)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Quebec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Alberta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2">
            <w:col w:w="6600" w:space="720"/>
            <w:col w:w="2799"/>
          </w:cols>
          <w:pgMar w:left="340" w:top="1440" w:right="1440" w:bottom="1440" w:gutter="0" w:footer="0" w:header="0"/>
        </w:sectPr>
      </w:pPr>
    </w:p>
    <w:bookmarkStart w:id="364" w:name="page365"/>
    <w:bookmarkEnd w:id="364"/>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Catering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Catering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Catering Services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CDR Mantenimiento Integral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de Abastecimiento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de Restaurantes Aramark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de Restaurantes ARAMARK Multiservicios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de Restaurantes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Multiservicios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Centrapal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Centro de Innovacion y Servicio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Comertel Educa SLU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Comertel Residencias SLU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Comertel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Purchasing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Distributor JV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Dongguan Best Property Management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Eat Perfect, s.r.o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Expert Cost Control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Choice Purchasing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Food JV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GA-BE-SHI-WIN GP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Gestion de Alimentacion y Limpieza Colectividades SLU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Glenrye Properties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Graysons Hospitality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Graysons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Graysons Restaurants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Graysons Venues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GTB Gastro Team Bremen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Instituto ICS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Inversiones Aramark Chile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Inversiones Centralcorp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Inversiones en Aseo y Mantenimiento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Irish Estates (Facilities Management)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Landsea Camp and Catering Services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Lighthouse Camp Services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LUHL-Aramark GP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 Mount Weavers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NNL Aramark Hospitality Services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Circle Events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Pelican Procurement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Restaurationsbetriebe Stockheim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Hospitality Services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Alberta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Alberta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Ontario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England &amp; Wales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ectPr>
          <w:pgSz w:w="11900" w:h="16838" w:orient="portrait"/>
          <w:cols w:equalWidth="0" w:num="2">
            <w:col w:w="6600" w:space="720"/>
            <w:col w:w="2799"/>
          </w:cols>
          <w:pgMar w:left="340" w:top="1440" w:right="1440" w:bottom="1440" w:gutter="0" w:footer="0" w:header="0"/>
        </w:sectPr>
      </w:pPr>
    </w:p>
    <w:bookmarkStart w:id="365" w:name="page366"/>
    <w:bookmarkEnd w:id="365"/>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Hospitality Services SARL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Purchasing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Purchasing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Purchasing N.V.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Purchasing UK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Vector Workplace and Facility Management Limited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Veris UK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 Vale Catering Management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 Vale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Word on the Street (UK Events)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2">
            <w:col w:w="6600" w:space="720"/>
            <w:col w:w="2799"/>
          </w:cols>
          <w:pgMar w:left="340" w:top="1440" w:right="1440"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333-253208 on Form S-3 and Registration Statement Nos. 333-192775, 333-192776, 333-236255, 333-253211, 333-262860, 333-269697 and 333-275693 on Forms S-8 of our reports dated November 19, 2024, relating to the financial statements of Aramark and the effectiveness of Aramark's internal control over financial reporting appearing in this Annual Report on Form 10-K for the year ended September 27,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rPr>
          <w:sz w:val="20"/>
          <w:szCs w:val="20"/>
          <w:color w:val="auto"/>
        </w:rPr>
      </w:pPr>
      <w:r>
        <w:rPr>
          <w:rFonts w:ascii="Times New Roman" w:cs="Times New Roman" w:eastAsia="Times New Roman" w:hAnsi="Times New Roman"/>
          <w:sz w:val="18"/>
          <w:szCs w:val="18"/>
          <w:color w:val="auto"/>
        </w:rPr>
        <w:t>November 19, 2024</w:t>
      </w:r>
    </w:p>
    <w:p>
      <w:pPr>
        <w:sectPr>
          <w:pgSz w:w="11900" w:h="16838" w:orient="portrait"/>
          <w:cols w:equalWidth="0" w:num="1">
            <w:col w:w="11240"/>
          </w:cols>
          <w:pgMar w:left="320" w:top="117" w:right="33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Zillmer, Chief Executive Officer, certify that:</w:t>
      </w:r>
    </w:p>
    <w:p>
      <w:pPr>
        <w:spacing w:after="0" w:line="185" w:lineRule="exact"/>
        <w:rPr>
          <w:sz w:val="20"/>
          <w:szCs w:val="20"/>
          <w:color w:val="auto"/>
        </w:rPr>
      </w:pPr>
    </w:p>
    <w:p>
      <w:pPr>
        <w:ind w:left="320" w:hanging="312"/>
        <w:spacing w:after="0"/>
        <w:tabs>
          <w:tab w:leader="none" w:pos="32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Aramark for the fiscal year ended September 27, 2024;</w:t>
      </w:r>
    </w:p>
    <w:p>
      <w:pPr>
        <w:spacing w:after="0" w:line="198" w:lineRule="exact"/>
        <w:rPr>
          <w:rFonts w:ascii="Times New Roman" w:cs="Times New Roman" w:eastAsia="Times New Roman" w:hAnsi="Times New Roman"/>
          <w:sz w:val="18"/>
          <w:szCs w:val="18"/>
          <w:color w:val="auto"/>
        </w:rPr>
      </w:pPr>
    </w:p>
    <w:p>
      <w:pPr>
        <w:ind w:right="260" w:firstLine="8"/>
        <w:spacing w:after="0" w:line="282" w:lineRule="auto"/>
        <w:tabs>
          <w:tab w:leader="none" w:pos="31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420" w:firstLine="8"/>
        <w:spacing w:after="0" w:line="282" w:lineRule="auto"/>
        <w:tabs>
          <w:tab w:leader="none" w:pos="31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80" w:firstLine="8"/>
        <w:spacing w:after="0" w:line="266" w:lineRule="auto"/>
        <w:tabs>
          <w:tab w:leader="none" w:pos="312"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957"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957" w:val="left"/>
        </w:tabs>
        <w:numPr>
          <w:ilvl w:val="1"/>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100" w:hanging="644"/>
        <w:spacing w:after="0" w:line="266" w:lineRule="auto"/>
        <w:tabs>
          <w:tab w:leader="none" w:pos="967"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160" w:firstLine="8"/>
        <w:spacing w:after="0" w:line="282" w:lineRule="auto"/>
        <w:tabs>
          <w:tab w:leader="none" w:pos="312"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right"/>
        <w:ind w:left="1300" w:right="800" w:hanging="644"/>
        <w:spacing w:after="0" w:line="282" w:lineRule="auto"/>
        <w:tabs>
          <w:tab w:leader="none" w:pos="947"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957"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84">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49" w:right="33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CERTIFICATIONS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Tarangelo, Senior Vice President and Chief Financial Officer, certify that:</w:t>
      </w:r>
    </w:p>
    <w:p>
      <w:pPr>
        <w:spacing w:after="0" w:line="198" w:lineRule="exact"/>
        <w:rPr>
          <w:sz w:val="20"/>
          <w:szCs w:val="20"/>
          <w:color w:val="auto"/>
        </w:rPr>
      </w:pPr>
    </w:p>
    <w:p>
      <w:pPr>
        <w:ind w:left="320" w:hanging="312"/>
        <w:spacing w:after="0"/>
        <w:tabs>
          <w:tab w:leader="none" w:pos="3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Aramark for the fiscal year ended September 27, 2024;</w:t>
      </w:r>
    </w:p>
    <w:p>
      <w:pPr>
        <w:spacing w:after="0" w:line="184" w:lineRule="exact"/>
        <w:rPr>
          <w:rFonts w:ascii="Times New Roman" w:cs="Times New Roman" w:eastAsia="Times New Roman" w:hAnsi="Times New Roman"/>
          <w:sz w:val="18"/>
          <w:szCs w:val="18"/>
          <w:color w:val="auto"/>
        </w:rPr>
      </w:pPr>
    </w:p>
    <w:p>
      <w:pPr>
        <w:ind w:right="260" w:firstLine="8"/>
        <w:spacing w:after="0" w:line="282" w:lineRule="auto"/>
        <w:tabs>
          <w:tab w:leader="none" w:pos="31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420" w:firstLine="8"/>
        <w:spacing w:after="0" w:line="282" w:lineRule="auto"/>
        <w:tabs>
          <w:tab w:leader="none" w:pos="31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right="80" w:firstLine="8"/>
        <w:spacing w:after="0" w:line="266" w:lineRule="auto"/>
        <w:tabs>
          <w:tab w:leader="none" w:pos="31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957"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957" w:val="left"/>
        </w:tabs>
        <w:numPr>
          <w:ilvl w:val="1"/>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100" w:hanging="644"/>
        <w:spacing w:after="0" w:line="266" w:lineRule="auto"/>
        <w:tabs>
          <w:tab w:leader="none" w:pos="967"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160" w:firstLine="8"/>
        <w:spacing w:after="0" w:line="282" w:lineRule="auto"/>
        <w:tabs>
          <w:tab w:leader="none" w:pos="31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jc w:val="right"/>
        <w:ind w:left="1300" w:right="800" w:hanging="644"/>
        <w:spacing w:after="0" w:line="282" w:lineRule="auto"/>
        <w:tabs>
          <w:tab w:leader="none" w:pos="947"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957"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8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James J. Tarangelo</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887" w:right="33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6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Aramark (the “Company”) on Form 10-K for the fiscal year ended September 27, 2024, as filed with the Securities and Exchange Commission on the date hereof (the “Report”), we, John J. Zillmer, Chief Executive Officer of the Company, and James J. Tarangelo, Senior Vice President and Chief Financial Officer of the Company, each certify, pursuant to 18 U.S.C. Section 1350, as adopted pursuant to Section 906 of the Sarbanes-Oxley Act of 2002, that, based on each of our knowledge:</w:t>
      </w:r>
    </w:p>
    <w:p>
      <w:pPr>
        <w:spacing w:after="0" w:line="153" w:lineRule="exact"/>
        <w:rPr>
          <w:sz w:val="20"/>
          <w:szCs w:val="20"/>
          <w:color w:val="auto"/>
        </w:rPr>
      </w:pPr>
    </w:p>
    <w:p>
      <w:pPr>
        <w:ind w:left="400" w:hanging="392"/>
        <w:spacing w:after="0"/>
        <w:tabs>
          <w:tab w:leader="none" w:pos="40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right="400" w:firstLine="8"/>
        <w:spacing w:after="0" w:line="485" w:lineRule="auto"/>
        <w:tabs>
          <w:tab w:leader="none" w:pos="38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19,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8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8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James J. Tarangelo</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EBE4208"/>
    <w:multiLevelType w:val="hybridMultilevel"/>
    <w:lvl w:ilvl="0">
      <w:lvlJc w:val="left"/>
      <w:lvlText w:val="x"/>
      <w:numFmt w:val="bullet"/>
      <w:start w:val="1"/>
    </w:lvl>
  </w:abstractNum>
  <w:abstractNum w:abstractNumId="1">
    <w:nsid w:val="C058DF5"/>
    <w:multiLevelType w:val="hybridMultilevel"/>
    <w:lvl w:ilvl="0">
      <w:lvlJc w:val="left"/>
      <w:lvlText w:val="o"/>
      <w:numFmt w:val="bullet"/>
      <w:start w:val="1"/>
    </w:lvl>
  </w:abstractNum>
  <w:abstractNum w:abstractNumId="2">
    <w:nsid w:val="CBE5BE9"/>
    <w:multiLevelType w:val="hybridMultilevel"/>
    <w:lvl w:ilvl="0">
      <w:lvlJc w:val="left"/>
      <w:lvlText w:val="%1."/>
      <w:numFmt w:val="upperLetter"/>
      <w:start w:val="61"/>
    </w:lvl>
  </w:abstractNum>
  <w:abstractNum w:abstractNumId="3">
    <w:nsid w:val="3102BBE2"/>
    <w:multiLevelType w:val="hybridMultilevel"/>
    <w:lvl w:ilvl="0">
      <w:lvlJc w:val="left"/>
      <w:lvlText w:val="(%1)"/>
      <w:numFmt w:val="decimal"/>
      <w:start w:val="1"/>
    </w:lvl>
  </w:abstractNum>
  <w:abstractNum w:abstractNumId="4">
    <w:nsid w:val="26A02C5E"/>
    <w:multiLevelType w:val="hybridMultilevel"/>
    <w:lvl w:ilvl="0">
      <w:lvlJc w:val="left"/>
      <w:lvlText w:val="•"/>
      <w:numFmt w:val="bullet"/>
      <w:start w:val="1"/>
    </w:lvl>
  </w:abstractNum>
  <w:abstractNum w:abstractNumId="5">
    <w:nsid w:val="541C8153"/>
    <w:multiLevelType w:val="hybridMultilevel"/>
    <w:lvl w:ilvl="0">
      <w:lvlJc w:val="left"/>
      <w:lvlText w:val="•"/>
      <w:numFmt w:val="bullet"/>
      <w:start w:val="1"/>
    </w:lvl>
  </w:abstractNum>
  <w:abstractNum w:abstractNumId="6">
    <w:nsid w:val="67906F60"/>
    <w:multiLevelType w:val="hybridMultilevel"/>
    <w:lvl w:ilvl="0">
      <w:lvlJc w:val="left"/>
      <w:lvlText w:val="•"/>
      <w:numFmt w:val="bullet"/>
      <w:start w:val="1"/>
    </w:lvl>
  </w:abstractNum>
  <w:abstractNum w:abstractNumId="7">
    <w:nsid w:val="10DB9DAA"/>
    <w:multiLevelType w:val="hybridMultilevel"/>
    <w:lvl w:ilvl="0">
      <w:lvlJc w:val="left"/>
      <w:lvlText w:val="•"/>
      <w:numFmt w:val="bullet"/>
      <w:start w:val="1"/>
    </w:lvl>
  </w:abstractNum>
  <w:abstractNum w:abstractNumId="8">
    <w:nsid w:val="697D2D2"/>
    <w:multiLevelType w:val="hybridMultilevel"/>
    <w:lvl w:ilvl="0">
      <w:lvlJc w:val="left"/>
      <w:lvlText w:val="•"/>
      <w:numFmt w:val="bullet"/>
      <w:start w:val="1"/>
    </w:lvl>
  </w:abstractNum>
  <w:abstractNum w:abstractNumId="9">
    <w:nsid w:val="6D68AB2"/>
    <w:multiLevelType w:val="hybridMultilevel"/>
    <w:lvl w:ilvl="0">
      <w:lvlJc w:val="left"/>
      <w:lvlText w:val="•"/>
      <w:numFmt w:val="bullet"/>
      <w:start w:val="1"/>
    </w:lvl>
  </w:abstractNum>
  <w:abstractNum w:abstractNumId="10">
    <w:nsid w:val="3A966CD0"/>
    <w:multiLevelType w:val="hybridMultilevel"/>
    <w:lvl w:ilvl="0">
      <w:lvlJc w:val="left"/>
      <w:lvlText w:val="•"/>
      <w:numFmt w:val="bullet"/>
      <w:start w:val="1"/>
    </w:lvl>
  </w:abstractNum>
  <w:abstractNum w:abstractNumId="11">
    <w:nsid w:val="63F37E85"/>
    <w:multiLevelType w:val="hybridMultilevel"/>
    <w:lvl w:ilvl="0">
      <w:lvlJc w:val="left"/>
      <w:lvlText w:val="•"/>
      <w:numFmt w:val="bullet"/>
      <w:start w:val="1"/>
    </w:lvl>
  </w:abstractNum>
  <w:abstractNum w:abstractNumId="12">
    <w:nsid w:val="5895F5FA"/>
    <w:multiLevelType w:val="hybridMultilevel"/>
    <w:lvl w:ilvl="0">
      <w:lvlJc w:val="left"/>
      <w:lvlText w:val="&amp;"/>
      <w:numFmt w:val="bullet"/>
      <w:start w:val="1"/>
    </w:lvl>
  </w:abstractNum>
  <w:abstractNum w:abstractNumId="13">
    <w:nsid w:val="38A5D054"/>
    <w:multiLevelType w:val="hybridMultilevel"/>
    <w:lvl w:ilvl="0">
      <w:lvlJc w:val="left"/>
      <w:lvlText w:val="(%1)"/>
      <w:numFmt w:val="decimal"/>
      <w:start w:val="1"/>
    </w:lvl>
  </w:abstractNum>
  <w:abstractNum w:abstractNumId="14">
    <w:nsid w:val="F3F09D8"/>
    <w:multiLevelType w:val="hybridMultilevel"/>
    <w:lvl w:ilvl="0">
      <w:lvlJc w:val="left"/>
      <w:lvlText w:val="(%1)"/>
      <w:numFmt w:val="decimal"/>
      <w:start w:val="1"/>
    </w:lvl>
  </w:abstractNum>
  <w:abstractNum w:abstractNumId="15">
    <w:nsid w:val="4B793735"/>
    <w:multiLevelType w:val="hybridMultilevel"/>
    <w:lvl w:ilvl="0">
      <w:lvlJc w:val="left"/>
      <w:lvlText w:val="•"/>
      <w:numFmt w:val="bullet"/>
      <w:start w:val="1"/>
    </w:lvl>
  </w:abstractNum>
  <w:abstractNum w:abstractNumId="16">
    <w:nsid w:val="4A10B4E8"/>
    <w:multiLevelType w:val="hybridMultilevel"/>
    <w:lvl w:ilvl="0">
      <w:lvlJc w:val="left"/>
      <w:lvlText w:val="(%1)"/>
      <w:numFmt w:val="decimal"/>
      <w:start w:val="1"/>
    </w:lvl>
  </w:abstractNum>
  <w:abstractNum w:abstractNumId="17">
    <w:nsid w:val="43D3BCD4"/>
    <w:multiLevelType w:val="hybridMultilevel"/>
    <w:lvl w:ilvl="0">
      <w:lvlJc w:val="left"/>
      <w:lvlText w:val="•"/>
      <w:numFmt w:val="bullet"/>
      <w:start w:val="1"/>
    </w:lvl>
  </w:abstractNum>
  <w:abstractNum w:abstractNumId="18">
    <w:nsid w:val="4C2A7166"/>
    <w:multiLevelType w:val="hybridMultilevel"/>
    <w:lvl w:ilvl="0">
      <w:lvlJc w:val="left"/>
      <w:lvlText w:val="•"/>
      <w:numFmt w:val="bullet"/>
      <w:start w:val="1"/>
    </w:lvl>
  </w:abstractNum>
  <w:abstractNum w:abstractNumId="19">
    <w:nsid w:val="2E534A82"/>
    <w:multiLevelType w:val="hybridMultilevel"/>
    <w:lvl w:ilvl="0">
      <w:lvlJc w:val="left"/>
      <w:lvlText w:val="•"/>
      <w:numFmt w:val="bullet"/>
      <w:start w:val="1"/>
    </w:lvl>
  </w:abstractNum>
  <w:abstractNum w:abstractNumId="20">
    <w:nsid w:val="26F2D364"/>
    <w:multiLevelType w:val="hybridMultilevel"/>
    <w:lvl w:ilvl="0">
      <w:lvlJc w:val="left"/>
      <w:lvlText w:val="(%1)"/>
      <w:numFmt w:val="decimal"/>
      <w:start w:val="1"/>
    </w:lvl>
  </w:abstractNum>
  <w:abstractNum w:abstractNumId="21">
    <w:nsid w:val="71C1AF98"/>
    <w:multiLevelType w:val="hybridMultilevel"/>
    <w:lvl w:ilvl="0">
      <w:lvlJc w:val="left"/>
      <w:lvlText w:val="•"/>
      <w:numFmt w:val="bullet"/>
      <w:start w:val="1"/>
    </w:lvl>
  </w:abstractNum>
  <w:abstractNum w:abstractNumId="22">
    <w:nsid w:val="3D00B9D9"/>
    <w:multiLevelType w:val="hybridMultilevel"/>
    <w:lvl w:ilvl="0">
      <w:lvlJc w:val="left"/>
      <w:lvlText w:val="(%1)"/>
      <w:numFmt w:val="decimal"/>
      <w:start w:val="1"/>
    </w:lvl>
  </w:abstractNum>
  <w:abstractNum w:abstractNumId="23">
    <w:nsid w:val="15BCABA8"/>
    <w:multiLevelType w:val="hybridMultilevel"/>
    <w:lvl w:ilvl="0">
      <w:lvlJc w:val="left"/>
      <w:lvlText w:val="•"/>
      <w:numFmt w:val="bullet"/>
      <w:start w:val="1"/>
    </w:lvl>
  </w:abstractNum>
  <w:abstractNum w:abstractNumId="24">
    <w:nsid w:val="4E0B9A87"/>
    <w:multiLevelType w:val="hybridMultilevel"/>
    <w:lvl w:ilvl="0">
      <w:lvlJc w:val="left"/>
      <w:lvlText w:val="•"/>
      <w:numFmt w:val="bullet"/>
      <w:start w:val="1"/>
    </w:lvl>
  </w:abstractNum>
  <w:abstractNum w:abstractNumId="25">
    <w:nsid w:val="434BAE75"/>
    <w:multiLevelType w:val="hybridMultilevel"/>
    <w:lvl w:ilvl="0">
      <w:lvlJc w:val="left"/>
      <w:lvlText w:val="•"/>
      <w:numFmt w:val="bullet"/>
      <w:start w:val="1"/>
    </w:lvl>
  </w:abstractNum>
  <w:abstractNum w:abstractNumId="26">
    <w:nsid w:val="4F38F265"/>
    <w:multiLevelType w:val="hybridMultilevel"/>
    <w:lvl w:ilvl="0">
      <w:lvlJc w:val="left"/>
      <w:lvlText w:val="•"/>
      <w:numFmt w:val="bullet"/>
      <w:start w:val="1"/>
    </w:lvl>
  </w:abstractNum>
  <w:abstractNum w:abstractNumId="27">
    <w:nsid w:val="4C502870"/>
    <w:multiLevelType w:val="hybridMultilevel"/>
    <w:lvl w:ilvl="0">
      <w:lvlJc w:val="left"/>
      <w:lvlText w:val="•"/>
      <w:numFmt w:val="bullet"/>
      <w:start w:val="1"/>
    </w:lvl>
  </w:abstractNum>
  <w:abstractNum w:abstractNumId="28">
    <w:nsid w:val="1DE8725A"/>
    <w:multiLevelType w:val="hybridMultilevel"/>
    <w:lvl w:ilvl="0">
      <w:lvlJc w:val="left"/>
      <w:lvlText w:val="•"/>
      <w:numFmt w:val="bullet"/>
      <w:start w:val="1"/>
    </w:lvl>
  </w:abstractNum>
  <w:abstractNum w:abstractNumId="29">
    <w:nsid w:val="6A37288A"/>
    <w:multiLevelType w:val="hybridMultilevel"/>
    <w:lvl w:ilvl="0">
      <w:lvlJc w:val="left"/>
      <w:lvlText w:val="•"/>
      <w:numFmt w:val="bullet"/>
      <w:start w:val="1"/>
    </w:lvl>
  </w:abstractNum>
  <w:abstractNum w:abstractNumId="30">
    <w:nsid w:val="8F8B73F"/>
    <w:multiLevelType w:val="hybridMultilevel"/>
    <w:lvl w:ilvl="0">
      <w:lvlJc w:val="left"/>
      <w:lvlText w:val="•"/>
      <w:numFmt w:val="bullet"/>
      <w:start w:val="1"/>
    </w:lvl>
  </w:abstractNum>
  <w:abstractNum w:abstractNumId="31">
    <w:nsid w:val="CA6B462"/>
    <w:multiLevelType w:val="hybridMultilevel"/>
    <w:lvl w:ilvl="0">
      <w:lvlJc w:val="left"/>
      <w:lvlText w:val="•"/>
      <w:numFmt w:val="bullet"/>
      <w:start w:val="1"/>
    </w:lvl>
  </w:abstractNum>
  <w:abstractNum w:abstractNumId="32">
    <w:nsid w:val="763CB680"/>
    <w:multiLevelType w:val="hybridMultilevel"/>
    <w:lvl w:ilvl="0">
      <w:lvlJc w:val="left"/>
      <w:lvlText w:val="•"/>
      <w:numFmt w:val="bullet"/>
      <w:start w:val="1"/>
    </w:lvl>
  </w:abstractNum>
  <w:abstractNum w:abstractNumId="33">
    <w:nsid w:val="15B71329"/>
    <w:multiLevelType w:val="hybridMultilevel"/>
    <w:lvl w:ilvl="0">
      <w:lvlJc w:val="left"/>
      <w:lvlText w:val="(%1)"/>
      <w:numFmt w:val="decimal"/>
      <w:start w:val="1"/>
    </w:lvl>
  </w:abstractNum>
  <w:abstractNum w:abstractNumId="34">
    <w:nsid w:val="3DA97044"/>
    <w:multiLevelType w:val="hybridMultilevel"/>
    <w:lvl w:ilvl="0">
      <w:lvlJc w:val="left"/>
      <w:lvlText w:val="(%1)"/>
      <w:numFmt w:val="decimal"/>
      <w:start w:val="3"/>
    </w:lvl>
  </w:abstractNum>
  <w:abstractNum w:abstractNumId="35">
    <w:nsid w:val="1CDCE2DE"/>
    <w:multiLevelType w:val="hybridMultilevel"/>
    <w:lvl w:ilvl="0">
      <w:lvlJc w:val="left"/>
      <w:lvlText w:val="(%1)"/>
      <w:numFmt w:val="decimal"/>
      <w:start w:val="1"/>
    </w:lvl>
  </w:abstractNum>
  <w:abstractNum w:abstractNumId="36">
    <w:nsid w:val="69D3947C"/>
    <w:multiLevelType w:val="hybridMultilevel"/>
    <w:lvl w:ilvl="0">
      <w:lvlJc w:val="left"/>
      <w:lvlText w:val="(%1)"/>
      <w:numFmt w:val="decimal"/>
      <w:start w:val="1"/>
    </w:lvl>
  </w:abstractNum>
  <w:abstractNum w:abstractNumId="37">
    <w:nsid w:val="2539DFA5"/>
    <w:multiLevelType w:val="hybridMultilevel"/>
    <w:lvl w:ilvl="0">
      <w:lvlJc w:val="left"/>
      <w:lvlText w:val="•"/>
      <w:numFmt w:val="bullet"/>
      <w:start w:val="1"/>
    </w:lvl>
  </w:abstractNum>
  <w:abstractNum w:abstractNumId="38">
    <w:nsid w:val="2DB88089"/>
    <w:multiLevelType w:val="hybridMultilevel"/>
    <w:lvl w:ilvl="0">
      <w:lvlJc w:val="left"/>
      <w:lvlText w:val="•"/>
      <w:numFmt w:val="bullet"/>
      <w:start w:val="1"/>
    </w:lvl>
  </w:abstractNum>
  <w:abstractNum w:abstractNumId="39">
    <w:nsid w:val="706B674E"/>
    <w:multiLevelType w:val="hybridMultilevel"/>
    <w:lvl w:ilvl="0">
      <w:lvlJc w:val="left"/>
      <w:lvlText w:val="(%1)"/>
      <w:numFmt w:val="lowerLetter"/>
      <w:start w:val="1"/>
    </w:lvl>
  </w:abstractNum>
  <w:abstractNum w:abstractNumId="40">
    <w:nsid w:val="2C106A57"/>
    <w:multiLevelType w:val="hybridMultilevel"/>
    <w:lvl w:ilvl="0">
      <w:lvlJc w:val="left"/>
      <w:lvlText w:val="(%1)"/>
      <w:numFmt w:val="lowerLetter"/>
      <w:start w:val="2"/>
    </w:lvl>
  </w:abstractNum>
  <w:abstractNum w:abstractNumId="41">
    <w:nsid w:val="684EED59"/>
    <w:multiLevelType w:val="hybridMultilevel"/>
    <w:lvl w:ilvl="0">
      <w:lvlJc w:val="left"/>
      <w:lvlText w:val="(%1)"/>
      <w:numFmt w:val="lowerLetter"/>
      <w:start w:val="3"/>
    </w:lvl>
  </w:abstractNum>
  <w:abstractNum w:abstractNumId="42">
    <w:nsid w:val="545EE5D3"/>
    <w:multiLevelType w:val="hybridMultilevel"/>
    <w:lvl w:ilvl="0">
      <w:lvlJc w:val="left"/>
      <w:lvlText w:val="•"/>
      <w:numFmt w:val="bullet"/>
      <w:start w:val="1"/>
    </w:lvl>
    <w:lvl w:ilvl="1">
      <w:lvlJc w:val="left"/>
      <w:lvlText w:val="◦"/>
      <w:numFmt w:val="bullet"/>
      <w:start w:val="1"/>
    </w:lvl>
  </w:abstractNum>
  <w:abstractNum w:abstractNumId="43">
    <w:nsid w:val="4A66051"/>
    <w:multiLevelType w:val="hybridMultilevel"/>
    <w:lvl w:ilvl="0">
      <w:lvlJc w:val="left"/>
      <w:lvlText w:val="(%1)"/>
      <w:numFmt w:val="decimal"/>
      <w:start w:val="1"/>
    </w:lvl>
  </w:abstractNum>
  <w:abstractNum w:abstractNumId="44">
    <w:nsid w:val="20F4BDAD"/>
    <w:multiLevelType w:val="hybridMultilevel"/>
    <w:lvl w:ilvl="0">
      <w:lvlJc w:val="left"/>
      <w:lvlText w:val="(%1)"/>
      <w:numFmt w:val="decimal"/>
      <w:start w:val="1"/>
    </w:lvl>
  </w:abstractNum>
  <w:abstractNum w:abstractNumId="45">
    <w:nsid w:val="639DEFAC"/>
    <w:multiLevelType w:val="hybridMultilevel"/>
    <w:lvl w:ilvl="0">
      <w:lvlJc w:val="left"/>
      <w:lvlText w:val="•"/>
      <w:numFmt w:val="bullet"/>
      <w:start w:val="1"/>
    </w:lvl>
  </w:abstractNum>
  <w:abstractNum w:abstractNumId="46">
    <w:nsid w:val="501F9786"/>
    <w:multiLevelType w:val="hybridMultilevel"/>
    <w:lvl w:ilvl="0">
      <w:lvlJc w:val="left"/>
      <w:lvlText w:val="(%1)"/>
      <w:numFmt w:val="decimal"/>
      <w:start w:val="1"/>
    </w:lvl>
  </w:abstractNum>
  <w:abstractNum w:abstractNumId="47">
    <w:nsid w:val="6B057295"/>
    <w:multiLevelType w:val="hybridMultilevel"/>
    <w:lvl w:ilvl="0">
      <w:lvlJc w:val="left"/>
      <w:lvlText w:val="(%1)"/>
      <w:numFmt w:val="decimal"/>
      <w:start w:val="1"/>
    </w:lvl>
  </w:abstractNum>
  <w:abstractNum w:abstractNumId="48">
    <w:nsid w:val="2771AC80"/>
    <w:multiLevelType w:val="hybridMultilevel"/>
    <w:lvl w:ilvl="0">
      <w:lvlJc w:val="left"/>
      <w:lvlText w:val="(%1)"/>
      <w:numFmt w:val="decimal"/>
      <w:start w:val="1"/>
    </w:lvl>
  </w:abstractNum>
  <w:abstractNum w:abstractNumId="49">
    <w:nsid w:val="1C4A08EC"/>
    <w:multiLevelType w:val="hybridMultilevel"/>
    <w:lvl w:ilvl="0">
      <w:lvlJc w:val="left"/>
      <w:lvlText w:val="(%1)"/>
      <w:numFmt w:val="decimal"/>
      <w:start w:val="1"/>
    </w:lvl>
  </w:abstractNum>
  <w:abstractNum w:abstractNumId="50">
    <w:nsid w:val="1958BD17"/>
    <w:multiLevelType w:val="hybridMultilevel"/>
    <w:lvl w:ilvl="0">
      <w:lvlJc w:val="left"/>
      <w:lvlText w:val="•"/>
      <w:numFmt w:val="bullet"/>
      <w:start w:val="1"/>
    </w:lvl>
  </w:abstractNum>
  <w:abstractNum w:abstractNumId="51">
    <w:nsid w:val="4E647FE4"/>
    <w:multiLevelType w:val="hybridMultilevel"/>
    <w:lvl w:ilvl="0">
      <w:lvlJc w:val="left"/>
      <w:lvlText w:val="•"/>
      <w:numFmt w:val="bullet"/>
      <w:start w:val="1"/>
    </w:lvl>
  </w:abstractNum>
  <w:abstractNum w:abstractNumId="52">
    <w:nsid w:val="E0BB885"/>
    <w:multiLevelType w:val="hybridMultilevel"/>
    <w:lvl w:ilvl="0">
      <w:lvlJc w:val="left"/>
      <w:lvlText w:val="(%1)"/>
      <w:numFmt w:val="decimal"/>
      <w:start w:val="1"/>
    </w:lvl>
  </w:abstractNum>
  <w:abstractNum w:abstractNumId="53">
    <w:nsid w:val="565976F1"/>
    <w:multiLevelType w:val="hybridMultilevel"/>
    <w:lvl w:ilvl="0">
      <w:lvlJc w:val="left"/>
      <w:lvlText w:val="(%1)"/>
      <w:numFmt w:val="decimal"/>
      <w:start w:val="1"/>
    </w:lvl>
  </w:abstractNum>
  <w:abstractNum w:abstractNumId="54">
    <w:nsid w:val="64212B8C"/>
    <w:multiLevelType w:val="hybridMultilevel"/>
    <w:lvl w:ilvl="0">
      <w:lvlJc w:val="left"/>
      <w:lvlText w:val="•"/>
      <w:numFmt w:val="bullet"/>
      <w:start w:val="1"/>
    </w:lvl>
  </w:abstractNum>
  <w:abstractNum w:abstractNumId="55">
    <w:nsid w:val="5C17530C"/>
    <w:multiLevelType w:val="hybridMultilevel"/>
    <w:lvl w:ilvl="0">
      <w:lvlJc w:val="left"/>
      <w:lvlText w:val="(%1)"/>
      <w:numFmt w:val="lowerRoman"/>
      <w:start w:val="3"/>
    </w:lvl>
  </w:abstractNum>
  <w:abstractNum w:abstractNumId="56">
    <w:nsid w:val="19A52566"/>
    <w:multiLevelType w:val="hybridMultilevel"/>
    <w:lvl w:ilvl="0">
      <w:lvlJc w:val="left"/>
      <w:lvlText w:val="(%1)"/>
      <w:numFmt w:val="decimal"/>
      <w:start w:val="1"/>
    </w:lvl>
  </w:abstractNum>
  <w:abstractNum w:abstractNumId="57">
    <w:nsid w:val="335A1DF1"/>
    <w:multiLevelType w:val="hybridMultilevel"/>
    <w:lvl w:ilvl="0">
      <w:lvlJc w:val="left"/>
      <w:lvlText w:val="(%1)"/>
      <w:numFmt w:val="decimal"/>
      <w:start w:val="1"/>
    </w:lvl>
  </w:abstractNum>
  <w:abstractNum w:abstractNumId="58">
    <w:nsid w:val="28677B7C"/>
    <w:multiLevelType w:val="hybridMultilevel"/>
    <w:lvl w:ilvl="0">
      <w:lvlJc w:val="left"/>
      <w:lvlText w:val="(%1)"/>
      <w:numFmt w:val="decimal"/>
      <w:start w:val="1"/>
    </w:lvl>
  </w:abstractNum>
  <w:abstractNum w:abstractNumId="59">
    <w:nsid w:val="378D97C0"/>
    <w:multiLevelType w:val="hybridMultilevel"/>
    <w:lvl w:ilvl="0">
      <w:lvlJc w:val="left"/>
      <w:lvlText w:val="(%1)"/>
      <w:numFmt w:val="decimal"/>
      <w:start w:val="1"/>
    </w:lvl>
  </w:abstractNum>
  <w:abstractNum w:abstractNumId="60">
    <w:nsid w:val="1D91467C"/>
    <w:multiLevelType w:val="hybridMultilevel"/>
    <w:lvl w:ilvl="0">
      <w:lvlJc w:val="left"/>
      <w:lvlText w:val="(%1)"/>
      <w:numFmt w:val="decimal"/>
      <w:start w:val="1"/>
    </w:lvl>
  </w:abstractNum>
  <w:abstractNum w:abstractNumId="61">
    <w:nsid w:val="316032BB"/>
    <w:multiLevelType w:val="hybridMultilevel"/>
    <w:lvl w:ilvl="0">
      <w:lvlJc w:val="left"/>
      <w:lvlText w:val="(%1)"/>
      <w:numFmt w:val="decimal"/>
      <w:start w:val="1"/>
    </w:lvl>
  </w:abstractNum>
  <w:abstractNum w:abstractNumId="62">
    <w:nsid w:val="44344C22"/>
    <w:multiLevelType w:val="hybridMultilevel"/>
    <w:lvl w:ilvl="0">
      <w:lvlJc w:val="left"/>
      <w:lvlText w:val="%1."/>
      <w:numFmt w:val="lowerLetter"/>
      <w:start w:val="1"/>
    </w:lvl>
  </w:abstractNum>
  <w:abstractNum w:abstractNumId="63">
    <w:nsid w:val="13CDFCFC"/>
    <w:multiLevelType w:val="hybridMultilevel"/>
    <w:lvl w:ilvl="0">
      <w:lvlJc w:val="left"/>
      <w:lvlText w:val="(%1)"/>
      <w:numFmt w:val="decimal"/>
      <w:start w:val="1"/>
    </w:lvl>
  </w:abstractNum>
  <w:abstractNum w:abstractNumId="64">
    <w:nsid w:val="471745E4"/>
    <w:multiLevelType w:val="hybridMultilevel"/>
    <w:lvl w:ilvl="0">
      <w:lvlJc w:val="left"/>
      <w:lvlText w:val="(%1)"/>
      <w:numFmt w:val="decimal"/>
      <w:start w:val="1"/>
    </w:lvl>
  </w:abstractNum>
  <w:abstractNum w:abstractNumId="65">
    <w:nsid w:val="1DDBC66"/>
    <w:multiLevelType w:val="hybridMultilevel"/>
    <w:lvl w:ilvl="0">
      <w:lvlJc w:val="left"/>
      <w:lvlText w:val="(%1)"/>
      <w:numFmt w:val="decimal"/>
      <w:start w:val="1"/>
    </w:lvl>
  </w:abstractNum>
  <w:abstractNum w:abstractNumId="66">
    <w:nsid w:val="30AADFDA"/>
    <w:multiLevelType w:val="hybridMultilevel"/>
    <w:lvl w:ilvl="0">
      <w:lvlJc w:val="left"/>
      <w:lvlText w:val="(%1)"/>
      <w:numFmt w:val="decimal"/>
      <w:start w:val="1"/>
    </w:lvl>
  </w:abstractNum>
  <w:abstractNum w:abstractNumId="67">
    <w:nsid w:val="30EADA61"/>
    <w:multiLevelType w:val="hybridMultilevel"/>
    <w:lvl w:ilvl="0">
      <w:lvlJc w:val="left"/>
      <w:lvlText w:val="(%1)"/>
      <w:numFmt w:val="decimal"/>
      <w:start w:val="2"/>
    </w:lvl>
  </w:abstractNum>
  <w:abstractNum w:abstractNumId="68">
    <w:nsid w:val="27179C0B"/>
    <w:multiLevelType w:val="hybridMultilevel"/>
    <w:lvl w:ilvl="0">
      <w:lvlJc w:val="left"/>
      <w:lvlText w:val="(%1)"/>
      <w:numFmt w:val="decimal"/>
      <w:start w:val="1"/>
    </w:lvl>
  </w:abstractNum>
  <w:abstractNum w:abstractNumId="69">
    <w:nsid w:val="5E636063"/>
    <w:multiLevelType w:val="hybridMultilevel"/>
    <w:lvl w:ilvl="0">
      <w:lvlJc w:val="left"/>
      <w:lvlText w:val="(%1)"/>
      <w:numFmt w:val="decimal"/>
      <w:start w:val="1"/>
    </w:lvl>
  </w:abstractNum>
  <w:abstractNum w:abstractNumId="70">
    <w:nsid w:val="215641AF"/>
    <w:multiLevelType w:val="hybridMultilevel"/>
    <w:lvl w:ilvl="0">
      <w:lvlJc w:val="left"/>
      <w:lvlText w:val="(%1)"/>
      <w:numFmt w:val="decimal"/>
      <w:start w:val="1"/>
    </w:lvl>
  </w:abstractNum>
  <w:abstractNum w:abstractNumId="71">
    <w:nsid w:val="53280662"/>
    <w:multiLevelType w:val="hybridMultilevel"/>
    <w:lvl w:ilvl="0">
      <w:lvlJc w:val="left"/>
      <w:lvlText w:val="(%1)"/>
      <w:numFmt w:val="decimal"/>
      <w:start w:val="1"/>
    </w:lvl>
  </w:abstractNum>
  <w:abstractNum w:abstractNumId="72">
    <w:nsid w:val="46B24DBC"/>
    <w:multiLevelType w:val="hybridMultilevel"/>
    <w:lvl w:ilvl="0">
      <w:lvlJc w:val="left"/>
      <w:lvlText w:val="(%1)"/>
      <w:numFmt w:val="decimal"/>
      <w:start w:val="1"/>
    </w:lvl>
  </w:abstractNum>
  <w:abstractNum w:abstractNumId="73">
    <w:nsid w:val="75B52783"/>
    <w:multiLevelType w:val="hybridMultilevel"/>
    <w:lvl w:ilvl="0">
      <w:lvlJc w:val="left"/>
      <w:lvlText w:val="(%1)"/>
      <w:numFmt w:val="decimal"/>
      <w:start w:val="1"/>
    </w:lvl>
  </w:abstractNum>
  <w:abstractNum w:abstractNumId="74">
    <w:nsid w:val="57CE66B4"/>
    <w:multiLevelType w:val="hybridMultilevel"/>
    <w:lvl w:ilvl="0">
      <w:lvlJc w:val="left"/>
      <w:lvlText w:val="(%1)"/>
      <w:numFmt w:val="decimal"/>
      <w:start w:val="2"/>
    </w:lvl>
  </w:abstractNum>
  <w:abstractNum w:abstractNumId="75">
    <w:nsid w:val="67A70B69"/>
    <w:multiLevelType w:val="hybridMultilevel"/>
    <w:lvl w:ilvl="0">
      <w:lvlJc w:val="left"/>
      <w:lvlText w:val="(%1)"/>
      <w:numFmt w:val="decimal"/>
      <w:start w:val="1"/>
    </w:lvl>
  </w:abstractNum>
  <w:abstractNum w:abstractNumId="76">
    <w:nsid w:val="5953172F"/>
    <w:multiLevelType w:val="hybridMultilevel"/>
    <w:lvl w:ilvl="0">
      <w:lvlJc w:val="left"/>
      <w:lvlText w:val="•"/>
      <w:numFmt w:val="bullet"/>
      <w:start w:val="1"/>
    </w:lvl>
  </w:abstractNum>
  <w:abstractNum w:abstractNumId="77">
    <w:nsid w:val="27EDFE3A"/>
    <w:multiLevelType w:val="hybridMultilevel"/>
    <w:lvl w:ilvl="0">
      <w:lvlJc w:val="left"/>
      <w:lvlText w:val="(%1)"/>
      <w:numFmt w:val="decimal"/>
      <w:start w:val="1"/>
    </w:lvl>
  </w:abstractNum>
  <w:abstractNum w:abstractNumId="78">
    <w:nsid w:val="52AC7DFF"/>
    <w:multiLevelType w:val="hybridMultilevel"/>
    <w:lvl w:ilvl="0">
      <w:lvlJc w:val="left"/>
      <w:lvlText w:val="%1"/>
      <w:numFmt w:val="decimal"/>
      <w:start w:val="101"/>
    </w:lvl>
  </w:abstractNum>
  <w:abstractNum w:abstractNumId="79">
    <w:nsid w:val="C4C3AF"/>
    <w:multiLevelType w:val="hybridMultilevel"/>
    <w:lvl w:ilvl="0">
      <w:lvlJc w:val="left"/>
      <w:lvlText w:val="."/>
      <w:numFmt w:val="bullet"/>
      <w:start w:val="1"/>
    </w:lvl>
    <w:lvl w:ilvl="1">
      <w:lvlJc w:val="left"/>
      <w:lvlText w:val="(%2)"/>
      <w:numFmt w:val="lowerLetter"/>
      <w:start w:val="1"/>
    </w:lvl>
  </w:abstractNum>
  <w:abstractNum w:abstractNumId="80">
    <w:nsid w:val="44380727"/>
    <w:multiLevelType w:val="hybridMultilevel"/>
    <w:lvl w:ilvl="0">
      <w:lvlJc w:val="left"/>
      <w:lvlText w:val="(%1)"/>
      <w:numFmt w:val="lowerLetter"/>
      <w:start w:val="2"/>
    </w:lvl>
    <w:lvl w:ilvl="1">
      <w:lvlJc w:val="left"/>
      <w:lvlText w:val="(%2)"/>
      <w:numFmt w:val="lowerLetter"/>
      <w:start w:val="3"/>
    </w:lvl>
  </w:abstractNum>
  <w:abstractNum w:abstractNumId="81">
    <w:nsid w:val="6C053B16"/>
    <w:multiLevelType w:val="hybridMultilevel"/>
    <w:lvl w:ilvl="0">
      <w:lvlJc w:val="left"/>
      <w:lvlText w:val="(%1)"/>
      <w:numFmt w:val="lowerRoman"/>
      <w:start w:val="1"/>
    </w:lvl>
  </w:abstractNum>
  <w:abstractNum w:abstractNumId="82">
    <w:nsid w:val="4F294393"/>
    <w:multiLevelType w:val="hybridMultilevel"/>
    <w:lvl w:ilvl="0">
      <w:lvlJc w:val="left"/>
      <w:lvlText w:val="(%1)"/>
      <w:numFmt w:val="lowerRoman"/>
      <w:start w:val="2"/>
    </w:lvl>
  </w:abstractNum>
  <w:abstractNum w:abstractNumId="83">
    <w:nsid w:val="5243BFAC"/>
    <w:multiLevelType w:val="hybridMultilevel"/>
    <w:lvl w:ilvl="0">
      <w:lvlJc w:val="left"/>
      <w:lvlText w:val="(%1)"/>
      <w:numFmt w:val="lowerRoman"/>
      <w:start w:val="1"/>
    </w:lvl>
  </w:abstractNum>
  <w:abstractNum w:abstractNumId="84">
    <w:nsid w:val="425EB207"/>
    <w:multiLevelType w:val="hybridMultilevel"/>
    <w:lvl w:ilvl="0">
      <w:lvlJc w:val="left"/>
      <w:lvlText w:val="%1"/>
      <w:numFmt w:val="upperLetter"/>
      <w:start w:val="1"/>
    </w:lvl>
    <w:lvl w:ilvl="1">
      <w:lvlJc w:val="left"/>
      <w:lvlText w:val="(%2)"/>
      <w:numFmt w:val="lowerLetter"/>
      <w:start w:val="1"/>
    </w:lvl>
  </w:abstractNum>
  <w:abstractNum w:abstractNumId="85">
    <w:nsid w:val="334A6F1F"/>
    <w:multiLevelType w:val="hybridMultilevel"/>
    <w:lvl w:ilvl="0">
      <w:lvlJc w:val="left"/>
      <w:lvlText w:val="(%1)"/>
      <w:numFmt w:val="upperLetter"/>
      <w:start w:val="3"/>
    </w:lvl>
    <w:lvl w:ilvl="1">
      <w:lvlJc w:val="left"/>
      <w:lvlText w:val="%2"/>
      <w:numFmt w:val="lowerLetter"/>
      <w:start w:val="1"/>
    </w:lvl>
  </w:abstractNum>
  <w:abstractNum w:abstractNumId="86">
    <w:nsid w:val="2E5B12B8"/>
    <w:multiLevelType w:val="hybridMultilevel"/>
    <w:lvl w:ilvl="0">
      <w:lvlJc w:val="left"/>
      <w:lvlText w:val="(%1)"/>
      <w:numFmt w:val="lowerLetter"/>
      <w:start w:val="2"/>
    </w:lvl>
  </w:abstractNum>
  <w:abstractNum w:abstractNumId="87">
    <w:nsid w:val="5C03D76D"/>
    <w:multiLevelType w:val="hybridMultilevel"/>
    <w:lvl w:ilvl="0">
      <w:lvlJc w:val="left"/>
      <w:lvlText w:val="(%1)"/>
      <w:numFmt w:val="decimal"/>
      <w:start w:val="1"/>
    </w:lvl>
  </w:abstractNum>
  <w:abstractNum w:abstractNumId="88">
    <w:nsid w:val="66A48D11"/>
    <w:multiLevelType w:val="hybridMultilevel"/>
    <w:lvl w:ilvl="0">
      <w:lvlJc w:val="left"/>
      <w:lvlText w:val="(%1)"/>
      <w:numFmt w:val="decimal"/>
      <w:start w:val="1"/>
    </w:lvl>
  </w:abstractNum>
  <w:abstractNum w:abstractNumId="89">
    <w:nsid w:val="56C28E34"/>
    <w:multiLevelType w:val="hybridMultilevel"/>
    <w:lvl w:ilvl="0">
      <w:lvlJc w:val="left"/>
      <w:lvlText w:val="(%1)"/>
      <w:numFmt w:val="decimal"/>
      <w:start w:val="1"/>
    </w:lvl>
  </w:abstractNum>
  <w:abstractNum w:abstractNumId="90">
    <w:nsid w:val="13916F2D"/>
    <w:multiLevelType w:val="hybridMultilevel"/>
    <w:lvl w:ilvl="0">
      <w:lvlJc w:val="left"/>
      <w:lvlText w:val="(%1)"/>
      <w:numFmt w:val="decimal"/>
      <w:start w:val="2"/>
    </w:lvl>
  </w:abstractNum>
  <w:abstractNum w:abstractNumId="91">
    <w:nsid w:val="435D38D"/>
    <w:multiLevelType w:val="hybridMultilevel"/>
    <w:lvl w:ilvl="0">
      <w:lvlJc w:val="left"/>
      <w:lvlText w:val="(%1)"/>
      <w:numFmt w:val="lowerLetter"/>
      <w:start w:val="1"/>
    </w:lvl>
  </w:abstractNum>
  <w:abstractNum w:abstractNumId="92">
    <w:nsid w:val="822C0EF"/>
    <w:multiLevelType w:val="hybridMultilevel"/>
    <w:lvl w:ilvl="0">
      <w:lvlJc w:val="left"/>
      <w:lvlText w:val="(%1)"/>
      <w:numFmt w:val="lowerRoman"/>
      <w:start w:val="1"/>
    </w:lvl>
  </w:abstractNum>
  <w:abstractNum w:abstractNumId="93">
    <w:nsid w:val="57C5BB4F"/>
    <w:multiLevelType w:val="hybridMultilevel"/>
    <w:lvl w:ilvl="0">
      <w:lvlJc w:val="left"/>
      <w:lvlText w:val="(%1)"/>
      <w:numFmt w:val="lowerLetter"/>
      <w:start w:val="2"/>
    </w:lvl>
  </w:abstractNum>
  <w:abstractNum w:abstractNumId="94">
    <w:nsid w:val="1803D089"/>
    <w:multiLevelType w:val="hybridMultilevel"/>
    <w:lvl w:ilvl="0">
      <w:lvlJc w:val="left"/>
      <w:lvlText w:val="(%1)"/>
      <w:numFmt w:val="lowerRoman"/>
      <w:start w:val="1"/>
    </w:lvl>
  </w:abstractNum>
  <w:abstractNum w:abstractNumId="95">
    <w:nsid w:val="4F3A06D4"/>
    <w:multiLevelType w:val="hybridMultilevel"/>
    <w:lvl w:ilvl="0">
      <w:lvlJc w:val="left"/>
      <w:lvlText w:val="(%1)"/>
      <w:numFmt w:val="lowerLetter"/>
      <w:start w:val="1"/>
    </w:lvl>
  </w:abstractNum>
  <w:abstractNum w:abstractNumId="96">
    <w:nsid w:val="59A377B6"/>
    <w:multiLevelType w:val="hybridMultilevel"/>
    <w:lvl w:ilvl="0">
      <w:lvlJc w:val="left"/>
      <w:lvlText w:val="(%1)"/>
      <w:numFmt w:val="lowerLetter"/>
      <w:start w:val="9"/>
    </w:lvl>
  </w:abstractNum>
  <w:abstractNum w:abstractNumId="97">
    <w:nsid w:val="48AEB063"/>
    <w:multiLevelType w:val="hybridMultilevel"/>
    <w:lvl w:ilvl="0">
      <w:lvlJc w:val="left"/>
      <w:lvlText w:val="(%1)"/>
      <w:numFmt w:val="lowerRoman"/>
      <w:start w:val="10"/>
    </w:lvl>
  </w:abstractNum>
  <w:abstractNum w:abstractNumId="98">
    <w:nsid w:val="24E135"/>
    <w:multiLevelType w:val="hybridMultilevel"/>
    <w:lvl w:ilvl="0">
      <w:lvlJc w:val="left"/>
      <w:lvlText w:val="(%1)"/>
      <w:numFmt w:val="lowerLetter"/>
      <w:start w:val="1"/>
    </w:lvl>
  </w:abstractNum>
  <w:abstractNum w:abstractNumId="99">
    <w:nsid w:val="BB13C1"/>
    <w:multiLevelType w:val="hybridMultilevel"/>
    <w:lvl w:ilvl="0">
      <w:lvlJc w:val="left"/>
      <w:lvlText w:val="(%1)"/>
      <w:numFmt w:val="lowerLetter"/>
      <w:start w:val="2"/>
    </w:lvl>
  </w:abstractNum>
  <w:abstractNum w:abstractNumId="100">
    <w:nsid w:val="271210C7"/>
    <w:multiLevelType w:val="hybridMultilevel"/>
    <w:lvl w:ilvl="0">
      <w:lvlJc w:val="left"/>
      <w:lvlText w:val="(%1)"/>
      <w:numFmt w:val="lowerLetter"/>
      <w:start w:val="1"/>
    </w:lvl>
  </w:abstractNum>
  <w:abstractNum w:abstractNumId="101">
    <w:nsid w:val="217B22E4"/>
    <w:multiLevelType w:val="hybridMultilevel"/>
    <w:lvl w:ilvl="0">
      <w:lvlJc w:val="left"/>
      <w:lvlText w:val="(%1)"/>
      <w:numFmt w:val="lowerLetter"/>
      <w:start w:val="7"/>
    </w:lvl>
  </w:abstractNum>
  <w:abstractNum w:abstractNumId="102">
    <w:nsid w:val="53E31A24"/>
    <w:multiLevelType w:val="hybridMultilevel"/>
    <w:lvl w:ilvl="0">
      <w:lvlJc w:val="left"/>
      <w:lvlText w:val="(%1)"/>
      <w:numFmt w:val="decimal"/>
      <w:start w:val="1"/>
    </w:lvl>
  </w:abstractNum>
  <w:abstractNum w:abstractNumId="103">
    <w:nsid w:val="6DC45E83"/>
    <w:multiLevelType w:val="hybridMultilevel"/>
    <w:lvl w:ilvl="0">
      <w:lvlJc w:val="left"/>
      <w:lvlText w:val="(%1)"/>
      <w:numFmt w:val="lowerRoman"/>
      <w:start w:val="1"/>
    </w:lvl>
  </w:abstractNum>
  <w:abstractNum w:abstractNumId="104">
    <w:nsid w:val="17304A67"/>
    <w:multiLevelType w:val="hybridMultilevel"/>
    <w:lvl w:ilvl="0">
      <w:lvlJc w:val="left"/>
      <w:lvlText w:val="(%1)"/>
      <w:numFmt w:val="lowerRoman"/>
      <w:start w:val="6"/>
    </w:lvl>
  </w:abstractNum>
  <w:abstractNum w:abstractNumId="105">
    <w:nsid w:val="2BB180D8"/>
    <w:multiLevelType w:val="hybridMultilevel"/>
    <w:lvl w:ilvl="0">
      <w:lvlJc w:val="left"/>
      <w:lvlText w:val="(%1)"/>
      <w:numFmt w:val="lowerRoman"/>
      <w:start w:val="12"/>
    </w:lvl>
  </w:abstractNum>
  <w:abstractNum w:abstractNumId="106">
    <w:nsid w:val="556B69ED"/>
    <w:multiLevelType w:val="hybridMultilevel"/>
    <w:lvl w:ilvl="0">
      <w:lvlJc w:val="left"/>
      <w:lvlText w:val="(%1)"/>
      <w:numFmt w:val="lowerLetter"/>
      <w:start w:val="2"/>
    </w:lvl>
  </w:abstractNum>
  <w:abstractNum w:abstractNumId="107">
    <w:nsid w:val="70836196"/>
    <w:multiLevelType w:val="hybridMultilevel"/>
    <w:lvl w:ilvl="0">
      <w:lvlJc w:val="left"/>
      <w:lvlText w:val="(%1)"/>
      <w:numFmt w:val="lowerLetter"/>
      <w:start w:val="1"/>
    </w:lvl>
    <w:lvl w:ilvl="1">
      <w:lvlJc w:val="left"/>
      <w:lvlText w:val="(%2)"/>
      <w:numFmt w:val="lowerRoman"/>
      <w:start w:val="1"/>
    </w:lvl>
  </w:abstractNum>
  <w:abstractNum w:abstractNumId="108">
    <w:nsid w:val="539F7F12"/>
    <w:multiLevelType w:val="hybridMultilevel"/>
    <w:lvl w:ilvl="0">
      <w:lvlJc w:val="left"/>
      <w:lvlText w:val="(%1)"/>
      <w:numFmt w:val="lowerRoman"/>
      <w:start w:val="6"/>
    </w:lvl>
  </w:abstractNum>
  <w:abstractNum w:abstractNumId="109">
    <w:nsid w:val="2817E7EC"/>
    <w:multiLevelType w:val="hybridMultilevel"/>
    <w:lvl w:ilvl="0">
      <w:lvlJc w:val="left"/>
      <w:lvlText w:val="(%1)"/>
      <w:numFmt w:val="lowerLetter"/>
      <w:start w:val="1"/>
    </w:lvl>
  </w:abstractNum>
  <w:abstractNum w:abstractNumId="110">
    <w:nsid w:val="71482545"/>
    <w:multiLevelType w:val="hybridMultilevel"/>
    <w:lvl w:ilvl="0">
      <w:lvlJc w:val="left"/>
      <w:lvlText w:val="(%1)"/>
      <w:numFmt w:val="lowerLetter"/>
      <w:start w:val="5"/>
    </w:lvl>
  </w:abstractNum>
  <w:abstractNum w:abstractNumId="111">
    <w:nsid w:val="17D78639"/>
    <w:multiLevelType w:val="hybridMultilevel"/>
    <w:lvl w:ilvl="0">
      <w:lvlJc w:val="left"/>
      <w:lvlText w:val="(%1)"/>
      <w:numFmt w:val="lowerLetter"/>
      <w:start w:val="1"/>
    </w:lvl>
  </w:abstractNum>
  <w:abstractNum w:abstractNumId="112">
    <w:nsid w:val="141D2302"/>
    <w:multiLevelType w:val="hybridMultilevel"/>
    <w:lvl w:ilvl="0">
      <w:lvlJc w:val="left"/>
      <w:lvlText w:val="(%1)"/>
      <w:numFmt w:val="lowerRoman"/>
      <w:start w:val="1"/>
    </w:lvl>
  </w:abstractNum>
  <w:abstractNum w:abstractNumId="113">
    <w:nsid w:val="407168D8"/>
    <w:multiLevelType w:val="hybridMultilevel"/>
    <w:lvl w:ilvl="0">
      <w:lvlJc w:val="left"/>
      <w:lvlText w:val="(%1)"/>
      <w:numFmt w:val="lowerRoman"/>
      <w:start w:val="4"/>
    </w:lvl>
  </w:abstractNum>
  <w:abstractNum w:abstractNumId="114">
    <w:nsid w:val="6A1B45E5"/>
    <w:multiLevelType w:val="hybridMultilevel"/>
    <w:lvl w:ilvl="0">
      <w:lvlJc w:val="left"/>
      <w:lvlText w:val="(%1)"/>
      <w:numFmt w:val="lowerLetter"/>
      <w:start w:val="1"/>
    </w:lvl>
  </w:abstractNum>
  <w:abstractNum w:abstractNumId="115">
    <w:nsid w:val="567BD50A"/>
    <w:multiLevelType w:val="hybridMultilevel"/>
    <w:lvl w:ilvl="0">
      <w:lvlJc w:val="left"/>
      <w:lvlText w:val="%1"/>
      <w:numFmt w:val="lowerLetter"/>
      <w:start w:val="1"/>
    </w:lvl>
    <w:lvl w:ilvl="1">
      <w:lvlJc w:val="left"/>
      <w:lvlText w:val="(%2)"/>
      <w:numFmt w:val="lowerLetter"/>
      <w:start w:val="6"/>
    </w:lvl>
  </w:abstractNum>
  <w:abstractNum w:abstractNumId="116">
    <w:nsid w:val="73BBD7F8"/>
    <w:multiLevelType w:val="hybridMultilevel"/>
    <w:lvl w:ilvl="0">
      <w:lvlJc w:val="left"/>
      <w:lvlText w:val="(%1)"/>
      <w:numFmt w:val="lowerLetter"/>
      <w:start w:val="24"/>
    </w:lvl>
    <w:lvl w:ilvl="1">
      <w:lvlJc w:val="left"/>
      <w:lvlText w:val="%2"/>
      <w:numFmt w:val="lowerLetter"/>
      <w:start w:val="1"/>
    </w:lvl>
  </w:abstractNum>
  <w:abstractNum w:abstractNumId="117">
    <w:nsid w:val="1876589D"/>
    <w:multiLevelType w:val="hybridMultilevel"/>
    <w:lvl w:ilvl="0">
      <w:lvlJc w:val="left"/>
      <w:lvlText w:val="%1"/>
      <w:numFmt w:val="lowerRoman"/>
      <w:start w:val="1"/>
    </w:lvl>
    <w:lvl w:ilvl="1">
      <w:lvlJc w:val="left"/>
      <w:lvlText w:val="(%2)"/>
      <w:numFmt w:val="lowerLetter"/>
      <w:start w:val="7"/>
    </w:lvl>
  </w:abstractNum>
  <w:abstractNum w:abstractNumId="118">
    <w:nsid w:val="327FAC77"/>
    <w:multiLevelType w:val="hybridMultilevel"/>
    <w:lvl w:ilvl="0">
      <w:lvlJc w:val="left"/>
      <w:lvlText w:val="(%1)"/>
      <w:numFmt w:val="lowerRoman"/>
      <w:start w:val="14"/>
    </w:lvl>
    <w:lvl w:ilvl="1">
      <w:lvlJc w:val="left"/>
      <w:lvlText w:val="(%2)"/>
      <w:numFmt w:val="lowerLetter"/>
      <w:start w:val="12"/>
    </w:lvl>
  </w:abstractNum>
  <w:abstractNum w:abstractNumId="119">
    <w:nsid w:val="5A606509"/>
    <w:multiLevelType w:val="hybridMultilevel"/>
    <w:lvl w:ilvl="0">
      <w:lvlJc w:val="left"/>
      <w:lvlText w:val="(%1)"/>
      <w:numFmt w:val="lowerLetter"/>
      <w:start w:val="17"/>
    </w:lvl>
  </w:abstractNum>
  <w:abstractNum w:abstractNumId="120">
    <w:nsid w:val="6F38E6D1"/>
    <w:multiLevelType w:val="hybridMultilevel"/>
    <w:lvl w:ilvl="0">
      <w:lvlJc w:val="left"/>
      <w:lvlText w:val="(%1)"/>
      <w:numFmt w:val="lowerLetter"/>
      <w:start w:val="1"/>
    </w:lvl>
  </w:abstractNum>
  <w:abstractNum w:abstractNumId="121">
    <w:nsid w:val="46111BA5"/>
    <w:multiLevelType w:val="hybridMultilevel"/>
    <w:lvl w:ilvl="0">
      <w:lvlJc w:val="left"/>
      <w:lvlText w:val="(%1)"/>
      <w:numFmt w:val="lowerLetter"/>
      <w:start w:val="3"/>
    </w:lvl>
  </w:abstractNum>
  <w:abstractNum w:abstractNumId="122">
    <w:nsid w:val="5E963896"/>
    <w:multiLevelType w:val="hybridMultilevel"/>
    <w:lvl w:ilvl="0">
      <w:lvlJc w:val="left"/>
      <w:lvlText w:val="%1"/>
      <w:numFmt w:val="lowerLetter"/>
      <w:start w:val="1"/>
    </w:lvl>
    <w:lvl w:ilvl="1">
      <w:lvlJc w:val="left"/>
      <w:lvlText w:val="(%2)"/>
      <w:numFmt w:val="lowerLetter"/>
      <w:start w:val="10"/>
    </w:lvl>
  </w:abstractNum>
  <w:abstractNum w:abstractNumId="123">
    <w:nsid w:val="775BA7C1"/>
    <w:multiLevelType w:val="hybridMultilevel"/>
    <w:lvl w:ilvl="0">
      <w:lvlJc w:val="left"/>
      <w:lvlText w:val="(%1)"/>
      <w:numFmt w:val="lowerLetter"/>
      <w:start w:val="9"/>
    </w:lvl>
    <w:lvl w:ilvl="1">
      <w:lvlJc w:val="left"/>
      <w:lvlText w:val="(%2)"/>
      <w:numFmt w:val="lowerLetter"/>
      <w:start w:val="17"/>
    </w:lvl>
  </w:abstractNum>
  <w:abstractNum w:abstractNumId="124">
    <w:nsid w:val="1DD6D6F4"/>
    <w:multiLevelType w:val="hybridMultilevel"/>
    <w:lvl w:ilvl="0">
      <w:lvlJc w:val="left"/>
      <w:lvlText w:val="(%1)"/>
      <w:numFmt w:val="lowerLetter"/>
      <w:start w:val="20"/>
    </w:lvl>
  </w:abstractNum>
  <w:abstractNum w:abstractNumId="125">
    <w:nsid w:val="769A091F"/>
    <w:multiLevelType w:val="hybridMultilevel"/>
    <w:lvl w:ilvl="0">
      <w:lvlJc w:val="left"/>
      <w:lvlText w:val="(%1)"/>
      <w:numFmt w:val="lowerLetter"/>
      <w:start w:val="26"/>
    </w:lvl>
  </w:abstractNum>
  <w:abstractNum w:abstractNumId="126">
    <w:nsid w:val="4695AE95"/>
    <w:multiLevelType w:val="hybridMultilevel"/>
    <w:lvl w:ilvl="0">
      <w:lvlJc w:val="left"/>
      <w:lvlText w:val="(%1)"/>
      <w:numFmt w:val="lowerLetter"/>
      <w:start w:val="27"/>
    </w:lvl>
  </w:abstractNum>
  <w:abstractNum w:abstractNumId="127">
    <w:nsid w:val="777A4EAA"/>
    <w:multiLevelType w:val="hybridMultilevel"/>
    <w:lvl w:ilvl="0">
      <w:lvlJc w:val="left"/>
      <w:lvlText w:val="(%1)"/>
      <w:numFmt w:val="lowerLetter"/>
      <w:start w:val="29"/>
    </w:lvl>
  </w:abstractNum>
  <w:abstractNum w:abstractNumId="128">
    <w:nsid w:val="3F48B982"/>
    <w:multiLevelType w:val="hybridMultilevel"/>
    <w:lvl w:ilvl="0">
      <w:lvlJc w:val="left"/>
      <w:lvlText w:val="(%1)"/>
      <w:numFmt w:val="lowerRoman"/>
      <w:start w:val="1"/>
    </w:lvl>
  </w:abstractNum>
  <w:abstractNum w:abstractNumId="129">
    <w:nsid w:val="46BA8FCA"/>
    <w:multiLevelType w:val="hybridMultilevel"/>
    <w:lvl w:ilvl="0">
      <w:lvlJc w:val="left"/>
      <w:lvlText w:val="(%1)"/>
      <w:numFmt w:val="lowerLetter"/>
      <w:start w:val="1"/>
    </w:lvl>
  </w:abstractNum>
  <w:abstractNum w:abstractNumId="130">
    <w:nsid w:val="7835626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31">
    <w:nsid w:val="665ACA49"/>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lvl w:ilvl="3">
      <w:lvlJc w:val="left"/>
      <w:lvlText w:val="%4."/>
      <w:numFmt w:val="decimal"/>
      <w:start w:val="1"/>
    </w:lvl>
  </w:abstractNum>
  <w:abstractNum w:abstractNumId="132">
    <w:nsid w:val="6835B2A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133">
    <w:nsid w:val="4C187C90"/>
    <w:multiLevelType w:val="hybridMultilevel"/>
    <w:lvl w:ilvl="0">
      <w:lvlJc w:val="left"/>
      <w:lvlText w:val="(%1)"/>
      <w:numFmt w:val="lowerRoman"/>
      <w:start w:val="1"/>
    </w:lvl>
    <w:lvl w:ilvl="1">
      <w:lvlJc w:val="left"/>
      <w:lvlText w:val="(%2)"/>
      <w:numFmt w:val="upperLetter"/>
      <w:start w:val="1"/>
    </w:lvl>
  </w:abstractNum>
  <w:abstractNum w:abstractNumId="134">
    <w:nsid w:val="541F28CD"/>
    <w:multiLevelType w:val="hybridMultilevel"/>
    <w:lvl w:ilvl="0">
      <w:lvlJc w:val="left"/>
      <w:lvlText w:val="(%1)"/>
      <w:numFmt w:val="lowerLetter"/>
      <w:start w:val="1"/>
    </w:lvl>
  </w:abstractNum>
  <w:abstractNum w:abstractNumId="135">
    <w:nsid w:val="7F65FD16"/>
    <w:multiLevelType w:val="hybridMultilevel"/>
    <w:lvl w:ilvl="0">
      <w:lvlJc w:val="left"/>
      <w:lvlText w:val="."/>
      <w:numFmt w:val="bullet"/>
      <w:start w:val="1"/>
    </w:lvl>
  </w:abstractNum>
  <w:abstractNum w:abstractNumId="136">
    <w:nsid w:val="77C9FD68"/>
    <w:multiLevelType w:val="hybridMultilevel"/>
    <w:lvl w:ilvl="0">
      <w:lvlJc w:val="left"/>
      <w:lvlText w:val="(%1)"/>
      <w:numFmt w:val="lowerLetter"/>
      <w:start w:val="1"/>
    </w:lvl>
  </w:abstractNum>
  <w:abstractNum w:abstractNumId="137">
    <w:nsid w:val="298A92BA"/>
    <w:multiLevelType w:val="hybridMultilevel"/>
    <w:lvl w:ilvl="0">
      <w:lvlJc w:val="left"/>
      <w:lvlText w:val="(%1)"/>
      <w:numFmt w:val="lowerLetter"/>
      <w:start w:val="1"/>
    </w:lvl>
  </w:abstractNum>
  <w:abstractNum w:abstractNumId="138">
    <w:nsid w:val="6FE95EAC"/>
    <w:multiLevelType w:val="hybridMultilevel"/>
    <w:lvl w:ilvl="0">
      <w:lvlJc w:val="left"/>
      <w:lvlText w:val="(%1)"/>
      <w:numFmt w:val="lowerLetter"/>
      <w:start w:val="2"/>
    </w:lvl>
    <w:lvl w:ilvl="1">
      <w:lvlJc w:val="left"/>
      <w:lvlText w:val="(%2)"/>
      <w:numFmt w:val="lowerLetter"/>
      <w:start w:val="2"/>
    </w:lvl>
  </w:abstractNum>
  <w:abstractNum w:abstractNumId="139">
    <w:nsid w:val="4B697C7A"/>
    <w:multiLevelType w:val="hybridMultilevel"/>
    <w:lvl w:ilvl="0">
      <w:lvlJc w:val="left"/>
      <w:lvlText w:val="."/>
      <w:numFmt w:val="bullet"/>
      <w:start w:val="1"/>
    </w:lvl>
  </w:abstractNum>
  <w:abstractNum w:abstractNumId="140">
    <w:nsid w:val="51A27AA6"/>
    <w:multiLevelType w:val="hybridMultilevel"/>
    <w:lvl w:ilvl="0">
      <w:lvlJc w:val="left"/>
      <w:lvlText w:val="."/>
      <w:numFmt w:val="bullet"/>
      <w:start w:val="1"/>
    </w:lvl>
  </w:abstractNum>
  <w:abstractNum w:abstractNumId="141">
    <w:nsid w:val="613183F2"/>
    <w:multiLevelType w:val="hybridMultilevel"/>
    <w:lvl w:ilvl="0">
      <w:lvlJc w:val="left"/>
      <w:lvlText w:val="."/>
      <w:numFmt w:val="bullet"/>
      <w:start w:val="1"/>
    </w:lvl>
  </w:abstractNum>
  <w:abstractNum w:abstractNumId="142">
    <w:nsid w:val="634102B4"/>
    <w:multiLevelType w:val="hybridMultilevel"/>
    <w:lvl w:ilvl="0">
      <w:lvlJc w:val="left"/>
      <w:lvlText w:val="."/>
      <w:numFmt w:val="bullet"/>
      <w:start w:val="1"/>
    </w:lvl>
  </w:abstractNum>
  <w:abstractNum w:abstractNumId="143">
    <w:nsid w:val="65BF9DA8"/>
    <w:multiLevelType w:val="hybridMultilevel"/>
    <w:lvl w:ilvl="0">
      <w:lvlJc w:val="left"/>
      <w:lvlText w:val="(%1)"/>
      <w:numFmt w:val="lowerLetter"/>
      <w:start w:val="1"/>
    </w:lvl>
  </w:abstractNum>
  <w:abstractNum w:abstractNumId="144">
    <w:nsid w:val="21A2ECCA"/>
    <w:multiLevelType w:val="hybridMultilevel"/>
    <w:lvl w:ilvl="0">
      <w:lvlJc w:val="left"/>
      <w:lvlText w:val="."/>
      <w:numFmt w:val="bullet"/>
      <w:start w:val="1"/>
    </w:lvl>
    <w:lvl w:ilvl="1">
      <w:lvlJc w:val="left"/>
      <w:lvlText w:val="(%2)"/>
      <w:numFmt w:val="lowerRoman"/>
      <w:start w:val="1"/>
    </w:lvl>
  </w:abstractNum>
  <w:abstractNum w:abstractNumId="145">
    <w:nsid w:val="4D5C4899"/>
    <w:multiLevelType w:val="hybridMultilevel"/>
    <w:lvl w:ilvl="0">
      <w:lvlJc w:val="left"/>
      <w:lvlText w:val="(%1)"/>
      <w:numFmt w:val="lowerRoman"/>
      <w:start w:val="3"/>
    </w:lvl>
  </w:abstractNum>
  <w:abstractNum w:abstractNumId="146">
    <w:nsid w:val="3C3B72B2"/>
    <w:multiLevelType w:val="hybridMultilevel"/>
    <w:lvl w:ilvl="0">
      <w:lvlJc w:val="left"/>
      <w:lvlText w:val="(%1)"/>
      <w:numFmt w:val="lowerRoman"/>
      <w:start w:val="1"/>
    </w:lvl>
  </w:abstractNum>
  <w:abstractNum w:abstractNumId="147">
    <w:nsid w:val="155EC4C2"/>
    <w:multiLevelType w:val="hybridMultilevel"/>
    <w:lvl w:ilvl="0">
      <w:lvlJc w:val="left"/>
      <w:lvlText w:val="(%1)"/>
      <w:numFmt w:val="lowerRoman"/>
      <w:start w:val="2"/>
    </w:lvl>
  </w:abstractNum>
  <w:abstractNum w:abstractNumId="148">
    <w:nsid w:val="65D2A137"/>
    <w:multiLevelType w:val="hybridMultilevel"/>
    <w:lvl w:ilvl="0">
      <w:lvlJc w:val="left"/>
      <w:lvlText w:val="(%1)"/>
      <w:numFmt w:val="lowerLetter"/>
      <w:start w:val="1"/>
    </w:lvl>
  </w:abstractNum>
  <w:abstractNum w:abstractNumId="149">
    <w:nsid w:val="6EBB1F2A"/>
    <w:multiLevelType w:val="hybridMultilevel"/>
    <w:lvl w:ilvl="0">
      <w:lvlJc w:val="left"/>
      <w:lvlText w:val="(%1)"/>
      <w:numFmt w:val="lowerLetter"/>
      <w:start w:val="2"/>
    </w:lvl>
    <w:lvl w:ilvl="1">
      <w:lvlJc w:val="left"/>
      <w:lvlText w:val="(%2)"/>
      <w:numFmt w:val="lowerRoman"/>
      <w:start w:val="1"/>
    </w:lvl>
  </w:abstractNum>
  <w:abstractNum w:abstractNumId="150">
    <w:nsid w:val="6FBF29CB"/>
    <w:multiLevelType w:val="hybridMultilevel"/>
    <w:lvl w:ilvl="0">
      <w:lvlJc w:val="left"/>
      <w:lvlText w:val="(%1)"/>
      <w:numFmt w:val="lowerRoman"/>
      <w:start w:val="5"/>
    </w:lvl>
  </w:abstractNum>
  <w:abstractNum w:abstractNumId="151">
    <w:nsid w:val="550B8808"/>
    <w:multiLevelType w:val="hybridMultilevel"/>
    <w:lvl w:ilvl="0">
      <w:lvlJc w:val="left"/>
      <w:lvlText w:val="(%1)"/>
      <w:numFmt w:val="lowerLetter"/>
      <w:start w:val="1"/>
    </w:lvl>
  </w:abstractNum>
  <w:abstractNum w:abstractNumId="152">
    <w:nsid w:val="34CC3ACF"/>
    <w:multiLevelType w:val="hybridMultilevel"/>
    <w:lvl w:ilvl="0">
      <w:lvlJc w:val="left"/>
      <w:lvlText w:val="%1"/>
      <w:numFmt w:val="upperLetter"/>
      <w:start w:val="1"/>
    </w:lvl>
    <w:lvl w:ilvl="1">
      <w:lvlJc w:val="left"/>
      <w:lvlText w:val="(%2)"/>
      <w:numFmt w:val="lowerLetter"/>
      <w:start w:val="2"/>
    </w:lvl>
  </w:abstractNum>
  <w:abstractNum w:abstractNumId="153">
    <w:nsid w:val="4E556261"/>
    <w:multiLevelType w:val="hybridMultilevel"/>
    <w:lvl w:ilvl="0">
      <w:lvlJc w:val="left"/>
      <w:lvlText w:val="(%1)"/>
      <w:numFmt w:val="upperLetter"/>
      <w:start w:val="3"/>
    </w:lvl>
    <w:lvl w:ilvl="1">
      <w:lvlJc w:val="left"/>
      <w:lvlText w:val="%2"/>
      <w:numFmt w:val="lowerLetter"/>
      <w:start w:val="1"/>
    </w:lvl>
  </w:abstractNum>
  <w:abstractNum w:abstractNumId="154">
    <w:nsid w:val="4C672FC9"/>
    <w:multiLevelType w:val="hybridMultilevel"/>
    <w:lvl w:ilvl="0">
      <w:lvlJc w:val="left"/>
      <w:lvlText w:val="(%1)"/>
      <w:numFmt w:val="lowerLetter"/>
      <w:start w:val="3"/>
    </w:lvl>
  </w:abstractNum>
  <w:abstractNum w:abstractNumId="155">
    <w:nsid w:val="52A311C3"/>
    <w:multiLevelType w:val="hybridMultilevel"/>
    <w:lvl w:ilvl="0">
      <w:lvlJc w:val="left"/>
      <w:lvlText w:val="(%1)"/>
      <w:numFmt w:val="lowerLetter"/>
      <w:start w:val="4"/>
    </w:lvl>
  </w:abstractNum>
  <w:abstractNum w:abstractNumId="156">
    <w:nsid w:val="44EF6B80"/>
    <w:multiLevelType w:val="hybridMultilevel"/>
    <w:lvl w:ilvl="0">
      <w:lvlJc w:val="left"/>
      <w:lvlText w:val="(%1)"/>
      <w:numFmt w:val="lowerLetter"/>
      <w:start w:val="1"/>
    </w:lvl>
  </w:abstractNum>
  <w:abstractNum w:abstractNumId="157">
    <w:nsid w:val="12FCDE5E"/>
    <w:multiLevelType w:val="hybridMultilevel"/>
    <w:lvl w:ilvl="0">
      <w:lvlJc w:val="left"/>
      <w:lvlText w:val="(%1)"/>
      <w:numFmt w:val="lowerLetter"/>
      <w:start w:val="2"/>
    </w:lvl>
  </w:abstractNum>
  <w:abstractNum w:abstractNumId="158">
    <w:nsid w:val="4A1D606E"/>
    <w:multiLevelType w:val="hybridMultilevel"/>
    <w:lvl w:ilvl="0">
      <w:lvlJc w:val="left"/>
      <w:lvlText w:val="(%1)"/>
      <w:numFmt w:val="lowerLetter"/>
      <w:start w:val="3"/>
    </w:lvl>
    <w:lvl w:ilvl="1">
      <w:lvlJc w:val="left"/>
      <w:lvlText w:val="(%2)"/>
      <w:numFmt w:val="lowerLetter"/>
      <w:start w:val="9"/>
    </w:lvl>
  </w:abstractNum>
  <w:abstractNum w:abstractNumId="159">
    <w:nsid w:val="4382503"/>
    <w:multiLevelType w:val="hybridMultilevel"/>
    <w:lvl w:ilvl="0">
      <w:lvlJc w:val="left"/>
      <w:lvlText w:val="%1"/>
      <w:numFmt w:val="lowerLetter"/>
      <w:start w:val="1"/>
    </w:lvl>
    <w:lvl w:ilvl="1">
      <w:lvlJc w:val="left"/>
      <w:lvlText w:val="(%2)"/>
      <w:numFmt w:val="lowerLetter"/>
      <w:start w:val="35"/>
    </w:lvl>
  </w:abstractNum>
  <w:abstractNum w:abstractNumId="160">
    <w:nsid w:val="59B76E28"/>
    <w:multiLevelType w:val="hybridMultilevel"/>
    <w:lvl w:ilvl="0">
      <w:lvlJc w:val="left"/>
      <w:lvlText w:val="(%1)"/>
      <w:numFmt w:val="lowerLetter"/>
      <w:start w:val="6"/>
    </w:lvl>
    <w:lvl w:ilvl="1">
      <w:lvlJc w:val="left"/>
      <w:lvlText w:val="%2"/>
      <w:numFmt w:val="lowerLetter"/>
      <w:start w:val="1"/>
    </w:lvl>
  </w:abstractNum>
  <w:abstractNum w:abstractNumId="161">
    <w:nsid w:val="4252C2DA"/>
    <w:multiLevelType w:val="hybridMultilevel"/>
    <w:lvl w:ilvl="0">
      <w:lvlJc w:val="left"/>
      <w:lvlText w:val="(%1)"/>
      <w:numFmt w:val="lowerLetter"/>
      <w:start w:val="7"/>
    </w:lvl>
    <w:lvl w:ilvl="1">
      <w:lvlJc w:val="left"/>
      <w:lvlText w:val="(%2)"/>
      <w:numFmt w:val="lowerLetter"/>
      <w:start w:val="9"/>
    </w:lvl>
  </w:abstractNum>
  <w:abstractNum w:abstractNumId="162">
    <w:nsid w:val="6A92EF4C"/>
    <w:multiLevelType w:val="hybridMultilevel"/>
    <w:lvl w:ilvl="0">
      <w:lvlJc w:val="left"/>
      <w:lvlText w:val="(%1)"/>
      <w:numFmt w:val="decimal"/>
      <w:start w:val="2"/>
    </w:lvl>
    <w:lvl w:ilvl="1">
      <w:lvlJc w:val="left"/>
      <w:lvlText w:val="(%2)"/>
      <w:numFmt w:val="lowerRoman"/>
      <w:start w:val="2"/>
    </w:lvl>
  </w:abstractNum>
  <w:abstractNum w:abstractNumId="163">
    <w:nsid w:val="41ED20D7"/>
    <w:multiLevelType w:val="hybridMultilevel"/>
    <w:lvl w:ilvl="0">
      <w:lvlJc w:val="left"/>
      <w:lvlText w:val="(%1)"/>
      <w:numFmt w:val="lowerLetter"/>
      <w:start w:val="10"/>
    </w:lvl>
  </w:abstractNum>
  <w:abstractNum w:abstractNumId="164">
    <w:nsid w:val="E6B3F6A"/>
    <w:multiLevelType w:val="hybridMultilevel"/>
    <w:lvl w:ilvl="0">
      <w:lvlJc w:val="left"/>
      <w:lvlText w:val="(%1)"/>
      <w:numFmt w:val="lowerLetter"/>
      <w:start w:val="12"/>
    </w:lvl>
  </w:abstractNum>
  <w:abstractNum w:abstractNumId="165">
    <w:nsid w:val="3EB21819"/>
    <w:multiLevelType w:val="hybridMultilevel"/>
    <w:lvl w:ilvl="0">
      <w:lvlJc w:val="left"/>
      <w:lvlText w:val="."/>
      <w:numFmt w:val="bullet"/>
      <w:start w:val="1"/>
    </w:lvl>
  </w:abstractNum>
  <w:abstractNum w:abstractNumId="166">
    <w:nsid w:val="41531DED"/>
    <w:multiLevelType w:val="hybridMultilevel"/>
    <w:lvl w:ilvl="0">
      <w:lvlJc w:val="left"/>
      <w:lvlText w:val="(%1)"/>
      <w:numFmt w:val="lowerLetter"/>
      <w:start w:val="1"/>
    </w:lvl>
  </w:abstractNum>
  <w:abstractNum w:abstractNumId="167">
    <w:nsid w:val="6353CD2"/>
    <w:multiLevelType w:val="hybridMultilevel"/>
    <w:lvl w:ilvl="0">
      <w:lvlJc w:val="left"/>
      <w:lvlText w:val="(%1)"/>
      <w:numFmt w:val="lowerLetter"/>
      <w:start w:val="4"/>
    </w:lvl>
  </w:abstractNum>
  <w:abstractNum w:abstractNumId="168">
    <w:nsid w:val="683CAAD3"/>
    <w:multiLevelType w:val="hybridMultilevel"/>
    <w:lvl w:ilvl="0">
      <w:lvlJc w:val="left"/>
      <w:lvlText w:val=";"/>
      <w:numFmt w:val="bullet"/>
      <w:start w:val="1"/>
    </w:lvl>
    <w:lvl w:ilvl="1">
      <w:lvlJc w:val="left"/>
      <w:lvlText w:val="(%2)"/>
      <w:numFmt w:val="lowerLetter"/>
      <w:start w:val="8"/>
    </w:lvl>
  </w:abstractNum>
  <w:abstractNum w:abstractNumId="169">
    <w:nsid w:val="313C7C99"/>
    <w:multiLevelType w:val="hybridMultilevel"/>
    <w:lvl w:ilvl="0">
      <w:lvlJc w:val="left"/>
      <w:lvlText w:val=";"/>
      <w:numFmt w:val="bullet"/>
      <w:start w:val="1"/>
    </w:lvl>
    <w:lvl w:ilvl="1">
      <w:lvlJc w:val="left"/>
      <w:lvlText w:val="(%2)"/>
      <w:numFmt w:val="lowerLetter"/>
      <w:start w:val="10"/>
    </w:lvl>
  </w:abstractNum>
  <w:abstractNum w:abstractNumId="170">
    <w:nsid w:val="519EB94C"/>
    <w:multiLevelType w:val="hybridMultilevel"/>
    <w:lvl w:ilvl="0">
      <w:lvlJc w:val="left"/>
      <w:lvlText w:val="(%1)"/>
      <w:numFmt w:val="lowerLetter"/>
      <w:start w:val="1"/>
    </w:lvl>
  </w:abstractNum>
  <w:abstractNum w:abstractNumId="171">
    <w:nsid w:val="39DF2579"/>
    <w:multiLevelType w:val="hybridMultilevel"/>
    <w:lvl w:ilvl="0">
      <w:lvlJc w:val="left"/>
      <w:lvlText w:val="(%1)"/>
      <w:numFmt w:val="lowerLetter"/>
      <w:start w:val="3"/>
    </w:lvl>
  </w:abstractNum>
  <w:abstractNum w:abstractNumId="172">
    <w:nsid w:val="126E008B"/>
    <w:multiLevelType w:val="hybridMultilevel"/>
    <w:lvl w:ilvl="0">
      <w:lvlJc w:val="left"/>
      <w:lvlText w:val="(%1)"/>
      <w:numFmt w:val="lowerLetter"/>
      <w:start w:val="1"/>
    </w:lvl>
  </w:abstractNum>
  <w:abstractNum w:abstractNumId="173">
    <w:nsid w:val="34DFBC00"/>
    <w:multiLevelType w:val="hybridMultilevel"/>
    <w:lvl w:ilvl="0">
      <w:lvlJc w:val="left"/>
      <w:lvlText w:val="(%1)"/>
      <w:numFmt w:val="lowerLetter"/>
      <w:start w:val="3"/>
    </w:lvl>
    <w:lvl w:ilvl="1">
      <w:lvlJc w:val="left"/>
      <w:lvlText w:val="(%2)"/>
      <w:numFmt w:val="lowerRoman"/>
      <w:start w:val="1"/>
    </w:lvl>
  </w:abstractNum>
  <w:abstractNum w:abstractNumId="174">
    <w:nsid w:val="1F9EC322"/>
    <w:multiLevelType w:val="hybridMultilevel"/>
    <w:lvl w:ilvl="0">
      <w:lvlJc w:val="left"/>
      <w:lvlText w:val="(%1)"/>
      <w:numFmt w:val="lowerLetter"/>
      <w:start w:val="1"/>
    </w:lvl>
  </w:abstractNum>
  <w:abstractNum w:abstractNumId="175">
    <w:nsid w:val="3410ED56"/>
    <w:multiLevelType w:val="hybridMultilevel"/>
    <w:lvl w:ilvl="0">
      <w:lvlJc w:val="left"/>
      <w:lvlText w:val="(%1)"/>
      <w:numFmt w:val="lowerLetter"/>
      <w:start w:val="24"/>
    </w:lvl>
    <w:lvl w:ilvl="1">
      <w:lvlJc w:val="left"/>
      <w:lvlText w:val="(%2)"/>
      <w:numFmt w:val="lowerLetter"/>
      <w:start w:val="3"/>
    </w:lvl>
  </w:abstractNum>
  <w:abstractNum w:abstractNumId="176">
    <w:nsid w:val="23C049A"/>
    <w:multiLevelType w:val="hybridMultilevel"/>
    <w:lvl w:ilvl="0">
      <w:lvlJc w:val="left"/>
      <w:lvlText w:val="(%1)"/>
      <w:numFmt w:val="lowerLetter"/>
      <w:start w:val="9"/>
    </w:lvl>
    <w:lvl w:ilvl="1">
      <w:lvlJc w:val="left"/>
      <w:lvlText w:val="(%2)"/>
      <w:numFmt w:val="lowerLetter"/>
      <w:start w:val="4"/>
    </w:lvl>
  </w:abstractNum>
  <w:abstractNum w:abstractNumId="177">
    <w:nsid w:val="5BDA35D4"/>
    <w:multiLevelType w:val="hybridMultilevel"/>
    <w:lvl w:ilvl="0">
      <w:lvlJc w:val="left"/>
      <w:lvlText w:val="(%1)"/>
      <w:numFmt w:val="lowerLetter"/>
      <w:start w:val="1"/>
    </w:lvl>
  </w:abstractNum>
  <w:abstractNum w:abstractNumId="178">
    <w:nsid w:val="496FB218"/>
    <w:multiLevelType w:val="hybridMultilevel"/>
    <w:lvl w:ilvl="0">
      <w:lvlJc w:val="left"/>
      <w:lvlText w:val="(%1)"/>
      <w:numFmt w:val="lowerRoman"/>
      <w:start w:val="2"/>
    </w:lvl>
  </w:abstractNum>
  <w:abstractNum w:abstractNumId="179">
    <w:nsid w:val="680EA5D1"/>
    <w:multiLevelType w:val="hybridMultilevel"/>
    <w:lvl w:ilvl="0">
      <w:lvlJc w:val="left"/>
      <w:lvlText w:val="%1"/>
      <w:numFmt w:val="lowerLetter"/>
      <w:start w:val="1"/>
    </w:lvl>
    <w:lvl w:ilvl="1">
      <w:lvlJc w:val="left"/>
      <w:lvlText w:val="(%2)"/>
      <w:numFmt w:val="lowerLetter"/>
      <w:start w:val="61"/>
    </w:lvl>
  </w:abstractNum>
  <w:abstractNum w:abstractNumId="180">
    <w:nsid w:val="4A9554FE"/>
    <w:multiLevelType w:val="hybridMultilevel"/>
    <w:lvl w:ilvl="0">
      <w:lvlJc w:val="left"/>
      <w:lvlText w:val="(%1)"/>
      <w:numFmt w:val="lowerLetter"/>
      <w:start w:val="3"/>
    </w:lvl>
    <w:lvl w:ilvl="1">
      <w:lvlJc w:val="left"/>
      <w:lvlText w:val="%2"/>
      <w:numFmt w:val="lowerLetter"/>
      <w:start w:val="1"/>
    </w:lvl>
  </w:abstractNum>
  <w:abstractNum w:abstractNumId="181">
    <w:nsid w:val="392EDBE4"/>
    <w:multiLevelType w:val="hybridMultilevel"/>
    <w:lvl w:ilvl="0">
      <w:lvlJc w:val="left"/>
      <w:lvlText w:val="(%1)"/>
      <w:numFmt w:val="lowerLetter"/>
      <w:start w:val="1"/>
    </w:lvl>
    <w:lvl w:ilvl="1">
      <w:lvlJc w:val="left"/>
      <w:lvlText w:val="(%2)"/>
      <w:numFmt w:val="lowerRoman"/>
      <w:start w:val="1"/>
    </w:lvl>
  </w:abstractNum>
  <w:abstractNum w:abstractNumId="182">
    <w:nsid w:val="3D1A2DD9"/>
    <w:multiLevelType w:val="hybridMultilevel"/>
    <w:lvl w:ilvl="0">
      <w:lvlJc w:val="left"/>
      <w:lvlText w:val="%1"/>
      <w:numFmt w:val="upperLetter"/>
      <w:start w:val="1"/>
    </w:lvl>
    <w:lvl w:ilvl="1">
      <w:lvlJc w:val="left"/>
      <w:lvlText w:val="(%2)"/>
      <w:numFmt w:val="upperLetter"/>
      <w:start w:val="1"/>
    </w:lvl>
  </w:abstractNum>
  <w:abstractNum w:abstractNumId="183">
    <w:nsid w:val="7F618FCD"/>
    <w:multiLevelType w:val="hybridMultilevel"/>
    <w:lvl w:ilvl="0">
      <w:lvlJc w:val="left"/>
      <w:lvlText w:val="(%1)"/>
      <w:numFmt w:val="upperLetter"/>
      <w:start w:val="2"/>
    </w:lvl>
    <w:lvl w:ilvl="1">
      <w:lvlJc w:val="left"/>
      <w:lvlText w:val="%2"/>
      <w:numFmt w:val="upperLetter"/>
      <w:start w:val="1"/>
    </w:lvl>
  </w:abstractNum>
  <w:abstractNum w:abstractNumId="184">
    <w:nsid w:val="7843E45"/>
    <w:multiLevelType w:val="hybridMultilevel"/>
    <w:lvl w:ilvl="0">
      <w:lvlJc w:val="left"/>
      <w:lvlText w:val="(%1)"/>
      <w:numFmt w:val="upperLetter"/>
      <w:start w:val="6"/>
    </w:lvl>
  </w:abstractNum>
  <w:abstractNum w:abstractNumId="185">
    <w:nsid w:val="9815DA3"/>
    <w:multiLevelType w:val="hybridMultilevel"/>
    <w:lvl w:ilvl="0">
      <w:lvlJc w:val="left"/>
      <w:lvlText w:val="(%1)"/>
      <w:numFmt w:val="lowerLetter"/>
      <w:start w:val="2"/>
    </w:lvl>
    <w:lvl w:ilvl="1">
      <w:lvlJc w:val="left"/>
      <w:lvlText w:val="(%2)"/>
      <w:numFmt w:val="lowerRoman"/>
      <w:start w:val="1"/>
    </w:lvl>
  </w:abstractNum>
  <w:abstractNum w:abstractNumId="186">
    <w:nsid w:val="5204A191"/>
    <w:multiLevelType w:val="hybridMultilevel"/>
    <w:lvl w:ilvl="0">
      <w:lvlJc w:val="left"/>
      <w:lvlText w:val="(%1)"/>
      <w:numFmt w:val="lowerRoman"/>
      <w:start w:val="3"/>
    </w:lvl>
  </w:abstractNum>
  <w:abstractNum w:abstractNumId="187">
    <w:nsid w:val="4C73A9C6"/>
    <w:multiLevelType w:val="hybridMultilevel"/>
    <w:lvl w:ilvl="0">
      <w:lvlJc w:val="left"/>
      <w:lvlText w:val="(%1)"/>
      <w:numFmt w:val="lowerLetter"/>
      <w:start w:val="1"/>
    </w:lvl>
  </w:abstractNum>
  <w:abstractNum w:abstractNumId="188">
    <w:nsid w:val="1C7E3C01"/>
    <w:multiLevelType w:val="hybridMultilevel"/>
    <w:lvl w:ilvl="0">
      <w:lvlJc w:val="left"/>
      <w:lvlText w:val="(%1)"/>
      <w:numFmt w:val="lowerLetter"/>
      <w:start w:val="1"/>
    </w:lvl>
  </w:abstractNum>
  <w:abstractNum w:abstractNumId="189">
    <w:nsid w:val="1C2201FF"/>
    <w:multiLevelType w:val="hybridMultilevel"/>
    <w:lvl w:ilvl="0">
      <w:lvlJc w:val="left"/>
      <w:lvlText w:val="(%1)"/>
      <w:numFmt w:val="lowerLetter"/>
      <w:start w:val="4"/>
    </w:lvl>
  </w:abstractNum>
  <w:abstractNum w:abstractNumId="190">
    <w:nsid w:val="50ABCEC9"/>
    <w:multiLevelType w:val="hybridMultilevel"/>
    <w:lvl w:ilvl="0">
      <w:lvlJc w:val="left"/>
      <w:lvlText w:val="(%1)"/>
      <w:numFmt w:val="lowerLetter"/>
      <w:start w:val="1"/>
    </w:lvl>
  </w:abstractNum>
  <w:abstractNum w:abstractNumId="191">
    <w:nsid w:val="7635AA2A"/>
    <w:multiLevelType w:val="hybridMultilevel"/>
    <w:lvl w:ilvl="0">
      <w:lvlJc w:val="left"/>
      <w:lvlText w:val="%1"/>
      <w:numFmt w:val="lowerLetter"/>
      <w:start w:val="1"/>
    </w:lvl>
    <w:lvl w:ilvl="1">
      <w:lvlJc w:val="left"/>
      <w:lvlText w:val="(%2)"/>
      <w:numFmt w:val="lowerRoman"/>
      <w:start w:val="1"/>
    </w:lvl>
  </w:abstractNum>
  <w:abstractNum w:abstractNumId="192">
    <w:nsid w:val="5E74C4D9"/>
    <w:multiLevelType w:val="hybridMultilevel"/>
    <w:lvl w:ilvl="0">
      <w:lvlJc w:val="left"/>
      <w:lvlText w:val="(%1)"/>
      <w:numFmt w:val="lowerLetter"/>
      <w:start w:val="3"/>
    </w:lvl>
    <w:lvl w:ilvl="1">
      <w:lvlJc w:val="left"/>
      <w:lvlText w:val="(%2)"/>
      <w:numFmt w:val="lowerRoman"/>
      <w:start w:val="1"/>
    </w:lvl>
  </w:abstractNum>
  <w:abstractNum w:abstractNumId="193">
    <w:nsid w:val="3B3EBE15"/>
    <w:multiLevelType w:val="hybridMultilevel"/>
    <w:lvl w:ilvl="0">
      <w:lvlJc w:val="left"/>
      <w:lvlText w:val="(%1)"/>
      <w:numFmt w:val="upperLetter"/>
      <w:start w:val="1"/>
    </w:lvl>
  </w:abstractNum>
  <w:abstractNum w:abstractNumId="194">
    <w:nsid w:val="3822CB01"/>
    <w:multiLevelType w:val="hybridMultilevel"/>
    <w:lvl w:ilvl="0">
      <w:lvlJc w:val="left"/>
      <w:lvlText w:val="(%1)"/>
      <w:numFmt w:val="upperLetter"/>
      <w:start w:val="3"/>
    </w:lvl>
  </w:abstractNum>
  <w:abstractNum w:abstractNumId="195">
    <w:nsid w:val="6CE00443"/>
    <w:multiLevelType w:val="hybridMultilevel"/>
    <w:lvl w:ilvl="0">
      <w:lvlJc w:val="left"/>
      <w:lvlText w:val="%1"/>
      <w:numFmt w:val="lowerLetter"/>
      <w:start w:val="1"/>
    </w:lvl>
    <w:lvl w:ilvl="1">
      <w:lvlJc w:val="left"/>
      <w:lvlText w:val="(%2)"/>
      <w:numFmt w:val="lowerRoman"/>
      <w:start w:val="2"/>
    </w:lvl>
  </w:abstractNum>
  <w:abstractNum w:abstractNumId="196">
    <w:nsid w:val="79F0D62F"/>
    <w:multiLevelType w:val="hybridMultilevel"/>
    <w:lvl w:ilvl="0">
      <w:lvlJc w:val="left"/>
      <w:lvlText w:val="(%1)"/>
      <w:numFmt w:val="lowerLetter"/>
      <w:start w:val="4"/>
    </w:lvl>
    <w:lvl w:ilvl="1">
      <w:lvlJc w:val="left"/>
      <w:lvlText w:val="%2"/>
      <w:numFmt w:val="lowerRoman"/>
      <w:start w:val="1"/>
    </w:lvl>
  </w:abstractNum>
  <w:abstractNum w:abstractNumId="197">
    <w:nsid w:val="7975E8EE"/>
    <w:multiLevelType w:val="hybridMultilevel"/>
    <w:lvl w:ilvl="0">
      <w:lvlJc w:val="left"/>
      <w:lvlText w:val="(%1)"/>
      <w:numFmt w:val="lowerLetter"/>
      <w:start w:val="5"/>
    </w:lvl>
    <w:lvl w:ilvl="1">
      <w:lvlJc w:val="left"/>
      <w:lvlText w:val="(%2)"/>
      <w:numFmt w:val="lowerLetter"/>
      <w:start w:val="9"/>
    </w:lvl>
  </w:abstractNum>
  <w:abstractNum w:abstractNumId="198">
    <w:nsid w:val="73154115"/>
    <w:multiLevelType w:val="hybridMultilevel"/>
    <w:lvl w:ilvl="0">
      <w:lvlJc w:val="left"/>
      <w:lvlText w:val="%1"/>
      <w:numFmt w:val="lowerLetter"/>
      <w:start w:val="1"/>
    </w:lvl>
    <w:lvl w:ilvl="1">
      <w:lvlJc w:val="left"/>
      <w:lvlText w:val="(%2)"/>
      <w:numFmt w:val="lowerLetter"/>
      <w:start w:val="35"/>
    </w:lvl>
  </w:abstractNum>
  <w:abstractNum w:abstractNumId="199">
    <w:nsid w:val="622D8102"/>
    <w:multiLevelType w:val="hybridMultilevel"/>
    <w:lvl w:ilvl="0">
      <w:lvlJc w:val="left"/>
      <w:lvlText w:val="(%1)"/>
      <w:numFmt w:val="lowerLetter"/>
      <w:start w:val="6"/>
    </w:lvl>
    <w:lvl w:ilvl="1">
      <w:lvlJc w:val="left"/>
      <w:lvlText w:val="(%2)"/>
      <w:numFmt w:val="lowerLetter"/>
      <w:start w:val="9"/>
    </w:lvl>
  </w:abstractNum>
  <w:abstractNum w:abstractNumId="200">
    <w:nsid w:val="2AB26587"/>
    <w:multiLevelType w:val="hybridMultilevel"/>
    <w:lvl w:ilvl="0">
      <w:lvlJc w:val="left"/>
      <w:lvlText w:val="(%1)"/>
      <w:numFmt w:val="lowerRoman"/>
      <w:start w:val="2"/>
    </w:lvl>
  </w:abstractNum>
  <w:abstractNum w:abstractNumId="201">
    <w:nsid w:val="44B3FA61"/>
    <w:multiLevelType w:val="hybridMultilevel"/>
    <w:lvl w:ilvl="0">
      <w:lvlJc w:val="left"/>
      <w:lvlText w:val="(%1)"/>
      <w:numFmt w:val="lowerLetter"/>
      <w:start w:val="25"/>
    </w:lvl>
  </w:abstractNum>
  <w:abstractNum w:abstractNumId="202">
    <w:nsid w:val="1C0CA67C"/>
    <w:multiLevelType w:val="hybridMultilevel"/>
    <w:lvl w:ilvl="0">
      <w:lvlJc w:val="left"/>
      <w:lvlText w:val="(%1)"/>
      <w:numFmt w:val="lowerLetter"/>
      <w:start w:val="1"/>
    </w:lvl>
  </w:abstractNum>
  <w:abstractNum w:abstractNumId="203">
    <w:nsid w:val="3D206613"/>
    <w:multiLevelType w:val="hybridMultilevel"/>
    <w:lvl w:ilvl="0">
      <w:lvlJc w:val="left"/>
      <w:lvlText w:val="(%1)"/>
      <w:numFmt w:val="lowerLetter"/>
      <w:start w:val="2"/>
    </w:lvl>
    <w:lvl w:ilvl="1">
      <w:lvlJc w:val="left"/>
      <w:lvlText w:val="(%2)"/>
      <w:numFmt w:val="lowerLetter"/>
      <w:start w:val="9"/>
    </w:lvl>
  </w:abstractNum>
  <w:abstractNum w:abstractNumId="204">
    <w:nsid w:val="7993B662"/>
    <w:multiLevelType w:val="hybridMultilevel"/>
    <w:lvl w:ilvl="0">
      <w:lvlJc w:val="left"/>
      <w:lvlText w:val="(%1)"/>
      <w:numFmt w:val="upperLetter"/>
      <w:start w:val="1"/>
    </w:lvl>
  </w:abstractNum>
  <w:abstractNum w:abstractNumId="205">
    <w:nsid w:val="3BAB699E"/>
    <w:multiLevelType w:val="hybridMultilevel"/>
    <w:lvl w:ilvl="0">
      <w:lvlJc w:val="left"/>
      <w:lvlText w:val="(%1)"/>
      <w:numFmt w:val="upperLetter"/>
      <w:start w:val="1"/>
    </w:lvl>
    <w:lvl w:ilvl="1">
      <w:lvlJc w:val="left"/>
      <w:lvlText w:val="(%2)"/>
      <w:numFmt w:val="lowerRoman"/>
      <w:start w:val="1"/>
    </w:lvl>
  </w:abstractNum>
  <w:abstractNum w:abstractNumId="206">
    <w:nsid w:val="71315369"/>
    <w:multiLevelType w:val="hybridMultilevel"/>
    <w:lvl w:ilvl="0">
      <w:lvlJc w:val="left"/>
      <w:lvlText w:val="(%1)"/>
      <w:numFmt w:val="lowerRoman"/>
      <w:start w:val="2"/>
    </w:lvl>
  </w:abstractNum>
  <w:abstractNum w:abstractNumId="207">
    <w:nsid w:val="7BCFBAFC"/>
    <w:multiLevelType w:val="hybridMultilevel"/>
    <w:lvl w:ilvl="0">
      <w:lvlJc w:val="left"/>
      <w:lvlText w:val="(%1)"/>
      <w:numFmt w:val="upperLetter"/>
      <w:start w:val="1"/>
    </w:lvl>
    <w:lvl w:ilvl="1">
      <w:lvlJc w:val="left"/>
      <w:lvlText w:val="(%2)"/>
      <w:numFmt w:val="decimal"/>
      <w:start w:val="2"/>
    </w:lvl>
  </w:abstractNum>
  <w:abstractNum w:abstractNumId="208">
    <w:nsid w:val="17859F72"/>
    <w:multiLevelType w:val="hybridMultilevel"/>
    <w:lvl w:ilvl="0">
      <w:lvlJc w:val="left"/>
      <w:lvlText w:val="(%1)"/>
      <w:numFmt w:val="lowerRoman"/>
      <w:start w:val="4"/>
    </w:lvl>
  </w:abstractNum>
  <w:abstractNum w:abstractNumId="209">
    <w:nsid w:val="3AA10581"/>
    <w:multiLevelType w:val="hybridMultilevel"/>
    <w:lvl w:ilvl="0">
      <w:lvlJc w:val="left"/>
      <w:lvlText w:val="%1"/>
      <w:numFmt w:val="lowerLetter"/>
      <w:start w:val="1"/>
    </w:lvl>
    <w:lvl w:ilvl="1">
      <w:lvlJc w:val="left"/>
      <w:lvlText w:val="(%2)"/>
      <w:numFmt w:val="lowerRoman"/>
      <w:start w:val="6"/>
    </w:lvl>
  </w:abstractNum>
  <w:abstractNum w:abstractNumId="210">
    <w:nsid w:val="63DE60CD"/>
    <w:multiLevelType w:val="hybridMultilevel"/>
    <w:lvl w:ilvl="0">
      <w:lvlJc w:val="left"/>
      <w:lvlText w:val="(%1)"/>
      <w:numFmt w:val="lowerLetter"/>
      <w:start w:val="3"/>
    </w:lvl>
    <w:lvl w:ilvl="1">
      <w:lvlJc w:val="left"/>
      <w:lvlText w:val="(%2)"/>
      <w:numFmt w:val="lowerRoman"/>
      <w:start w:val="1"/>
    </w:lvl>
  </w:abstractNum>
  <w:abstractNum w:abstractNumId="211">
    <w:nsid w:val="621AF471"/>
    <w:multiLevelType w:val="hybridMultilevel"/>
    <w:lvl w:ilvl="0">
      <w:lvlJc w:val="left"/>
      <w:lvlText w:val="(%1)"/>
      <w:numFmt w:val="upperLetter"/>
      <w:start w:val="1"/>
    </w:lvl>
  </w:abstractNum>
  <w:abstractNum w:abstractNumId="212">
    <w:nsid w:val="73CFE165"/>
    <w:multiLevelType w:val="hybridMultilevel"/>
    <w:lvl w:ilvl="0">
      <w:lvlJc w:val="left"/>
      <w:lvlText w:val="(%1)"/>
      <w:numFmt w:val="upperLetter"/>
      <w:start w:val="1"/>
    </w:lvl>
    <w:lvl w:ilvl="1">
      <w:lvlJc w:val="left"/>
      <w:lvlText w:val="(%2)"/>
      <w:numFmt w:val="lowerRoman"/>
      <w:start w:val="1"/>
    </w:lvl>
  </w:abstractNum>
  <w:abstractNum w:abstractNumId="213">
    <w:nsid w:val="20F88EA6"/>
    <w:multiLevelType w:val="hybridMultilevel"/>
    <w:lvl w:ilvl="0">
      <w:lvlJc w:val="left"/>
      <w:lvlText w:val="(%1)"/>
      <w:numFmt w:val="lowerLetter"/>
      <w:start w:val="4"/>
    </w:lvl>
  </w:abstractNum>
  <w:abstractNum w:abstractNumId="214">
    <w:nsid w:val="617C843E"/>
    <w:multiLevelType w:val="hybridMultilevel"/>
    <w:lvl w:ilvl="0">
      <w:lvlJc w:val="left"/>
      <w:lvlText w:val="%1"/>
      <w:numFmt w:val="upperLetter"/>
      <w:start w:val="1"/>
    </w:lvl>
    <w:lvl w:ilvl="1">
      <w:lvlJc w:val="left"/>
      <w:lvlText w:val="(%2)"/>
      <w:numFmt w:val="lowerRoman"/>
      <w:start w:val="1"/>
    </w:lvl>
  </w:abstractNum>
  <w:abstractNum w:abstractNumId="215">
    <w:nsid w:val="7B541FAB"/>
    <w:multiLevelType w:val="hybridMultilevel"/>
    <w:lvl w:ilvl="0">
      <w:lvlJc w:val="left"/>
      <w:lvlText w:val="(%1)"/>
      <w:numFmt w:val="upperLetter"/>
      <w:start w:val="1"/>
    </w:lvl>
    <w:lvl w:ilvl="1">
      <w:lvlJc w:val="left"/>
      <w:lvlText w:val="%2"/>
      <w:numFmt w:val="lowerRoman"/>
      <w:start w:val="1"/>
    </w:lvl>
  </w:abstractNum>
  <w:abstractNum w:abstractNumId="216">
    <w:nsid w:val="2A79EC49"/>
    <w:multiLevelType w:val="hybridMultilevel"/>
    <w:lvl w:ilvl="0">
      <w:lvlJc w:val="left"/>
      <w:lvlText w:val="(%1)"/>
      <w:numFmt w:val="upperLetter"/>
      <w:start w:val="3"/>
    </w:lvl>
    <w:lvl w:ilvl="1">
      <w:lvlJc w:val="left"/>
      <w:lvlText w:val="(%2)"/>
      <w:numFmt w:val="lowerRoman"/>
      <w:start w:val="3"/>
    </w:lvl>
  </w:abstractNum>
  <w:abstractNum w:abstractNumId="217">
    <w:nsid w:val="338125CF"/>
    <w:multiLevelType w:val="hybridMultilevel"/>
    <w:lvl w:ilvl="0">
      <w:lvlJc w:val="left"/>
      <w:lvlText w:val="(%1)"/>
      <w:numFmt w:val="lowerLetter"/>
      <w:start w:val="8"/>
    </w:lvl>
  </w:abstractNum>
  <w:abstractNum w:abstractNumId="218">
    <w:nsid w:val="47C7C971"/>
    <w:multiLevelType w:val="hybridMultilevel"/>
    <w:lvl w:ilvl="0">
      <w:lvlJc w:val="left"/>
      <w:lvlText w:val="(%1)"/>
      <w:numFmt w:val="lowerLetter"/>
      <w:start w:val="9"/>
    </w:lvl>
  </w:abstractNum>
  <w:abstractNum w:abstractNumId="219">
    <w:nsid w:val="46F8284B"/>
    <w:multiLevelType w:val="hybridMultilevel"/>
    <w:lvl w:ilvl="0">
      <w:lvlJc w:val="left"/>
      <w:lvlText w:val="(%1)"/>
      <w:numFmt w:val="lowerLetter"/>
      <w:start w:val="1"/>
    </w:lvl>
  </w:abstractNum>
  <w:abstractNum w:abstractNumId="220">
    <w:nsid w:val="4FA327CE"/>
    <w:multiLevelType w:val="hybridMultilevel"/>
    <w:lvl w:ilvl="0">
      <w:lvlJc w:val="left"/>
      <w:lvlText w:val="(%1)"/>
      <w:numFmt w:val="lowerLetter"/>
      <w:start w:val="2"/>
    </w:lvl>
  </w:abstractNum>
  <w:abstractNum w:abstractNumId="221">
    <w:nsid w:val="1873983A"/>
    <w:multiLevelType w:val="hybridMultilevel"/>
    <w:lvl w:ilvl="0">
      <w:lvlJc w:val="left"/>
      <w:lvlText w:val="(%1)"/>
      <w:numFmt w:val="lowerLetter"/>
      <w:start w:val="1"/>
    </w:lvl>
  </w:abstractNum>
  <w:abstractNum w:abstractNumId="222">
    <w:nsid w:val="3D2DD275"/>
    <w:multiLevelType w:val="hybridMultilevel"/>
    <w:lvl w:ilvl="0">
      <w:lvlJc w:val="left"/>
      <w:lvlText w:val="(%1)"/>
      <w:numFmt w:val="lowerLetter"/>
      <w:start w:val="1"/>
    </w:lvl>
  </w:abstractNum>
  <w:abstractNum w:abstractNumId="223">
    <w:nsid w:val="2E17ECA7"/>
    <w:multiLevelType w:val="hybridMultilevel"/>
    <w:lvl w:ilvl="0">
      <w:lvlJc w:val="left"/>
      <w:lvlText w:val="(%1)"/>
      <w:numFmt w:val="lowerLetter"/>
      <w:start w:val="2"/>
    </w:lvl>
  </w:abstractNum>
  <w:abstractNum w:abstractNumId="224">
    <w:nsid w:val="53B2564F"/>
    <w:multiLevelType w:val="hybridMultilevel"/>
    <w:lvl w:ilvl="0">
      <w:lvlJc w:val="left"/>
      <w:lvlText w:val="(%1)"/>
      <w:numFmt w:val="lowerLetter"/>
      <w:start w:val="5"/>
    </w:lvl>
  </w:abstractNum>
  <w:abstractNum w:abstractNumId="225">
    <w:nsid w:val="75509D76"/>
    <w:multiLevelType w:val="hybridMultilevel"/>
    <w:lvl w:ilvl="0">
      <w:lvlJc w:val="left"/>
      <w:lvlText w:val="(%1)"/>
      <w:numFmt w:val="upperLetter"/>
      <w:start w:val="2"/>
    </w:lvl>
    <w:lvl w:ilvl="1">
      <w:lvlJc w:val="left"/>
      <w:lvlText w:val="(%2)"/>
      <w:numFmt w:val="lowerRoman"/>
      <w:start w:val="2"/>
    </w:lvl>
  </w:abstractNum>
  <w:abstractNum w:abstractNumId="226">
    <w:nsid w:val="1AF7F0EA"/>
    <w:multiLevelType w:val="hybridMultilevel"/>
    <w:lvl w:ilvl="0">
      <w:lvlJc w:val="left"/>
      <w:lvlText w:val="(%1)"/>
      <w:numFmt w:val="lowerLetter"/>
      <w:start w:val="6"/>
    </w:lvl>
  </w:abstractNum>
  <w:abstractNum w:abstractNumId="227">
    <w:nsid w:val="4DA32C7E"/>
    <w:multiLevelType w:val="hybridMultilevel"/>
    <w:lvl w:ilvl="0">
      <w:lvlJc w:val="left"/>
      <w:lvlText w:val="."/>
      <w:numFmt w:val="bullet"/>
      <w:start w:val="1"/>
    </w:lvl>
    <w:lvl w:ilvl="1">
      <w:lvlJc w:val="left"/>
      <w:lvlText w:val="(%2)"/>
      <w:numFmt w:val="lowerLetter"/>
      <w:start w:val="1"/>
    </w:lvl>
  </w:abstractNum>
  <w:abstractNum w:abstractNumId="228">
    <w:nsid w:val="6EC68664"/>
    <w:multiLevelType w:val="hybridMultilevel"/>
    <w:lvl w:ilvl="0">
      <w:lvlJc w:val="left"/>
      <w:lvlText w:val="(%1)"/>
      <w:numFmt w:val="lowerLetter"/>
      <w:start w:val="3"/>
    </w:lvl>
    <w:lvl w:ilvl="1">
      <w:lvlJc w:val="left"/>
      <w:lvlText w:val="(%2)"/>
      <w:numFmt w:val="lowerRoman"/>
      <w:start w:val="1"/>
    </w:lvl>
  </w:abstractNum>
  <w:abstractNum w:abstractNumId="229">
    <w:nsid w:val="E0D31FF"/>
    <w:multiLevelType w:val="hybridMultilevel"/>
    <w:lvl w:ilvl="0">
      <w:lvlJc w:val="left"/>
      <w:lvlText w:val="."/>
      <w:numFmt w:val="bullet"/>
      <w:start w:val="1"/>
    </w:lvl>
  </w:abstractNum>
  <w:abstractNum w:abstractNumId="230">
    <w:nsid w:val="2FD0AD81"/>
    <w:multiLevelType w:val="hybridMultilevel"/>
    <w:lvl w:ilvl="0">
      <w:lvlJc w:val="left"/>
      <w:lvlText w:val="."/>
      <w:numFmt w:val="bullet"/>
      <w:start w:val="1"/>
    </w:lvl>
  </w:abstractNum>
  <w:abstractNum w:abstractNumId="231">
    <w:nsid w:val="1978EBEB"/>
    <w:multiLevelType w:val="hybridMultilevel"/>
    <w:lvl w:ilvl="0">
      <w:lvlJc w:val="left"/>
      <w:lvlText w:val="."/>
      <w:numFmt w:val="bullet"/>
      <w:start w:val="1"/>
    </w:lvl>
  </w:abstractNum>
  <w:abstractNum w:abstractNumId="232">
    <w:nsid w:val="52C12C61"/>
    <w:multiLevelType w:val="hybridMultilevel"/>
    <w:lvl w:ilvl="0">
      <w:lvlJc w:val="left"/>
      <w:lvlText w:val="(%1)"/>
      <w:numFmt w:val="lowerLetter"/>
      <w:start w:val="1"/>
    </w:lvl>
  </w:abstractNum>
  <w:abstractNum w:abstractNumId="233">
    <w:nsid w:val="4BDD53FD"/>
    <w:multiLevelType w:val="hybridMultilevel"/>
    <w:lvl w:ilvl="0">
      <w:lvlJc w:val="left"/>
      <w:lvlText w:val="(%1)"/>
      <w:numFmt w:val="lowerLetter"/>
      <w:start w:val="1"/>
    </w:lvl>
  </w:abstractNum>
  <w:abstractNum w:abstractNumId="234">
    <w:nsid w:val="569951FE"/>
    <w:multiLevelType w:val="hybridMultilevel"/>
    <w:lvl w:ilvl="0">
      <w:lvlJc w:val="left"/>
      <w:lvlText w:val="(%1)"/>
      <w:numFmt w:val="lowerLetter"/>
      <w:start w:val="4"/>
    </w:lvl>
  </w:abstractNum>
  <w:abstractNum w:abstractNumId="235">
    <w:nsid w:val="4C54E2C3"/>
    <w:multiLevelType w:val="hybridMultilevel"/>
    <w:lvl w:ilvl="0">
      <w:lvlJc w:val="left"/>
      <w:lvlText w:val="(%1)"/>
      <w:numFmt w:val="lowerLetter"/>
      <w:start w:val="1"/>
    </w:lvl>
  </w:abstractNum>
  <w:abstractNum w:abstractNumId="236">
    <w:nsid w:val="788BD9B"/>
    <w:multiLevelType w:val="hybridMultilevel"/>
    <w:lvl w:ilvl="0">
      <w:lvlJc w:val="left"/>
      <w:lvlText w:val="(%1)"/>
      <w:numFmt w:val="lowerLetter"/>
      <w:start w:val="1"/>
    </w:lvl>
  </w:abstractNum>
  <w:abstractNum w:abstractNumId="237">
    <w:nsid w:val="47CAA567"/>
    <w:multiLevelType w:val="hybridMultilevel"/>
    <w:lvl w:ilvl="0">
      <w:lvlJc w:val="left"/>
      <w:lvlText w:val="."/>
      <w:numFmt w:val="bullet"/>
      <w:start w:val="1"/>
    </w:lvl>
  </w:abstractNum>
  <w:abstractNum w:abstractNumId="238">
    <w:nsid w:val="48249DBF"/>
    <w:multiLevelType w:val="hybridMultilevel"/>
    <w:lvl w:ilvl="0">
      <w:lvlJc w:val="left"/>
      <w:lvlText w:val="."/>
      <w:numFmt w:val="bullet"/>
      <w:start w:val="1"/>
    </w:lvl>
  </w:abstractNum>
  <w:abstractNum w:abstractNumId="239">
    <w:nsid w:val="1F0E5D0D"/>
    <w:multiLevelType w:val="hybridMultilevel"/>
    <w:lvl w:ilvl="0">
      <w:lvlJc w:val="left"/>
      <w:lvlText w:val="."/>
      <w:numFmt w:val="bullet"/>
      <w:start w:val="1"/>
    </w:lvl>
  </w:abstractNum>
  <w:abstractNum w:abstractNumId="240">
    <w:nsid w:val="26BAAE9"/>
    <w:multiLevelType w:val="hybridMultilevel"/>
    <w:lvl w:ilvl="0">
      <w:lvlJc w:val="left"/>
      <w:lvlText w:val="."/>
      <w:numFmt w:val="bullet"/>
      <w:start w:val="1"/>
    </w:lvl>
  </w:abstractNum>
  <w:abstractNum w:abstractNumId="241">
    <w:nsid w:val="2C02FE8C"/>
    <w:multiLevelType w:val="hybridMultilevel"/>
    <w:lvl w:ilvl="0">
      <w:lvlJc w:val="left"/>
      <w:lvlText w:val="."/>
      <w:numFmt w:val="bullet"/>
      <w:start w:val="1"/>
    </w:lvl>
  </w:abstractNum>
  <w:abstractNum w:abstractNumId="242">
    <w:nsid w:val="129517E"/>
    <w:multiLevelType w:val="hybridMultilevel"/>
    <w:lvl w:ilvl="0">
      <w:lvlJc w:val="left"/>
      <w:lvlText w:val="(%1)"/>
      <w:numFmt w:val="lowerLetter"/>
      <w:start w:val="1"/>
    </w:lvl>
  </w:abstractNum>
  <w:abstractNum w:abstractNumId="243">
    <w:nsid w:val="763B8C4E"/>
    <w:multiLevelType w:val="hybridMultilevel"/>
    <w:lvl w:ilvl="0">
      <w:lvlJc w:val="left"/>
      <w:lvlText w:val="."/>
      <w:numFmt w:val="bullet"/>
      <w:start w:val="1"/>
    </w:lvl>
  </w:abstractNum>
  <w:abstractNum w:abstractNumId="244">
    <w:nsid w:val="4CFB8D32"/>
    <w:multiLevelType w:val="hybridMultilevel"/>
    <w:lvl w:ilvl="0">
      <w:lvlJc w:val="left"/>
      <w:lvlText w:val="(%1)"/>
      <w:numFmt w:val="lowerLetter"/>
      <w:start w:val="1"/>
    </w:lvl>
  </w:abstractNum>
  <w:abstractNum w:abstractNumId="245">
    <w:nsid w:val="62A5D5BD"/>
    <w:multiLevelType w:val="hybridMultilevel"/>
    <w:lvl w:ilvl="0">
      <w:lvlJc w:val="left"/>
      <w:lvlText w:val="(%1)"/>
      <w:numFmt w:val="lowerLetter"/>
      <w:start w:val="2"/>
    </w:lvl>
  </w:abstractNum>
  <w:abstractNum w:abstractNumId="246">
    <w:nsid w:val="718FABF9"/>
    <w:multiLevelType w:val="hybridMultilevel"/>
    <w:lvl w:ilvl="0">
      <w:lvlJc w:val="left"/>
      <w:lvlText w:val="."/>
      <w:numFmt w:val="bullet"/>
      <w:start w:val="1"/>
    </w:lvl>
  </w:abstractNum>
  <w:abstractNum w:abstractNumId="247">
    <w:nsid w:val="7775797C"/>
    <w:multiLevelType w:val="hybridMultilevel"/>
    <w:lvl w:ilvl="0">
      <w:lvlJc w:val="left"/>
      <w:lvlText w:val="."/>
      <w:numFmt w:val="bullet"/>
      <w:start w:val="1"/>
    </w:lvl>
  </w:abstractNum>
  <w:abstractNum w:abstractNumId="248">
    <w:nsid w:val="1626FB8C"/>
    <w:multiLevelType w:val="hybridMultilevel"/>
    <w:lvl w:ilvl="0">
      <w:lvlJc w:val="left"/>
      <w:lvlText w:val="."/>
      <w:numFmt w:val="bullet"/>
      <w:start w:val="1"/>
    </w:lvl>
  </w:abstractNum>
  <w:abstractNum w:abstractNumId="249">
    <w:nsid w:val="3957756A"/>
    <w:multiLevelType w:val="hybridMultilevel"/>
    <w:lvl w:ilvl="0">
      <w:lvlJc w:val="left"/>
      <w:lvlText w:val="."/>
      <w:numFmt w:val="bullet"/>
      <w:start w:val="1"/>
    </w:lvl>
  </w:abstractNum>
  <w:abstractNum w:abstractNumId="250">
    <w:nsid w:val="3E6DA1C7"/>
    <w:multiLevelType w:val="hybridMultilevel"/>
    <w:lvl w:ilvl="0">
      <w:lvlJc w:val="left"/>
      <w:lvlText w:val="(%1)"/>
      <w:numFmt w:val="lowerLetter"/>
      <w:start w:val="1"/>
    </w:lvl>
  </w:abstractNum>
  <w:abstractNum w:abstractNumId="251">
    <w:nsid w:val="65CA235B"/>
    <w:multiLevelType w:val="hybridMultilevel"/>
    <w:lvl w:ilvl="0">
      <w:lvlJc w:val="left"/>
      <w:lvlText w:val="(%1)"/>
      <w:numFmt w:val="lowerLetter"/>
      <w:start w:val="1"/>
    </w:lvl>
  </w:abstractNum>
  <w:abstractNum w:abstractNumId="252">
    <w:nsid w:val="51CB0DA4"/>
    <w:multiLevelType w:val="hybridMultilevel"/>
    <w:lvl w:ilvl="0">
      <w:lvlJc w:val="left"/>
      <w:lvlText w:val="."/>
      <w:numFmt w:val="bullet"/>
      <w:start w:val="1"/>
    </w:lvl>
    <w:lvl w:ilvl="1">
      <w:lvlJc w:val="left"/>
      <w:lvlText w:val="(%2)"/>
      <w:numFmt w:val="lowerLetter"/>
      <w:start w:val="1"/>
    </w:lvl>
  </w:abstractNum>
  <w:abstractNum w:abstractNumId="253">
    <w:nsid w:val="7B9B743C"/>
    <w:multiLevelType w:val="hybridMultilevel"/>
    <w:lvl w:ilvl="0">
      <w:lvlJc w:val="left"/>
      <w:lvlText w:val="(%1)"/>
      <w:numFmt w:val="lowerLetter"/>
      <w:start w:val="5"/>
    </w:lvl>
  </w:abstractNum>
  <w:abstractNum w:abstractNumId="254">
    <w:nsid w:val="13E21002"/>
    <w:multiLevelType w:val="hybridMultilevel"/>
    <w:lvl w:ilvl="0">
      <w:lvlJc w:val="left"/>
      <w:lvlText w:val="%1"/>
      <w:numFmt w:val="lowerLetter"/>
      <w:start w:val="1"/>
    </w:lvl>
    <w:lvl w:ilvl="1">
      <w:lvlJc w:val="left"/>
      <w:lvlText w:val="(%2)"/>
      <w:numFmt w:val="upperLetter"/>
      <w:start w:val="1"/>
    </w:lvl>
  </w:abstractNum>
  <w:abstractNum w:abstractNumId="255">
    <w:nsid w:val="257D63F4"/>
    <w:multiLevelType w:val="hybridMultilevel"/>
    <w:lvl w:ilvl="0">
      <w:lvlJc w:val="left"/>
      <w:lvlText w:val="(%1)"/>
      <w:numFmt w:val="lowerLetter"/>
      <w:start w:val="13"/>
    </w:lvl>
    <w:lvl w:ilvl="1">
      <w:lvlJc w:val="left"/>
      <w:lvlText w:val="%2"/>
      <w:numFmt w:val="upperLetter"/>
      <w:start w:val="1"/>
    </w:lvl>
  </w:abstractNum>
  <w:abstractNum w:abstractNumId="256">
    <w:nsid w:val="70EC11B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57">
    <w:nsid w:val="2EDA00ED"/>
    <w:multiLevelType w:val="hybridMultilevel"/>
    <w:lvl w:ilvl="0">
      <w:lvlJc w:val="left"/>
      <w:lvlText w:val="."/>
      <w:numFmt w:val="bullet"/>
      <w:start w:val="1"/>
    </w:lvl>
    <w:lvl w:ilvl="1">
      <w:lvlJc w:val="left"/>
      <w:lvlText w:val="(%2)"/>
      <w:numFmt w:val="lowerLetter"/>
      <w:start w:val="1"/>
    </w:lvl>
  </w:abstractNum>
  <w:abstractNum w:abstractNumId="258">
    <w:nsid w:val="73209072"/>
    <w:multiLevelType w:val="hybridMultilevel"/>
    <w:lvl w:ilvl="0">
      <w:lvlJc w:val="left"/>
      <w:lvlText w:val="(%1)"/>
      <w:numFmt w:val="lowerLetter"/>
      <w:start w:val="2"/>
    </w:lvl>
  </w:abstractNum>
  <w:abstractNum w:abstractNumId="259">
    <w:nsid w:val="5FB29816"/>
    <w:multiLevelType w:val="hybridMultilevel"/>
    <w:lvl w:ilvl="0">
      <w:lvlJc w:val="left"/>
      <w:lvlText w:val="(%1)"/>
      <w:numFmt w:val="lowerLetter"/>
      <w:start w:val="8"/>
    </w:lvl>
  </w:abstractNum>
  <w:abstractNum w:abstractNumId="260">
    <w:nsid w:val="3CE732EC"/>
    <w:multiLevelType w:val="hybridMultilevel"/>
    <w:lvl w:ilvl="0">
      <w:lvlJc w:val="left"/>
      <w:lvlText w:val="."/>
      <w:numFmt w:val="bullet"/>
      <w:start w:val="1"/>
    </w:lvl>
    <w:lvl w:ilvl="1">
      <w:lvlJc w:val="left"/>
      <w:lvlText w:val="(%2)"/>
      <w:numFmt w:val="lowerLetter"/>
      <w:start w:val="1"/>
    </w:lvl>
  </w:abstractNum>
  <w:abstractNum w:abstractNumId="261">
    <w:nsid w:val="22F13DF3"/>
    <w:multiLevelType w:val="hybridMultilevel"/>
    <w:lvl w:ilvl="0">
      <w:lvlJc w:val="left"/>
      <w:lvlText w:val="(%1)"/>
      <w:numFmt w:val="lowerLetter"/>
      <w:start w:val="1"/>
    </w:lvl>
  </w:abstractNum>
  <w:abstractNum w:abstractNumId="262">
    <w:nsid w:val="792B8401"/>
    <w:multiLevelType w:val="hybridMultilevel"/>
    <w:lvl w:ilvl="0">
      <w:lvlJc w:val="left"/>
      <w:lvlText w:val="."/>
      <w:numFmt w:val="bullet"/>
      <w:start w:val="1"/>
    </w:lvl>
  </w:abstractNum>
  <w:abstractNum w:abstractNumId="263">
    <w:nsid w:val="FA85F4D"/>
    <w:multiLevelType w:val="hybridMultilevel"/>
    <w:lvl w:ilvl="0">
      <w:lvlJc w:val="left"/>
      <w:lvlText w:val="."/>
      <w:numFmt w:val="bullet"/>
      <w:start w:val="1"/>
    </w:lvl>
  </w:abstractNum>
  <w:abstractNum w:abstractNumId="264">
    <w:nsid w:val="6ECE91F0"/>
    <w:multiLevelType w:val="hybridMultilevel"/>
    <w:lvl w:ilvl="0">
      <w:lvlJc w:val="left"/>
      <w:lvlText w:val="."/>
      <w:numFmt w:val="bullet"/>
      <w:start w:val="1"/>
    </w:lvl>
  </w:abstractNum>
  <w:abstractNum w:abstractNumId="265">
    <w:nsid w:val="4FC4D600"/>
    <w:multiLevelType w:val="hybridMultilevel"/>
    <w:lvl w:ilvl="0">
      <w:lvlJc w:val="left"/>
      <w:lvlText w:val="(%1)"/>
      <w:numFmt w:val="lowerLetter"/>
      <w:start w:val="1"/>
    </w:lvl>
  </w:abstractNum>
  <w:abstractNum w:abstractNumId="266">
    <w:nsid w:val="5BFD4210"/>
    <w:multiLevelType w:val="hybridMultilevel"/>
    <w:lvl w:ilvl="0">
      <w:lvlJc w:val="left"/>
      <w:lvlText w:val="."/>
      <w:numFmt w:val="bullet"/>
      <w:start w:val="1"/>
    </w:lvl>
  </w:abstractNum>
  <w:abstractNum w:abstractNumId="267">
    <w:nsid w:val="76574F8B"/>
    <w:multiLevelType w:val="hybridMultilevel"/>
    <w:lvl w:ilvl="0">
      <w:lvlJc w:val="left"/>
      <w:lvlText w:val="."/>
      <w:numFmt w:val="bullet"/>
      <w:start w:val="1"/>
    </w:lvl>
  </w:abstractNum>
  <w:abstractNum w:abstractNumId="268">
    <w:nsid w:val="178F7B67"/>
    <w:multiLevelType w:val="hybridMultilevel"/>
    <w:lvl w:ilvl="0">
      <w:lvlJc w:val="left"/>
      <w:lvlText w:val="(%1)"/>
      <w:numFmt w:val="lowerLetter"/>
      <w:start w:val="1"/>
    </w:lvl>
  </w:abstractNum>
  <w:abstractNum w:abstractNumId="269">
    <w:nsid w:val="2421DFCF"/>
    <w:multiLevelType w:val="hybridMultilevel"/>
    <w:lvl w:ilvl="0">
      <w:lvlJc w:val="left"/>
      <w:lvlText w:val="(%1)"/>
      <w:numFmt w:val="lowerLetter"/>
      <w:start w:val="2"/>
    </w:lvl>
  </w:abstractNum>
  <w:abstractNum w:abstractNumId="270">
    <w:nsid w:val="1565AC99"/>
    <w:multiLevelType w:val="hybridMultilevel"/>
    <w:lvl w:ilvl="0">
      <w:lvlJc w:val="left"/>
      <w:lvlText w:val="(%1)"/>
      <w:numFmt w:val="lowerLetter"/>
      <w:start w:val="1"/>
    </w:lvl>
  </w:abstractNum>
  <w:abstractNum w:abstractNumId="271">
    <w:nsid w:val="19FB2650"/>
    <w:multiLevelType w:val="hybridMultilevel"/>
    <w:lvl w:ilvl="0">
      <w:lvlJc w:val="left"/>
      <w:lvlText w:val="(%1)"/>
      <w:numFmt w:val="lowerLetter"/>
      <w:start w:val="2"/>
    </w:lvl>
  </w:abstractNum>
  <w:abstractNum w:abstractNumId="272">
    <w:nsid w:val="5024DE5B"/>
    <w:multiLevelType w:val="hybridMultilevel"/>
    <w:lvl w:ilvl="0">
      <w:lvlJc w:val="left"/>
      <w:lvlText w:val="(%1)"/>
      <w:numFmt w:val="lowerLetter"/>
      <w:start w:val="1"/>
    </w:lvl>
  </w:abstractNum>
  <w:abstractNum w:abstractNumId="273">
    <w:nsid w:val="168EFE17"/>
    <w:multiLevelType w:val="hybridMultilevel"/>
    <w:lvl w:ilvl="0">
      <w:lvlJc w:val="left"/>
      <w:lvlText w:val="(%1)"/>
      <w:numFmt w:val="lowerLetter"/>
      <w:start w:val="3"/>
    </w:lvl>
  </w:abstractNum>
  <w:abstractNum w:abstractNumId="274">
    <w:nsid w:val="1036B29F"/>
    <w:multiLevelType w:val="hybridMultilevel"/>
    <w:lvl w:ilvl="0">
      <w:lvlJc w:val="left"/>
      <w:lvlText w:val="."/>
      <w:numFmt w:val="bullet"/>
      <w:start w:val="1"/>
    </w:lvl>
  </w:abstractNum>
  <w:abstractNum w:abstractNumId="275">
    <w:nsid w:val="1D206B8E"/>
    <w:multiLevelType w:val="hybridMultilevel"/>
    <w:lvl w:ilvl="0">
      <w:lvlJc w:val="left"/>
      <w:lvlText w:val="(%1)"/>
      <w:numFmt w:val="lowerLetter"/>
      <w:start w:val="1"/>
    </w:lvl>
  </w:abstractNum>
  <w:abstractNum w:abstractNumId="276">
    <w:nsid w:val="7934D3D4"/>
    <w:multiLevelType w:val="hybridMultilevel"/>
    <w:lvl w:ilvl="0">
      <w:lvlJc w:val="left"/>
      <w:lvlText w:val="(%1)"/>
      <w:numFmt w:val="lowerLetter"/>
      <w:start w:val="2"/>
    </w:lvl>
    <w:lvl w:ilvl="1">
      <w:lvlJc w:val="left"/>
      <w:lvlText w:val="(%2)"/>
      <w:numFmt w:val="lowerRoman"/>
      <w:start w:val="1"/>
    </w:lvl>
  </w:abstractNum>
  <w:abstractNum w:abstractNumId="277">
    <w:nsid w:val="1C65E98"/>
    <w:multiLevelType w:val="hybridMultilevel"/>
    <w:lvl w:ilvl="0">
      <w:lvlJc w:val="left"/>
      <w:lvlText w:val="(%1)"/>
      <w:numFmt w:val="lowerRoman"/>
      <w:start w:val="7"/>
    </w:lvl>
  </w:abstractNum>
  <w:abstractNum w:abstractNumId="278">
    <w:nsid w:val="1495E50A"/>
    <w:multiLevelType w:val="hybridMultilevel"/>
    <w:lvl w:ilvl="0">
      <w:lvlJc w:val="left"/>
      <w:lvlText w:val="(%1)"/>
      <w:numFmt w:val="lowerRoman"/>
      <w:start w:val="12"/>
    </w:lvl>
  </w:abstractNum>
  <w:abstractNum w:abstractNumId="279">
    <w:nsid w:val="F5BCF61"/>
    <w:multiLevelType w:val="hybridMultilevel"/>
    <w:lvl w:ilvl="0">
      <w:lvlJc w:val="left"/>
      <w:lvlText w:val="(%1)"/>
      <w:numFmt w:val="lowerRoman"/>
      <w:start w:val="15"/>
    </w:lvl>
  </w:abstractNum>
  <w:abstractNum w:abstractNumId="280">
    <w:nsid w:val="3B1DD403"/>
    <w:multiLevelType w:val="hybridMultilevel"/>
    <w:lvl w:ilvl="0">
      <w:lvlJc w:val="left"/>
      <w:lvlText w:val="(%1)"/>
      <w:numFmt w:val="lowerRoman"/>
      <w:start w:val="17"/>
    </w:lvl>
  </w:abstractNum>
  <w:abstractNum w:abstractNumId="281">
    <w:nsid w:val="530386D1"/>
    <w:multiLevelType w:val="hybridMultilevel"/>
    <w:lvl w:ilvl="0">
      <w:lvlJc w:val="left"/>
      <w:lvlText w:val="%1"/>
      <w:numFmt w:val="lowerLetter"/>
      <w:start w:val="1"/>
    </w:lvl>
    <w:lvl w:ilvl="1">
      <w:lvlJc w:val="left"/>
      <w:lvlText w:val="(%2)"/>
      <w:numFmt w:val="lowerLetter"/>
      <w:start w:val="50"/>
    </w:lvl>
  </w:abstractNum>
  <w:abstractNum w:abstractNumId="282">
    <w:nsid w:val="7525F2BC"/>
    <w:multiLevelType w:val="hybridMultilevel"/>
    <w:lvl w:ilvl="0">
      <w:lvlJc w:val="left"/>
      <w:lvlText w:val="(%1)"/>
      <w:numFmt w:val="lowerLetter"/>
      <w:start w:val="3"/>
    </w:lvl>
    <w:lvl w:ilvl="1">
      <w:lvlJc w:val="left"/>
      <w:lvlText w:val="%2"/>
      <w:numFmt w:val="lowerLetter"/>
      <w:start w:val="1"/>
    </w:lvl>
  </w:abstractNum>
  <w:abstractNum w:abstractNumId="283">
    <w:nsid w:val="CE8E1A7"/>
    <w:multiLevelType w:val="hybridMultilevel"/>
    <w:lvl w:ilvl="0">
      <w:lvlJc w:val="left"/>
      <w:lvlText w:val="(%1)"/>
      <w:numFmt w:val="lowerRoman"/>
      <w:start w:val="22"/>
    </w:lvl>
  </w:abstractNum>
  <w:abstractNum w:abstractNumId="284">
    <w:nsid w:val="4E9EFB0D"/>
    <w:multiLevelType w:val="hybridMultilevel"/>
    <w:lvl w:ilvl="0">
      <w:lvlJc w:val="left"/>
      <w:lvlText w:val="(%1)"/>
      <w:numFmt w:val="lowerRoman"/>
      <w:start w:val="23"/>
    </w:lvl>
  </w:abstractNum>
  <w:abstractNum w:abstractNumId="285">
    <w:nsid w:val="90802BE"/>
    <w:multiLevelType w:val="hybridMultilevel"/>
    <w:lvl w:ilvl="0">
      <w:lvlJc w:val="left"/>
      <w:lvlText w:val="%1"/>
      <w:numFmt w:val="lowerRoman"/>
      <w:start w:val="1"/>
    </w:lvl>
    <w:lvl w:ilvl="1">
      <w:lvlJc w:val="left"/>
      <w:lvlText w:val="(%2)"/>
      <w:numFmt w:val="lowerRoman"/>
      <w:start w:val="26"/>
    </w:lvl>
  </w:abstractNum>
  <w:abstractNum w:abstractNumId="286">
    <w:nsid w:val="3266459B"/>
    <w:multiLevelType w:val="hybridMultilevel"/>
    <w:lvl w:ilvl="0">
      <w:lvlJc w:val="left"/>
      <w:lvlText w:val="(%1)"/>
      <w:numFmt w:val="lowerRoman"/>
      <w:start w:val="4"/>
    </w:lvl>
    <w:lvl w:ilvl="1">
      <w:lvlJc w:val="left"/>
      <w:lvlText w:val="%2"/>
      <w:numFmt w:val="lowerRoman"/>
      <w:start w:val="1"/>
    </w:lvl>
  </w:abstractNum>
  <w:abstractNum w:abstractNumId="287">
    <w:nsid w:val="3F8B0CBF"/>
    <w:multiLevelType w:val="hybridMultilevel"/>
    <w:lvl w:ilvl="0">
      <w:lvlJc w:val="left"/>
      <w:lvlText w:val="(%1)"/>
      <w:numFmt w:val="lowerLetter"/>
      <w:start w:val="3"/>
    </w:lvl>
  </w:abstractNum>
  <w:abstractNum w:abstractNumId="288">
    <w:nsid w:val="37E203AB"/>
    <w:multiLevelType w:val="hybridMultilevel"/>
    <w:lvl w:ilvl="0">
      <w:lvlJc w:val="left"/>
      <w:lvlText w:val="."/>
      <w:numFmt w:val="bullet"/>
      <w:start w:val="1"/>
    </w:lvl>
  </w:abstractNum>
  <w:abstractNum w:abstractNumId="289">
    <w:nsid w:val="2586D60E"/>
    <w:multiLevelType w:val="hybridMultilevel"/>
    <w:lvl w:ilvl="0">
      <w:lvlJc w:val="left"/>
      <w:lvlText w:val="(%1)"/>
      <w:numFmt w:val="lowerLetter"/>
      <w:start w:val="1"/>
    </w:lvl>
    <w:lvl w:ilvl="1">
      <w:lvlJc w:val="left"/>
      <w:lvlText w:val="(%2)"/>
      <w:numFmt w:val="lowerRoman"/>
      <w:start w:val="1"/>
    </w:lvl>
  </w:abstractNum>
  <w:abstractNum w:abstractNumId="290">
    <w:nsid w:val="1F3DA4D5"/>
    <w:multiLevelType w:val="hybridMultilevel"/>
    <w:lvl w:ilvl="0">
      <w:lvlJc w:val="left"/>
      <w:lvlText w:val="(%1)"/>
      <w:numFmt w:val="lowerRoman"/>
      <w:start w:val="5"/>
    </w:lvl>
  </w:abstractNum>
  <w:abstractNum w:abstractNumId="291">
    <w:nsid w:val="74C93698"/>
    <w:multiLevelType w:val="hybridMultilevel"/>
    <w:lvl w:ilvl="0">
      <w:lvlJc w:val="left"/>
      <w:lvlText w:val="(%1)"/>
      <w:numFmt w:val="lowerLetter"/>
      <w:start w:val="2"/>
    </w:lvl>
    <w:lvl w:ilvl="1">
      <w:lvlJc w:val="left"/>
      <w:lvlText w:val="(%2)"/>
      <w:numFmt w:val="lowerLetter"/>
      <w:start w:val="9"/>
    </w:lvl>
  </w:abstractNum>
  <w:abstractNum w:abstractNumId="292">
    <w:nsid w:val="48781401"/>
    <w:multiLevelType w:val="hybridMultilevel"/>
    <w:lvl w:ilvl="0">
      <w:lvlJc w:val="left"/>
      <w:lvlText w:val="(%1)"/>
      <w:numFmt w:val="lowerLetter"/>
      <w:start w:val="3"/>
    </w:lvl>
  </w:abstractNum>
  <w:abstractNum w:abstractNumId="293">
    <w:nsid w:val="186928D6"/>
    <w:multiLevelType w:val="hybridMultilevel"/>
    <w:lvl w:ilvl="0">
      <w:lvlJc w:val="left"/>
      <w:lvlText w:val="(%1)"/>
      <w:numFmt w:val="lowerLetter"/>
      <w:start w:val="4"/>
    </w:lvl>
    <w:lvl w:ilvl="1">
      <w:lvlJc w:val="left"/>
      <w:lvlText w:val="(%2)"/>
      <w:numFmt w:val="lowerRoman"/>
      <w:start w:val="1"/>
    </w:lvl>
  </w:abstractNum>
  <w:abstractNum w:abstractNumId="294">
    <w:nsid w:val="47195E5"/>
    <w:multiLevelType w:val="hybridMultilevel"/>
    <w:lvl w:ilvl="0">
      <w:lvlJc w:val="left"/>
      <w:lvlText w:val="(%1)"/>
      <w:numFmt w:val="lowerLetter"/>
      <w:start w:val="5"/>
    </w:lvl>
  </w:abstractNum>
  <w:abstractNum w:abstractNumId="295">
    <w:nsid w:val="3746A5F2"/>
    <w:multiLevelType w:val="hybridMultilevel"/>
    <w:lvl w:ilvl="0">
      <w:lvlJc w:val="left"/>
      <w:lvlText w:val="(%1)"/>
      <w:numFmt w:val="lowerLetter"/>
      <w:start w:val="7"/>
    </w:lvl>
  </w:abstractNum>
  <w:abstractNum w:abstractNumId="296">
    <w:nsid w:val="682DFED6"/>
    <w:multiLevelType w:val="hybridMultilevel"/>
    <w:lvl w:ilvl="0">
      <w:lvlJc w:val="left"/>
      <w:lvlText w:val="."/>
      <w:numFmt w:val="bullet"/>
      <w:start w:val="1"/>
    </w:lvl>
    <w:lvl w:ilvl="1">
      <w:lvlJc w:val="left"/>
      <w:lvlText w:val="(%2)"/>
      <w:numFmt w:val="lowerRoman"/>
      <w:start w:val="1"/>
    </w:lvl>
  </w:abstractNum>
  <w:abstractNum w:abstractNumId="297">
    <w:nsid w:val="606ED7F6"/>
    <w:multiLevelType w:val="hybridMultilevel"/>
    <w:lvl w:ilvl="0">
      <w:lvlJc w:val="left"/>
      <w:lvlText w:val="(%1)"/>
      <w:numFmt w:val="lowerRoman"/>
      <w:start w:val="4"/>
    </w:lvl>
  </w:abstractNum>
  <w:abstractNum w:abstractNumId="298">
    <w:nsid w:val="2D9DF57D"/>
    <w:multiLevelType w:val="hybridMultilevel"/>
    <w:lvl w:ilvl="0">
      <w:lvlJc w:val="left"/>
      <w:lvlText w:val="(%1)"/>
      <w:numFmt w:val="lowerRoman"/>
      <w:start w:val="6"/>
    </w:lvl>
  </w:abstractNum>
  <w:abstractNum w:abstractNumId="299">
    <w:nsid w:val="7FBD7A3E"/>
    <w:multiLevelType w:val="hybridMultilevel"/>
    <w:lvl w:ilvl="0">
      <w:lvlJc w:val="left"/>
      <w:lvlText w:val="(%1)"/>
      <w:numFmt w:val="lowerRoman"/>
      <w:start w:val="15"/>
    </w:lvl>
  </w:abstractNum>
  <w:abstractNum w:abstractNumId="300">
    <w:nsid w:val="490B7C5"/>
    <w:multiLevelType w:val="hybridMultilevel"/>
    <w:lvl w:ilvl="0">
      <w:lvlJc w:val="left"/>
      <w:lvlText w:val="(%1)"/>
      <w:numFmt w:val="lowerRoman"/>
      <w:start w:val="17"/>
    </w:lvl>
  </w:abstractNum>
  <w:abstractNum w:abstractNumId="301">
    <w:nsid w:val="4303A21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02">
    <w:nsid w:val="19B8A08E"/>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303">
    <w:nsid w:val="54B59621"/>
    <w:multiLevelType w:val="hybridMultilevel"/>
    <w:lvl w:ilvl="0">
      <w:lvlJc w:val="left"/>
      <w:lvlText w:val="(%1)"/>
      <w:numFmt w:val="lowerRoman"/>
      <w:start w:val="7"/>
    </w:lvl>
  </w:abstractNum>
  <w:abstractNum w:abstractNumId="304">
    <w:nsid w:val="5992A02E"/>
    <w:multiLevelType w:val="hybridMultilevel"/>
    <w:lvl w:ilvl="0">
      <w:lvlJc w:val="left"/>
      <w:lvlText w:val="."/>
      <w:numFmt w:val="bullet"/>
      <w:start w:val="1"/>
    </w:lvl>
    <w:lvl w:ilvl="1">
      <w:lvlJc w:val="left"/>
      <w:lvlText w:val="(%2)"/>
      <w:numFmt w:val="lowerLetter"/>
      <w:start w:val="1"/>
    </w:lvl>
  </w:abstractNum>
  <w:abstractNum w:abstractNumId="305">
    <w:nsid w:val="29EF532D"/>
    <w:multiLevelType w:val="hybridMultilevel"/>
    <w:lvl w:ilvl="0">
      <w:lvlJc w:val="left"/>
      <w:lvlText w:val="(%1)"/>
      <w:numFmt w:val="lowerLetter"/>
      <w:start w:val="11"/>
    </w:lvl>
  </w:abstractNum>
  <w:abstractNum w:abstractNumId="306">
    <w:nsid w:val="71D601AF"/>
    <w:multiLevelType w:val="hybridMultilevel"/>
    <w:lvl w:ilvl="0">
      <w:lvlJc w:val="left"/>
      <w:lvlText w:val="(%1)"/>
      <w:numFmt w:val="lowerLetter"/>
      <w:start w:val="1"/>
    </w:lvl>
  </w:abstractNum>
  <w:abstractNum w:abstractNumId="307">
    <w:nsid w:val="52C77402"/>
    <w:multiLevelType w:val="hybridMultilevel"/>
    <w:lvl w:ilvl="0">
      <w:lvlJc w:val="left"/>
      <w:lvlText w:val="(%1)"/>
      <w:numFmt w:val="lowerLetter"/>
      <w:start w:val="1"/>
    </w:lvl>
    <w:lvl w:ilvl="1">
      <w:lvlJc w:val="left"/>
      <w:lvlText w:val="(%2)"/>
      <w:numFmt w:val="lowerRoman"/>
      <w:start w:val="1"/>
    </w:lvl>
  </w:abstractNum>
  <w:abstractNum w:abstractNumId="308">
    <w:nsid w:val="2BB5B1C6"/>
    <w:multiLevelType w:val="hybridMultilevel"/>
    <w:lvl w:ilvl="0">
      <w:lvlJc w:val="left"/>
      <w:lvlText w:val="(%1)"/>
      <w:numFmt w:val="lowerRoman"/>
      <w:start w:val="3"/>
    </w:lvl>
  </w:abstractNum>
  <w:abstractNum w:abstractNumId="309">
    <w:nsid w:val="66BE6B9"/>
    <w:multiLevelType w:val="hybridMultilevel"/>
    <w:lvl w:ilvl="0">
      <w:lvlJc w:val="left"/>
      <w:lvlText w:val="(%1)"/>
      <w:numFmt w:val="lowerRoman"/>
      <w:start w:val="15"/>
    </w:lvl>
  </w:abstractNum>
  <w:abstractNum w:abstractNumId="310">
    <w:nsid w:val="62234363"/>
    <w:multiLevelType w:val="hybridMultilevel"/>
    <w:lvl w:ilvl="0">
      <w:lvlJc w:val="left"/>
      <w:lvlText w:val="%1"/>
      <w:numFmt w:val="lowerRoman"/>
      <w:start w:val="1"/>
    </w:lvl>
    <w:lvl w:ilvl="1">
      <w:lvlJc w:val="left"/>
      <w:lvlText w:val="(%2)"/>
      <w:numFmt w:val="lowerRoman"/>
      <w:start w:val="17"/>
    </w:lvl>
  </w:abstractNum>
  <w:abstractNum w:abstractNumId="311">
    <w:nsid w:val="66D385C9"/>
    <w:multiLevelType w:val="hybridMultilevel"/>
    <w:lvl w:ilvl="0">
      <w:lvlJc w:val="left"/>
      <w:lvlText w:val="(%1)"/>
      <w:numFmt w:val="lowerRoman"/>
      <w:start w:val="26"/>
    </w:lvl>
    <w:lvl w:ilvl="1">
      <w:lvlJc w:val="left"/>
      <w:lvlText w:val="%2"/>
      <w:numFmt w:val="lowerRoman"/>
      <w:start w:val="1"/>
    </w:lvl>
  </w:abstractNum>
  <w:abstractNum w:abstractNumId="312">
    <w:nsid w:val="596F6D8A"/>
    <w:multiLevelType w:val="hybridMultilevel"/>
    <w:lvl w:ilvl="0">
      <w:lvlJc w:val="left"/>
      <w:lvlText w:val="."/>
      <w:numFmt w:val="bullet"/>
      <w:start w:val="1"/>
    </w:lvl>
  </w:abstractNum>
  <w:abstractNum w:abstractNumId="313">
    <w:nsid w:val="5749361F"/>
    <w:multiLevelType w:val="hybridMultilevel"/>
    <w:lvl w:ilvl="0">
      <w:lvlJc w:val="left"/>
      <w:lvlText w:val="."/>
      <w:numFmt w:val="bullet"/>
      <w:start w:val="1"/>
    </w:lvl>
  </w:abstractNum>
  <w:abstractNum w:abstractNumId="314">
    <w:nsid w:val="73BC6770"/>
    <w:multiLevelType w:val="hybridMultilevel"/>
    <w:lvl w:ilvl="0">
      <w:lvlJc w:val="left"/>
      <w:lvlText w:val="."/>
      <w:numFmt w:val="bullet"/>
      <w:start w:val="1"/>
    </w:lvl>
  </w:abstractNum>
  <w:abstractNum w:abstractNumId="315">
    <w:nsid w:val="280E6897"/>
    <w:multiLevelType w:val="hybridMultilevel"/>
    <w:lvl w:ilvl="0">
      <w:lvlJc w:val="left"/>
      <w:lvlText w:val="."/>
      <w:numFmt w:val="bullet"/>
      <w:start w:val="1"/>
    </w:lvl>
    <w:lvl w:ilvl="1">
      <w:lvlJc w:val="left"/>
      <w:lvlText w:val="(%2)"/>
      <w:numFmt w:val="lowerLetter"/>
      <w:start w:val="1"/>
    </w:lvl>
  </w:abstractNum>
  <w:abstractNum w:abstractNumId="316">
    <w:nsid w:val="605138DE"/>
    <w:multiLevelType w:val="hybridMultilevel"/>
    <w:lvl w:ilvl="0">
      <w:lvlJc w:val="left"/>
      <w:lvlText w:val="%1"/>
      <w:numFmt w:val="decimal"/>
      <w:start w:val="1"/>
    </w:lvl>
    <w:lvl w:ilvl="1">
      <w:lvlJc w:val="left"/>
      <w:lvlText w:val="(%2)"/>
      <w:numFmt w:val="lowerLetter"/>
      <w:start w:val="2"/>
    </w:lvl>
  </w:abstractNum>
  <w:abstractNum w:abstractNumId="317">
    <w:nsid w:val="2622AD0C"/>
    <w:multiLevelType w:val="hybridMultilevel"/>
    <w:lvl w:ilvl="0">
      <w:lvlJc w:val="left"/>
      <w:lvlText w:val="(%1)"/>
      <w:numFmt w:val="decimal"/>
      <w:start w:val="30"/>
    </w:lvl>
    <w:lvl w:ilvl="1">
      <w:lvlJc w:val="left"/>
      <w:lvlText w:val="(%2)"/>
      <w:numFmt w:val="lowerLetter"/>
      <w:start w:val="4"/>
    </w:lvl>
  </w:abstractNum>
  <w:abstractNum w:abstractNumId="318">
    <w:nsid w:val="67997556"/>
    <w:multiLevelType w:val="hybridMultilevel"/>
    <w:lvl w:ilvl="0">
      <w:lvlJc w:val="left"/>
      <w:lvlText w:val="(%1)"/>
      <w:numFmt w:val="lowerLetter"/>
      <w:start w:val="25"/>
    </w:lvl>
    <w:lvl w:ilvl="1">
      <w:lvlJc w:val="left"/>
      <w:lvlText w:val="(%2)"/>
      <w:numFmt w:val="lowerLetter"/>
      <w:start w:val="7"/>
    </w:lvl>
  </w:abstractNum>
  <w:abstractNum w:abstractNumId="319">
    <w:nsid w:val="18333C89"/>
    <w:multiLevelType w:val="hybridMultilevel"/>
    <w:lvl w:ilvl="0">
      <w:lvlJc w:val="left"/>
      <w:lvlText w:val="(%1)"/>
      <w:numFmt w:val="decimal"/>
      <w:start w:val="1"/>
    </w:lvl>
  </w:abstractNum>
  <w:abstractNum w:abstractNumId="320">
    <w:nsid w:val="4BA9831A"/>
    <w:multiLevelType w:val="hybridMultilevel"/>
    <w:lvl w:ilvl="0">
      <w:lvlJc w:val="left"/>
      <w:lvlText w:val="(%1)"/>
      <w:numFmt w:val="decimal"/>
      <w:start w:val="4"/>
    </w:lvl>
  </w:abstractNum>
  <w:abstractNum w:abstractNumId="321">
    <w:nsid w:val="6D71A2B"/>
    <w:multiLevelType w:val="hybridMultilevel"/>
    <w:lvl w:ilvl="0">
      <w:lvlJc w:val="left"/>
      <w:lvlText w:val="."/>
      <w:numFmt w:val="bullet"/>
      <w:start w:val="1"/>
    </w:lvl>
    <w:lvl w:ilvl="1">
      <w:lvlJc w:val="left"/>
      <w:lvlText w:val="(%2)"/>
      <w:numFmt w:val="lowerLetter"/>
      <w:start w:val="1"/>
    </w:lvl>
  </w:abstractNum>
  <w:abstractNum w:abstractNumId="322">
    <w:nsid w:val="CFC7321"/>
    <w:multiLevelType w:val="hybridMultilevel"/>
    <w:lvl w:ilvl="0">
      <w:lvlJc w:val="left"/>
      <w:lvlText w:val="."/>
      <w:numFmt w:val="bullet"/>
      <w:start w:val="1"/>
    </w:lvl>
  </w:abstractNum>
  <w:abstractNum w:abstractNumId="323">
    <w:nsid w:val="1421971B"/>
    <w:multiLevelType w:val="hybridMultilevel"/>
    <w:lvl w:ilvl="0">
      <w:lvlJc w:val="left"/>
      <w:lvlText w:val="(%1)"/>
      <w:numFmt w:val="lowerLetter"/>
      <w:start w:val="1"/>
    </w:lvl>
  </w:abstractNum>
  <w:abstractNum w:abstractNumId="324">
    <w:nsid w:val="1F404301"/>
    <w:multiLevelType w:val="hybridMultilevel"/>
    <w:lvl w:ilvl="0">
      <w:lvlJc w:val="left"/>
      <w:lvlText w:val="(%1)"/>
      <w:numFmt w:val="lowerLetter"/>
      <w:start w:val="1"/>
    </w:lvl>
  </w:abstractNum>
  <w:abstractNum w:abstractNumId="325">
    <w:nsid w:val="116E0907"/>
    <w:multiLevelType w:val="hybridMultilevel"/>
    <w:lvl w:ilvl="0">
      <w:lvlJc w:val="left"/>
      <w:lvlText w:val="(%1)"/>
      <w:numFmt w:val="lowerLetter"/>
      <w:start w:val="2"/>
    </w:lvl>
  </w:abstractNum>
  <w:abstractNum w:abstractNumId="326">
    <w:nsid w:val="4B683D0D"/>
    <w:multiLevelType w:val="hybridMultilevel"/>
    <w:lvl w:ilvl="0">
      <w:lvlJc w:val="left"/>
      <w:lvlText w:val="(%1)"/>
      <w:numFmt w:val="lowerLetter"/>
      <w:start w:val="3"/>
    </w:lvl>
    <w:lvl w:ilvl="1">
      <w:lvlJc w:val="left"/>
      <w:lvlText w:val="(%2)"/>
      <w:numFmt w:val="lowerRoman"/>
      <w:start w:val="1"/>
    </w:lvl>
  </w:abstractNum>
  <w:abstractNum w:abstractNumId="327">
    <w:nsid w:val="76E41D8"/>
    <w:multiLevelType w:val="hybridMultilevel"/>
    <w:lvl w:ilvl="0">
      <w:lvlJc w:val="left"/>
      <w:lvlText w:val="(%1)"/>
      <w:numFmt w:val="lowerLetter"/>
      <w:start w:val="1"/>
    </w:lvl>
  </w:abstractNum>
  <w:abstractNum w:abstractNumId="328">
    <w:nsid w:val="71DCE0FD"/>
    <w:multiLevelType w:val="hybridMultilevel"/>
    <w:lvl w:ilvl="0">
      <w:lvlJc w:val="left"/>
      <w:lvlText w:val="(%1)"/>
      <w:numFmt w:val="lowerLetter"/>
      <w:start w:val="2"/>
    </w:lvl>
  </w:abstractNum>
  <w:abstractNum w:abstractNumId="329">
    <w:nsid w:val="7906328B"/>
    <w:multiLevelType w:val="hybridMultilevel"/>
    <w:lvl w:ilvl="0">
      <w:lvlJc w:val="left"/>
      <w:lvlText w:val="(%1)"/>
      <w:numFmt w:val="lowerLetter"/>
      <w:start w:val="3"/>
    </w:lvl>
  </w:abstractNum>
  <w:abstractNum w:abstractNumId="330">
    <w:nsid w:val="72BBC16"/>
    <w:multiLevelType w:val="hybridMultilevel"/>
    <w:lvl w:ilvl="0">
      <w:lvlJc w:val="left"/>
      <w:lvlText w:val="(%1)"/>
      <w:numFmt w:val="lowerLetter"/>
      <w:start w:val="5"/>
    </w:lvl>
  </w:abstractNum>
  <w:abstractNum w:abstractNumId="331">
    <w:nsid w:val="766D98C2"/>
    <w:multiLevelType w:val="hybridMultilevel"/>
    <w:lvl w:ilvl="0">
      <w:lvlJc w:val="left"/>
      <w:lvlText w:val="(%1)"/>
      <w:numFmt w:val="lowerLetter"/>
      <w:start w:val="1"/>
    </w:lvl>
    <w:lvl w:ilvl="1">
      <w:lvlJc w:val="left"/>
      <w:lvlText w:val="(%2)"/>
      <w:numFmt w:val="lowerRoman"/>
      <w:start w:val="1"/>
    </w:lvl>
  </w:abstractNum>
  <w:abstractNum w:abstractNumId="332">
    <w:nsid w:val="3C09D4A1"/>
    <w:multiLevelType w:val="hybridMultilevel"/>
    <w:lvl w:ilvl="0">
      <w:lvlJc w:val="left"/>
      <w:lvlText w:val="%1"/>
      <w:numFmt w:val="lowerLetter"/>
      <w:start w:val="1"/>
    </w:lvl>
    <w:lvl w:ilvl="1">
      <w:lvlJc w:val="left"/>
      <w:lvlText w:val="(%2)"/>
      <w:numFmt w:val="lowerLetter"/>
      <w:start w:val="3"/>
    </w:lvl>
  </w:abstractNum>
  <w:abstractNum w:abstractNumId="333">
    <w:nsid w:val="20E45CA4"/>
    <w:multiLevelType w:val="hybridMultilevel"/>
    <w:lvl w:ilvl="0">
      <w:lvlJc w:val="left"/>
      <w:lvlText w:val="(%1)"/>
      <w:numFmt w:val="lowerLetter"/>
      <w:start w:val="2"/>
    </w:lvl>
    <w:lvl w:ilvl="1">
      <w:lvlJc w:val="left"/>
      <w:lvlText w:val="(%2)"/>
      <w:numFmt w:val="lowerLetter"/>
      <w:start w:val="4"/>
    </w:lvl>
  </w:abstractNum>
  <w:abstractNum w:abstractNumId="334">
    <w:nsid w:val="4B232EE3"/>
    <w:multiLevelType w:val="hybridMultilevel"/>
    <w:lvl w:ilvl="0">
      <w:lvlJc w:val="left"/>
      <w:lvlText w:val="(%1)"/>
      <w:numFmt w:val="lowerLetter"/>
      <w:start w:val="4"/>
    </w:lvl>
    <w:lvl w:ilvl="1">
      <w:lvlJc w:val="left"/>
      <w:lvlText w:val="(%2)"/>
      <w:numFmt w:val="lowerLetter"/>
      <w:start w:val="5"/>
    </w:lvl>
  </w:abstractNum>
  <w:abstractNum w:abstractNumId="335">
    <w:nsid w:val="159C74CF"/>
    <w:multiLevelType w:val="hybridMultilevel"/>
    <w:lvl w:ilvl="0">
      <w:lvlJc w:val="left"/>
      <w:lvlText w:val="%1"/>
      <w:numFmt w:val="lowerLetter"/>
      <w:start w:val="1"/>
    </w:lvl>
    <w:lvl w:ilvl="1">
      <w:lvlJc w:val="left"/>
      <w:lvlText w:val="(%2)"/>
      <w:numFmt w:val="lowerLetter"/>
      <w:start w:val="1"/>
    </w:lvl>
  </w:abstractNum>
  <w:abstractNum w:abstractNumId="336">
    <w:nsid w:val="4AD3AFD2"/>
    <w:multiLevelType w:val="hybridMultilevel"/>
    <w:lvl w:ilvl="0">
      <w:lvlJc w:val="left"/>
      <w:lvlText w:val="(%1)"/>
      <w:numFmt w:val="lowerLetter"/>
      <w:start w:val="9"/>
    </w:lvl>
    <w:lvl w:ilvl="1">
      <w:lvlJc w:val="left"/>
      <w:lvlText w:val="(%2)"/>
      <w:numFmt w:val="lowerLetter"/>
      <w:start w:val="2"/>
    </w:lvl>
  </w:abstractNum>
  <w:abstractNum w:abstractNumId="337">
    <w:nsid w:val="3CF93092"/>
    <w:multiLevelType w:val="hybridMultilevel"/>
    <w:lvl w:ilvl="0">
      <w:lvlJc w:val="left"/>
      <w:lvlText w:val="(%1)"/>
      <w:numFmt w:val="upperLetter"/>
      <w:start w:val="1"/>
    </w:lvl>
    <w:lvl w:ilvl="1">
      <w:lvlJc w:val="left"/>
      <w:lvlText w:val="(%2)"/>
      <w:numFmt w:val="lowerRoman"/>
      <w:start w:val="1"/>
    </w:lvl>
  </w:abstractNum>
  <w:abstractNum w:abstractNumId="338">
    <w:nsid w:val="6863E8D2"/>
    <w:multiLevelType w:val="hybridMultilevel"/>
    <w:lvl w:ilvl="0">
      <w:lvlJc w:val="left"/>
      <w:lvlText w:val="(%1)"/>
      <w:numFmt w:val="upperLetter"/>
      <w:start w:val="1"/>
    </w:lvl>
  </w:abstractNum>
  <w:abstractNum w:abstractNumId="339">
    <w:nsid w:val="76896198"/>
    <w:multiLevelType w:val="hybridMultilevel"/>
    <w:lvl w:ilvl="0">
      <w:lvlJc w:val="left"/>
      <w:lvlText w:val="(%1)"/>
      <w:numFmt w:val="lowerLetter"/>
      <w:start w:val="24"/>
    </w:lvl>
    <w:lvl w:ilvl="1">
      <w:lvlJc w:val="left"/>
      <w:lvlText w:val="%2"/>
      <w:numFmt w:val="lowerRoman"/>
      <w:start w:val="1"/>
    </w:lvl>
  </w:abstractNum>
  <w:abstractNum w:abstractNumId="340">
    <w:nsid w:val="4365174B"/>
    <w:multiLevelType w:val="hybridMultilevel"/>
    <w:lvl w:ilvl="0">
      <w:lvlJc w:val="left"/>
      <w:lvlText w:val="(%1)"/>
      <w:numFmt w:val="lowerLetter"/>
      <w:start w:val="26"/>
    </w:lvl>
    <w:lvl w:ilvl="1">
      <w:lvlJc w:val="left"/>
      <w:lvlText w:val="(%2)"/>
      <w:numFmt w:val="lowerRoman"/>
      <w:start w:val="2"/>
    </w:lvl>
  </w:abstractNum>
  <w:abstractNum w:abstractNumId="341">
    <w:nsid w:val="4A872C35"/>
    <w:multiLevelType w:val="hybridMultilevel"/>
    <w:lvl w:ilvl="0">
      <w:lvlJc w:val="left"/>
      <w:lvlText w:val="(%1)"/>
      <w:numFmt w:val="lowerLetter"/>
      <w:start w:val="3"/>
    </w:lvl>
  </w:abstractNum>
  <w:abstractNum w:abstractNumId="342">
    <w:nsid w:val="5D5CE761"/>
    <w:multiLevelType w:val="hybridMultilevel"/>
    <w:lvl w:ilvl="0">
      <w:lvlJc w:val="left"/>
      <w:lvlText w:val="(%1)"/>
      <w:numFmt w:val="lowerLetter"/>
      <w:start w:val="5"/>
    </w:lvl>
  </w:abstractNum>
  <w:abstractNum w:abstractNumId="343">
    <w:nsid w:val="1CD484D5"/>
    <w:multiLevelType w:val="hybridMultilevel"/>
    <w:lvl w:ilvl="0">
      <w:lvlJc w:val="left"/>
      <w:lvlText w:val="."/>
      <w:numFmt w:val="bullet"/>
      <w:start w:val="1"/>
    </w:lvl>
  </w:abstractNum>
  <w:abstractNum w:abstractNumId="344">
    <w:nsid w:val="21D06255"/>
    <w:multiLevelType w:val="hybridMultilevel"/>
    <w:lvl w:ilvl="0">
      <w:lvlJc w:val="left"/>
      <w:lvlText w:val="(%1)"/>
      <w:numFmt w:val="lowerLetter"/>
      <w:start w:val="1"/>
    </w:lvl>
  </w:abstractNum>
  <w:abstractNum w:abstractNumId="345">
    <w:nsid w:val="51194ED1"/>
    <w:multiLevelType w:val="hybridMultilevel"/>
    <w:lvl w:ilvl="0">
      <w:lvlJc w:val="left"/>
      <w:lvlText w:val="."/>
      <w:numFmt w:val="bullet"/>
      <w:start w:val="1"/>
    </w:lvl>
  </w:abstractNum>
  <w:abstractNum w:abstractNumId="346">
    <w:nsid w:val="44E2ED6C"/>
    <w:multiLevelType w:val="hybridMultilevel"/>
    <w:lvl w:ilvl="0">
      <w:lvlJc w:val="left"/>
      <w:lvlText w:val="."/>
      <w:numFmt w:val="bullet"/>
      <w:start w:val="1"/>
    </w:lvl>
  </w:abstractNum>
  <w:abstractNum w:abstractNumId="347">
    <w:nsid w:val="2219B33"/>
    <w:multiLevelType w:val="hybridMultilevel"/>
    <w:lvl w:ilvl="0">
      <w:lvlJc w:val="left"/>
      <w:lvlText w:val="(%1)"/>
      <w:numFmt w:val="lowerLetter"/>
      <w:start w:val="1"/>
    </w:lvl>
  </w:abstractNum>
  <w:abstractNum w:abstractNumId="348">
    <w:nsid w:val="773BFBDD"/>
    <w:multiLevelType w:val="hybridMultilevel"/>
    <w:lvl w:ilvl="0">
      <w:lvlJc w:val="left"/>
      <w:lvlText w:val="(%1)"/>
      <w:numFmt w:val="lowerLetter"/>
      <w:start w:val="5"/>
    </w:lvl>
  </w:abstractNum>
  <w:abstractNum w:abstractNumId="349">
    <w:nsid w:val="2C7C62C2"/>
    <w:multiLevelType w:val="hybridMultilevel"/>
    <w:lvl w:ilvl="0">
      <w:lvlJc w:val="left"/>
      <w:lvlText w:val="(%1)"/>
      <w:numFmt w:val="lowerLetter"/>
      <w:start w:val="6"/>
    </w:lvl>
  </w:abstractNum>
  <w:abstractNum w:abstractNumId="350">
    <w:nsid w:val="1A54D7BC"/>
    <w:multiLevelType w:val="hybridMultilevel"/>
    <w:lvl w:ilvl="0">
      <w:lvlJc w:val="left"/>
      <w:lvlText w:val="."/>
      <w:numFmt w:val="bullet"/>
      <w:start w:val="1"/>
    </w:lvl>
  </w:abstractNum>
  <w:abstractNum w:abstractNumId="351">
    <w:nsid w:val="42E57EF7"/>
    <w:multiLevelType w:val="hybridMultilevel"/>
    <w:lvl w:ilvl="0">
      <w:lvlJc w:val="left"/>
      <w:lvlText w:val="."/>
      <w:numFmt w:val="bullet"/>
      <w:start w:val="1"/>
    </w:lvl>
  </w:abstractNum>
  <w:abstractNum w:abstractNumId="352">
    <w:nsid w:val="33537CED"/>
    <w:multiLevelType w:val="hybridMultilevel"/>
    <w:lvl w:ilvl="0">
      <w:lvlJc w:val="left"/>
      <w:lvlText w:val="."/>
      <w:numFmt w:val="bullet"/>
      <w:start w:val="1"/>
    </w:lvl>
  </w:abstractNum>
  <w:abstractNum w:abstractNumId="353">
    <w:nsid w:val="27514ADE"/>
    <w:multiLevelType w:val="hybridMultilevel"/>
    <w:lvl w:ilvl="0">
      <w:lvlJc w:val="left"/>
      <w:lvlText w:val="."/>
      <w:numFmt w:val="bullet"/>
      <w:start w:val="1"/>
    </w:lvl>
  </w:abstractNum>
  <w:abstractNum w:abstractNumId="354">
    <w:nsid w:val="57071613"/>
    <w:multiLevelType w:val="hybridMultilevel"/>
    <w:lvl w:ilvl="0">
      <w:lvlJc w:val="left"/>
      <w:lvlText w:val="."/>
      <w:numFmt w:val="bullet"/>
      <w:start w:val="1"/>
    </w:lvl>
  </w:abstractNum>
  <w:abstractNum w:abstractNumId="355">
    <w:nsid w:val="5293BFEF"/>
    <w:multiLevelType w:val="hybridMultilevel"/>
    <w:lvl w:ilvl="0">
      <w:lvlJc w:val="left"/>
      <w:lvlText w:val="."/>
      <w:numFmt w:val="bullet"/>
      <w:start w:val="1"/>
    </w:lvl>
  </w:abstractNum>
  <w:abstractNum w:abstractNumId="356">
    <w:nsid w:val="38BF53E5"/>
    <w:multiLevelType w:val="hybridMultilevel"/>
    <w:lvl w:ilvl="0">
      <w:lvlJc w:val="left"/>
      <w:lvlText w:val="."/>
      <w:numFmt w:val="bullet"/>
      <w:start w:val="1"/>
    </w:lvl>
  </w:abstractNum>
  <w:abstractNum w:abstractNumId="357">
    <w:nsid w:val="226F5320"/>
    <w:multiLevelType w:val="hybridMultilevel"/>
    <w:lvl w:ilvl="0">
      <w:lvlJc w:val="left"/>
      <w:lvlText w:val="(%1)"/>
      <w:numFmt w:val="lowerLetter"/>
      <w:start w:val="1"/>
    </w:lvl>
  </w:abstractNum>
  <w:abstractNum w:abstractNumId="358">
    <w:nsid w:val="5A0201C7"/>
    <w:multiLevelType w:val="hybridMultilevel"/>
    <w:lvl w:ilvl="0">
      <w:lvlJc w:val="left"/>
      <w:lvlText w:val="."/>
      <w:numFmt w:val="bullet"/>
      <w:start w:val="1"/>
    </w:lvl>
  </w:abstractNum>
  <w:abstractNum w:abstractNumId="359">
    <w:nsid w:val="2A9C34E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60">
    <w:nsid w:val="1B7585AB"/>
    <w:multiLevelType w:val="hybridMultilevel"/>
    <w:lvl w:ilvl="0">
      <w:lvlJc w:val="left"/>
      <w:lvlText w:val="."/>
      <w:numFmt w:val="bullet"/>
      <w:start w:val="1"/>
    </w:lvl>
  </w:abstractNum>
  <w:abstractNum w:abstractNumId="361">
    <w:nsid w:val="612DBDDD"/>
    <w:multiLevelType w:val="hybridMultilevel"/>
    <w:lvl w:ilvl="0">
      <w:lvlJc w:val="left"/>
      <w:lvlText w:val="(%1)"/>
      <w:numFmt w:val="lowerLetter"/>
      <w:start w:val="1"/>
    </w:lvl>
  </w:abstractNum>
  <w:abstractNum w:abstractNumId="362">
    <w:nsid w:val="2109CDA4"/>
    <w:multiLevelType w:val="hybridMultilevel"/>
    <w:lvl w:ilvl="0">
      <w:lvlJc w:val="left"/>
      <w:lvlText w:val="."/>
      <w:numFmt w:val="bullet"/>
      <w:start w:val="1"/>
    </w:lvl>
  </w:abstractNum>
  <w:abstractNum w:abstractNumId="363">
    <w:nsid w:val="577F5A4D"/>
    <w:multiLevelType w:val="hybridMultilevel"/>
    <w:lvl w:ilvl="0">
      <w:lvlJc w:val="left"/>
      <w:lvlText w:val="%1"/>
      <w:numFmt w:val="lowerRoman"/>
      <w:start w:val="1"/>
    </w:lvl>
    <w:lvl w:ilvl="1">
      <w:lvlJc w:val="left"/>
      <w:lvlText w:val="(%2)"/>
      <w:numFmt w:val="lowerLetter"/>
      <w:start w:val="1"/>
    </w:lvl>
  </w:abstractNum>
  <w:abstractNum w:abstractNumId="364">
    <w:nsid w:val="2121A81"/>
    <w:multiLevelType w:val="hybridMultilevel"/>
    <w:lvl w:ilvl="0">
      <w:lvlJc w:val="left"/>
      <w:lvlText w:val="(%1)"/>
      <w:numFmt w:val="lowerRoman"/>
      <w:start w:val="4"/>
    </w:lvl>
    <w:lvl w:ilvl="1">
      <w:lvlJc w:val="left"/>
      <w:lvlText w:val="%2"/>
      <w:numFmt w:val="lowerLetter"/>
      <w:start w:val="1"/>
    </w:lvl>
  </w:abstractNum>
  <w:abstractNum w:abstractNumId="365">
    <w:nsid w:val="6C2CFC88"/>
    <w:multiLevelType w:val="hybridMultilevel"/>
    <w:lvl w:ilvl="0">
      <w:lvlJc w:val="left"/>
      <w:lvlText w:val="."/>
      <w:numFmt w:val="bullet"/>
      <w:start w:val="1"/>
    </w:lvl>
  </w:abstractNum>
  <w:abstractNum w:abstractNumId="366">
    <w:nsid w:val="6D1BCF1C"/>
    <w:multiLevelType w:val="hybridMultilevel"/>
    <w:lvl w:ilvl="0">
      <w:lvlJc w:val="left"/>
      <w:lvlText w:val="."/>
      <w:numFmt w:val="bullet"/>
      <w:start w:val="1"/>
    </w:lvl>
  </w:abstractNum>
  <w:abstractNum w:abstractNumId="367">
    <w:nsid w:val="4CE5CA53"/>
    <w:multiLevelType w:val="hybridMultilevel"/>
    <w:lvl w:ilvl="0">
      <w:lvlJc w:val="left"/>
      <w:lvlText w:val="."/>
      <w:numFmt w:val="bullet"/>
      <w:start w:val="1"/>
    </w:lvl>
  </w:abstractNum>
  <w:abstractNum w:abstractNumId="368">
    <w:nsid w:val="29262D1A"/>
    <w:multiLevelType w:val="hybridMultilevel"/>
    <w:lvl w:ilvl="0">
      <w:lvlJc w:val="left"/>
      <w:lvlText w:val="."/>
      <w:numFmt w:val="bullet"/>
      <w:start w:val="1"/>
    </w:lvl>
  </w:abstractNum>
  <w:abstractNum w:abstractNumId="369">
    <w:nsid w:val="557FB7EE"/>
    <w:multiLevelType w:val="hybridMultilevel"/>
    <w:lvl w:ilvl="0">
      <w:lvlJc w:val="left"/>
      <w:lvlText w:val="."/>
      <w:numFmt w:val="bullet"/>
      <w:start w:val="1"/>
    </w:lvl>
  </w:abstractNum>
  <w:abstractNum w:abstractNumId="370">
    <w:nsid w:val="436F2BEB"/>
    <w:multiLevelType w:val="hybridMultilevel"/>
    <w:lvl w:ilvl="0">
      <w:lvlJc w:val="left"/>
      <w:lvlText w:val="."/>
      <w:numFmt w:val="bullet"/>
      <w:start w:val="1"/>
    </w:lvl>
  </w:abstractNum>
  <w:abstractNum w:abstractNumId="371">
    <w:nsid w:val="6C8B4466"/>
    <w:multiLevelType w:val="hybridMultilevel"/>
    <w:lvl w:ilvl="0">
      <w:lvlJc w:val="left"/>
      <w:lvlText w:val="."/>
      <w:numFmt w:val="bullet"/>
      <w:start w:val="1"/>
    </w:lvl>
  </w:abstractNum>
  <w:abstractNum w:abstractNumId="372">
    <w:nsid w:val="2006E424"/>
    <w:multiLevelType w:val="hybridMultilevel"/>
    <w:lvl w:ilvl="0">
      <w:lvlJc w:val="left"/>
      <w:lvlText w:val="."/>
      <w:numFmt w:val="bullet"/>
      <w:start w:val="1"/>
    </w:lvl>
  </w:abstractNum>
  <w:abstractNum w:abstractNumId="373">
    <w:nsid w:val="20CC134C"/>
    <w:multiLevelType w:val="hybridMultilevel"/>
    <w:lvl w:ilvl="0">
      <w:lvlJc w:val="left"/>
      <w:lvlText w:val="%1."/>
      <w:numFmt w:val="decimal"/>
      <w:start w:val="1"/>
    </w:lvl>
  </w:abstractNum>
  <w:abstractNum w:abstractNumId="374">
    <w:nsid w:val="95FC93B"/>
    <w:multiLevelType w:val="hybridMultilevel"/>
    <w:lvl w:ilvl="0">
      <w:lvlJc w:val="left"/>
      <w:lvlText w:val="%1."/>
      <w:numFmt w:val="decimal"/>
      <w:start w:val="2"/>
    </w:lvl>
  </w:abstractNum>
  <w:abstractNum w:abstractNumId="375">
    <w:nsid w:val="41D74679"/>
    <w:multiLevelType w:val="hybridMultilevel"/>
    <w:lvl w:ilvl="0">
      <w:lvlJc w:val="left"/>
      <w:lvlText w:val="%1."/>
      <w:numFmt w:val="decimal"/>
      <w:start w:val="1"/>
    </w:lvl>
  </w:abstractNum>
  <w:abstractNum w:abstractNumId="376">
    <w:nsid w:val="71E5621E"/>
    <w:multiLevelType w:val="hybridMultilevel"/>
    <w:lvl w:ilvl="0">
      <w:lvlJc w:val="left"/>
      <w:lvlText w:val="%1."/>
      <w:numFmt w:val="decimal"/>
      <w:start w:val="2"/>
    </w:lvl>
  </w:abstractNum>
  <w:abstractNum w:abstractNumId="377">
    <w:nsid w:val="4E42B6A8"/>
    <w:multiLevelType w:val="hybridMultilevel"/>
    <w:lvl w:ilvl="0">
      <w:lvlJc w:val="left"/>
      <w:lvlText w:val="(%1)"/>
      <w:numFmt w:val="lowerLetter"/>
      <w:start w:val="4"/>
    </w:lvl>
  </w:abstractNum>
  <w:abstractNum w:abstractNumId="378">
    <w:nsid w:val="43F8E1AC"/>
    <w:multiLevelType w:val="hybridMultilevel"/>
    <w:lvl w:ilvl="0">
      <w:lvlJc w:val="left"/>
      <w:lvlText w:val="(%1)"/>
      <w:numFmt w:val="lowerRoman"/>
      <w:start w:val="1"/>
    </w:lvl>
  </w:abstractNum>
  <w:abstractNum w:abstractNumId="379">
    <w:nsid w:val="69215DFB"/>
    <w:multiLevelType w:val="hybridMultilevel"/>
    <w:lvl w:ilvl="0">
      <w:lvlJc w:val="left"/>
      <w:lvlText w:val="(%1)"/>
      <w:numFmt w:val="decimal"/>
      <w:start w:val="20"/>
    </w:lvl>
  </w:abstractNum>
  <w:abstractNum w:abstractNumId="380">
    <w:nsid w:val="7ABF196A"/>
    <w:multiLevelType w:val="hybridMultilevel"/>
    <w:lvl w:ilvl="0">
      <w:lvlJc w:val="left"/>
      <w:lvlText w:val="•"/>
      <w:numFmt w:val="bullet"/>
      <w:start w:val="1"/>
    </w:lvl>
  </w:abstractNum>
  <w:abstractNum w:abstractNumId="381">
    <w:nsid w:val="5E4DB968"/>
    <w:multiLevelType w:val="hybridMultilevel"/>
    <w:lvl w:ilvl="0">
      <w:lvlJc w:val="left"/>
      <w:lvlText w:val="•"/>
      <w:numFmt w:val="bullet"/>
      <w:start w:val="1"/>
    </w:lvl>
  </w:abstractNum>
  <w:abstractNum w:abstractNumId="382">
    <w:nsid w:val="2C06DCF3"/>
    <w:multiLevelType w:val="hybridMultilevel"/>
    <w:lvl w:ilvl="0">
      <w:lvlJc w:val="left"/>
      <w:lvlText w:val="•"/>
      <w:numFmt w:val="bullet"/>
      <w:start w:val="1"/>
    </w:lvl>
  </w:abstractNum>
  <w:abstractNum w:abstractNumId="383">
    <w:nsid w:val="2E129658"/>
    <w:multiLevelType w:val="hybridMultilevel"/>
    <w:lvl w:ilvl="0">
      <w:lvlJc w:val="left"/>
      <w:lvlText w:val="%1."/>
      <w:numFmt w:val="decimal"/>
      <w:start w:val="1"/>
    </w:lvl>
    <w:lvl w:ilvl="1">
      <w:lvlJc w:val="left"/>
      <w:lvlText w:val="%2."/>
      <w:numFmt w:val="lowerLetter"/>
      <w:start w:val="1"/>
    </w:lvl>
  </w:abstractNum>
  <w:abstractNum w:abstractNumId="384">
    <w:nsid w:val="59F0446"/>
    <w:multiLevelType w:val="hybridMultilevel"/>
    <w:lvl w:ilvl="0">
      <w:lvlJc w:val="left"/>
      <w:lvlText w:val="%1."/>
      <w:numFmt w:val="decimal"/>
      <w:start w:val="1"/>
    </w:lvl>
    <w:lvl w:ilvl="1">
      <w:lvlJc w:val="left"/>
      <w:lvlText w:val="%2."/>
      <w:numFmt w:val="lowerLetter"/>
      <w:start w:val="1"/>
    </w:lvl>
  </w:abstractNum>
  <w:abstractNum w:abstractNumId="385">
    <w:nsid w:val="30DF3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8" Type="http://schemas.openxmlformats.org/officeDocument/2006/relationships/image" Target="media/image120.png"/><Relationship Id="rId143" Type="http://schemas.openxmlformats.org/officeDocument/2006/relationships/image" Target="media/image121.png"/><Relationship Id="rId149" Type="http://schemas.openxmlformats.org/officeDocument/2006/relationships/image" Target="media/image122.png"/><Relationship Id="rId155" Type="http://schemas.openxmlformats.org/officeDocument/2006/relationships/image" Target="media/image123.png"/><Relationship Id="rId161" Type="http://schemas.openxmlformats.org/officeDocument/2006/relationships/image" Target="media/image124.png"/><Relationship Id="rId175" Type="http://schemas.openxmlformats.org/officeDocument/2006/relationships/image" Target="media/image125.png"/><Relationship Id="rId197" Type="http://schemas.openxmlformats.org/officeDocument/2006/relationships/image" Target="media/image126.png"/><Relationship Id="rId219" Type="http://schemas.openxmlformats.org/officeDocument/2006/relationships/image" Target="media/image127.png"/><Relationship Id="rId241" Type="http://schemas.openxmlformats.org/officeDocument/2006/relationships/image" Target="media/image128.png"/><Relationship Id="rId256" Type="http://schemas.openxmlformats.org/officeDocument/2006/relationships/image" Target="media/image129.png"/><Relationship Id="rId257" Type="http://schemas.openxmlformats.org/officeDocument/2006/relationships/image" Target="media/image130.png"/><Relationship Id="rId258" Type="http://schemas.openxmlformats.org/officeDocument/2006/relationships/image" Target="media/image131.png"/><Relationship Id="rId259" Type="http://schemas.openxmlformats.org/officeDocument/2006/relationships/image" Target="media/image132.png"/><Relationship Id="rId260" Type="http://schemas.openxmlformats.org/officeDocument/2006/relationships/image" Target="media/image133.png"/><Relationship Id="rId261" Type="http://schemas.openxmlformats.org/officeDocument/2006/relationships/image" Target="media/image134.png"/><Relationship Id="rId262" Type="http://schemas.openxmlformats.org/officeDocument/2006/relationships/image" Target="media/image135.png"/><Relationship Id="rId263" Type="http://schemas.openxmlformats.org/officeDocument/2006/relationships/image" Target="media/image136.png"/><Relationship Id="rId264" Type="http://schemas.openxmlformats.org/officeDocument/2006/relationships/image" Target="media/image137.png"/><Relationship Id="rId265" Type="http://schemas.openxmlformats.org/officeDocument/2006/relationships/image" Target="media/image138.png"/><Relationship Id="rId266" Type="http://schemas.openxmlformats.org/officeDocument/2006/relationships/image" Target="media/image139.png"/><Relationship Id="rId267" Type="http://schemas.openxmlformats.org/officeDocument/2006/relationships/image" Target="media/image140.png"/><Relationship Id="rId268" Type="http://schemas.openxmlformats.org/officeDocument/2006/relationships/image" Target="media/image141.png"/><Relationship Id="rId269" Type="http://schemas.openxmlformats.org/officeDocument/2006/relationships/image" Target="media/image142.png"/><Relationship Id="rId270" Type="http://schemas.openxmlformats.org/officeDocument/2006/relationships/image" Target="media/image143.png"/><Relationship Id="rId271" Type="http://schemas.openxmlformats.org/officeDocument/2006/relationships/image" Target="media/image144.png"/><Relationship Id="rId272" Type="http://schemas.openxmlformats.org/officeDocument/2006/relationships/image" Target="media/image145.png"/><Relationship Id="rId273" Type="http://schemas.openxmlformats.org/officeDocument/2006/relationships/image" Target="media/image146.png"/><Relationship Id="rId274" Type="http://schemas.openxmlformats.org/officeDocument/2006/relationships/image" Target="media/image147.png"/><Relationship Id="rId275" Type="http://schemas.openxmlformats.org/officeDocument/2006/relationships/image" Target="media/image148.png"/><Relationship Id="rId276" Type="http://schemas.openxmlformats.org/officeDocument/2006/relationships/image" Target="media/image149.png"/><Relationship Id="rId277" Type="http://schemas.openxmlformats.org/officeDocument/2006/relationships/image" Target="media/image150.png"/><Relationship Id="rId278" Type="http://schemas.openxmlformats.org/officeDocument/2006/relationships/image" Target="media/image151.png"/><Relationship Id="rId279" Type="http://schemas.openxmlformats.org/officeDocument/2006/relationships/image" Target="media/image152.png"/><Relationship Id="rId280" Type="http://schemas.openxmlformats.org/officeDocument/2006/relationships/image" Target="media/image153.png"/><Relationship Id="rId281" Type="http://schemas.openxmlformats.org/officeDocument/2006/relationships/image" Target="media/image154.png"/><Relationship Id="rId282" Type="http://schemas.openxmlformats.org/officeDocument/2006/relationships/image" Target="media/image155.png"/><Relationship Id="rId283" Type="http://schemas.openxmlformats.org/officeDocument/2006/relationships/image" Target="media/image156.png"/><Relationship Id="rId284" Type="http://schemas.openxmlformats.org/officeDocument/2006/relationships/image" Target="media/image157.png"/><Relationship Id="rId285" Type="http://schemas.openxmlformats.org/officeDocument/2006/relationships/image" Target="media/image158.png"/><Relationship Id="rId286" Type="http://schemas.openxmlformats.org/officeDocument/2006/relationships/image" Target="media/image159.png"/><Relationship Id="rId287" Type="http://schemas.openxmlformats.org/officeDocument/2006/relationships/image" Target="media/image160.png"/><Relationship Id="rId127" Type="http://schemas.openxmlformats.org/officeDocument/2006/relationships/hyperlink" Target="https://www.sec.gov/Archives/edgar/data/1584509/000162828023033364/exhibit21-aramarkclosing8xk.htm" TargetMode="External"/><Relationship Id="rId129" Type="http://schemas.openxmlformats.org/officeDocument/2006/relationships/hyperlink" Target="http://www.sec.gov/Archives/edgar/data/1584509/000158450920000014/secondamendedandrestat.htm" TargetMode="External"/><Relationship Id="rId130" Type="http://schemas.openxmlformats.org/officeDocument/2006/relationships/hyperlink" Target="http://www.sec.gov/Archives/edgar/data/1584509/000119312514201307/d728418dex31.htm" TargetMode="External"/><Relationship Id="rId131" Type="http://schemas.openxmlformats.org/officeDocument/2006/relationships/hyperlink" Target="https://www.sec.gov/Archives/edgar/data/1584509/000158450923000149/ex31-fourthamendedandresta.htm" TargetMode="External"/><Relationship Id="rId132" Type="http://schemas.openxmlformats.org/officeDocument/2006/relationships/hyperlink" Target="http://www.sec.gov/Archives/edgar/data/1584509/000119312517099980/d363392dex41.htm" TargetMode="External"/><Relationship Id="rId133" Type="http://schemas.openxmlformats.org/officeDocument/2006/relationships/hyperlink" Target="http://www.sec.gov/Archives/edgar/data/1584509/000119312517099980/d363392dex42.htm" TargetMode="External"/><Relationship Id="rId134" Type="http://schemas.openxmlformats.org/officeDocument/2006/relationships/hyperlink" Target="http://www.sec.gov/Archives/edgar/data/1584509/000158450918000013/ex41.htm" TargetMode="External"/><Relationship Id="rId135" Type="http://schemas.openxmlformats.org/officeDocument/2006/relationships/hyperlink" Target="http://www.sec.gov/Archives/edgar/data/1584509/000119312520121405/d917057dex41.htm" TargetMode="External"/><Relationship Id="rId136" Type="http://schemas.openxmlformats.org/officeDocument/2006/relationships/hyperlink" Target="http://www.sec.gov/Archives/edgar/data/1584509/000158450921000111/ex41q22021-supplementalind.htm" TargetMode="External"/><Relationship Id="rId137" Type="http://schemas.openxmlformats.org/officeDocument/2006/relationships/hyperlink" Target="http://www.sec.gov/Archives/edgar/data/1584509/000158450921000111/ex42q22021-supplementalind.htm" TargetMode="External"/><Relationship Id="rId138" Type="http://schemas.openxmlformats.org/officeDocument/2006/relationships/hyperlink" Target="http://www.sec.gov/Archives/edgar/data/1584509/000158450921000111/ex45q22021-supplementalind.htm" TargetMode="External"/><Relationship Id="rId139" Type="http://schemas.openxmlformats.org/officeDocument/2006/relationships/hyperlink" Target="https://www.sec.gov/Archives/edgar/data/1584509/000158450923000044/ex41-armkxthirdsupplementa.htm" TargetMode="External"/><Relationship Id="rId140" Type="http://schemas.openxmlformats.org/officeDocument/2006/relationships/hyperlink" Target="https://www.sec.gov/Archives/edgar/data/1584509/000158450923000044/ex42-armkxthirdsupplementa.htm" TargetMode="External"/><Relationship Id="rId141" Type="http://schemas.openxmlformats.org/officeDocument/2006/relationships/hyperlink" Target="https://www.sec.gov/Archives/edgar/data/1584509/000158450923000044/ex44-armkxthirdsupplementa.htm" TargetMode="External"/><Relationship Id="rId142" Type="http://schemas.openxmlformats.org/officeDocument/2006/relationships/hyperlink" Target="http://www.sec.gov/Archives/edgar/data/1584509/000158450920000230/ex462020xdescriptionof.htm" TargetMode="External"/><Relationship Id="rId144" Type="http://schemas.openxmlformats.org/officeDocument/2006/relationships/hyperlink" Target="http://www.sec.gov/Archives/edgar/data/1584509/000119312517101789/d367212dex101.htm" TargetMode="External"/><Relationship Id="rId145" Type="http://schemas.openxmlformats.org/officeDocument/2006/relationships/hyperlink" Target="http://www.sec.gov/Archives/edgar/data/1584509/000119312517294599/d423386dex101.htm" TargetMode="External"/><Relationship Id="rId146" Type="http://schemas.openxmlformats.org/officeDocument/2006/relationships/hyperlink" Target="http://www.sec.gov/Archives/edgar/data/1584509/000119312517366828/d510705dex101.htm" TargetMode="External"/><Relationship Id="rId147" Type="http://schemas.openxmlformats.org/officeDocument/2006/relationships/hyperlink" Target="http://www.sec.gov/Archives/edgar/data/1584509/000158450918000095/ex101q22018.htm" TargetMode="External"/><Relationship Id="rId148" Type="http://schemas.openxmlformats.org/officeDocument/2006/relationships/hyperlink" Target="http://www.sec.gov/Archives/edgar/data/1584509/000158450918000151/ex101-amendedcreditagreeme.htm" TargetMode="External"/><Relationship Id="rId150" Type="http://schemas.openxmlformats.org/officeDocument/2006/relationships/hyperlink" Target="http://www.sec.gov/Archives/edgar/data/1584509/000158450918000099/ex101-amendedcreditagreeme.htm" TargetMode="External"/><Relationship Id="rId151" Type="http://schemas.openxmlformats.org/officeDocument/2006/relationships/hyperlink" Target="http://www.sec.gov/Archives/edgar/data/1584509/000158450918000135/ex101-amendedcreditagreeme.htm" TargetMode="External"/><Relationship Id="rId152" Type="http://schemas.openxmlformats.org/officeDocument/2006/relationships/hyperlink" Target="http://www.sec.gov/Archives/edgar/data/1584509/000158450918000186/aramarkamendmentno7.htm" TargetMode="External"/><Relationship Id="rId153" Type="http://schemas.openxmlformats.org/officeDocument/2006/relationships/hyperlink" Target="http://www.sec.gov/Archives/edgar/data/1584509/000158450920000012/a8kexhibit.htm" TargetMode="External"/><Relationship Id="rId154" Type="http://schemas.openxmlformats.org/officeDocument/2006/relationships/hyperlink" Target="http://www.sec.gov/Archives/edgar/data/1584509/000119312520121405/d917057dex101.htm" TargetMode="External"/><Relationship Id="rId156" Type="http://schemas.openxmlformats.org/officeDocument/2006/relationships/hyperlink" Target="http://www.sec.gov/Archives/edgar/data/1584509/000158450920000230/ex1011aramark-amendmen.htm" TargetMode="External"/><Relationship Id="rId157" Type="http://schemas.openxmlformats.org/officeDocument/2006/relationships/hyperlink" Target="http://www.sec.gov/Archives/edgar/data/1584509/000158450921000169/ex101-amendmentno11tocredi.htm" TargetMode="External"/><Relationship Id="rId158" Type="http://schemas.openxmlformats.org/officeDocument/2006/relationships/hyperlink" Target="https://www.sec.gov/Archives/edgar/data/1584509/000158450923000144/ex101-amendmentno12tocredi.htm" TargetMode="External"/><Relationship Id="rId159" Type="http://schemas.openxmlformats.org/officeDocument/2006/relationships/hyperlink" Target="https://www.sec.gov/Archives/edgar/data/1584509/000158450923000154/ex102-amendmentno13tocredi.htm" TargetMode="External"/><Relationship Id="rId160" Type="http://schemas.openxmlformats.org/officeDocument/2006/relationships/hyperlink" Target="https://www.sec.gov/Archives/edgar/data/1584509/000158450924000088/exhibit101ofamendmentno1.htm" TargetMode="External"/><Relationship Id="rId162" Type="http://schemas.openxmlformats.org/officeDocument/2006/relationships/hyperlink" Target="https://www.sec.gov/Archives/edgar/data/1584509/000158450924000149/exhibit101ofamendmentno15o.htm" TargetMode="External"/><Relationship Id="rId163" Type="http://schemas.openxmlformats.org/officeDocument/2006/relationships/hyperlink" Target="https://www.sec.gov/Archives/edgar/data/1584509/000158450923000044/ex101-armkjoinderagreement.htm" TargetMode="External"/><Relationship Id="rId164" Type="http://schemas.openxmlformats.org/officeDocument/2006/relationships/hyperlink" Target="http://www.sec.gov/Archives/edgar/data/1584509/000158450917000099/ex102aramarksecurityagreem.htm" TargetMode="External"/><Relationship Id="rId165" Type="http://schemas.openxmlformats.org/officeDocument/2006/relationships/hyperlink" Target="http://www.sec.gov/Archives/edgar/data/1584509/000119312513474715/d644709dex102.htm" TargetMode="External"/><Relationship Id="rId166" Type="http://schemas.openxmlformats.org/officeDocument/2006/relationships/hyperlink" Target="http://www.sec.gov/Archives/edgar/data/7032/000119312507158115/dex101.htm" TargetMode="External"/><Relationship Id="rId167" Type="http://schemas.openxmlformats.org/officeDocument/2006/relationships/hyperlink" Target="http://www.sec.gov/Archives/edgar/data/7032/000119312508253626/dex108.htm" TargetMode="External"/><Relationship Id="rId168" Type="http://schemas.openxmlformats.org/officeDocument/2006/relationships/hyperlink" Target="http://www.sec.gov/Archives/edgar/data/1584509/000158450919000237/ex1021-harringtonoffer.htm" TargetMode="External"/><Relationship Id="rId169" Type="http://schemas.openxmlformats.org/officeDocument/2006/relationships/hyperlink" Target="http://www.sec.gov/Archives/edgar/data/1584509/000119312520194769/d881977dex105.htm" TargetMode="External"/><Relationship Id="rId170" Type="http://schemas.openxmlformats.org/officeDocument/2006/relationships/hyperlink" Target="http://www.sec.gov/Archives/edgar/data/1584509/000119312519263370/d815967dex102.htm" TargetMode="External"/><Relationship Id="rId171" Type="http://schemas.openxmlformats.org/officeDocument/2006/relationships/hyperlink" Target="http://www.sec.gov/Archives/edgar/data/1584509/000119312520194769/d881977dex101.htm" TargetMode="External"/><Relationship Id="rId172" Type="http://schemas.openxmlformats.org/officeDocument/2006/relationships/hyperlink" Target="http://www.sec.gov/Archives/edgar/data/1584509/000119312520001803/d831164dex102.htm" TargetMode="External"/><Relationship Id="rId173" Type="http://schemas.openxmlformats.org/officeDocument/2006/relationships/hyperlink" Target="http://www.sec.gov/Archives/edgar/data/1584509/000119312520194769/d881977dex102.htm" TargetMode="External"/><Relationship Id="rId174" Type="http://schemas.openxmlformats.org/officeDocument/2006/relationships/hyperlink" Target="https://www.sec.gov/Archives/edgar/data/1584509/000119312523292690/d75026dex103.htm" TargetMode="External"/><Relationship Id="rId176" Type="http://schemas.openxmlformats.org/officeDocument/2006/relationships/hyperlink" Target="https://www.sec.gov/Archives/edgar/data/1584509/000158450924000099/conformedtondrof-amendment.htm" TargetMode="External"/><Relationship Id="rId177" Type="http://schemas.openxmlformats.org/officeDocument/2006/relationships/hyperlink" Target="http://www.sec.gov/Archives/edgar/data/1584509/000119312520194769/d881977dex103.htm" TargetMode="External"/><Relationship Id="rId178" Type="http://schemas.openxmlformats.org/officeDocument/2006/relationships/hyperlink" Target="https://www.sec.gov/Archives/edgar/data/1584509/000158450922000244/ex1012023armkxletteragreem.htm" TargetMode="External"/><Relationship Id="rId179" Type="http://schemas.openxmlformats.org/officeDocument/2006/relationships/hyperlink" Target="http://www.sec.gov/Archives/edgar/data/1584509/000158450920000230/ex10292020xmarcbrunoof.htm" TargetMode="External"/><Relationship Id="rId180" Type="http://schemas.openxmlformats.org/officeDocument/2006/relationships/hyperlink" Target="https://www.sec.gov/Archives/edgar/data/1584509/000158450920000230/ex10302020xmarcbrunoar.htm" TargetMode="External"/><Relationship Id="rId181" Type="http://schemas.openxmlformats.org/officeDocument/2006/relationships/hyperlink" Target="https://www.sec.gov/Archives/edgar/data/1584509/000158450923000237/ex1029armkxabigailcharpent.htm" TargetMode="External"/><Relationship Id="rId182" Type="http://schemas.openxmlformats.org/officeDocument/2006/relationships/hyperlink" Target="https://www.sec.gov/Archives/edgar/data/1584509/000158450923000237/ex1030armkabigailcharpenti.htm" TargetMode="External"/><Relationship Id="rId183" Type="http://schemas.openxmlformats.org/officeDocument/2006/relationships/hyperlink" Target="https://www.sec.gov/Archives/edgar/data/1584509/000119312523292690/d75026dex101.htm" TargetMode="External"/><Relationship Id="rId184" Type="http://schemas.openxmlformats.org/officeDocument/2006/relationships/hyperlink" Target="https://www.sec.gov/Archives/edgar/data/1584509/000119312523292690/d75026dex102.htm" TargetMode="External"/><Relationship Id="rId185" Type="http://schemas.openxmlformats.org/officeDocument/2006/relationships/hyperlink" Target="http://www.sec.gov/Archives/edgar/data/1144528/000119312505163797/dex104.htm" TargetMode="External"/><Relationship Id="rId186" Type="http://schemas.openxmlformats.org/officeDocument/2006/relationships/hyperlink" Target="http://www.sec.gov/Archives/edgar/data/1584509/000158450917000247/ex1017formofindemnificatio.htm" TargetMode="External"/><Relationship Id="rId187" Type="http://schemas.openxmlformats.org/officeDocument/2006/relationships/hyperlink" Target="http://www.sec.gov/Archives/edgar/data/1584509/000158450919000237/ex1029-indemnification.htm" TargetMode="External"/><Relationship Id="rId188" Type="http://schemas.openxmlformats.org/officeDocument/2006/relationships/hyperlink" Target="http://www.sec.gov/Archives/edgar/data/1584509/000158450914000006/ex102indemnification-sadove.htm" TargetMode="External"/><Relationship Id="rId189" Type="http://schemas.openxmlformats.org/officeDocument/2006/relationships/hyperlink" Target="http://www.sec.gov/Archives/edgar/data/1144528/000089375002000332/exh10-1.txt" TargetMode="External"/><Relationship Id="rId190" Type="http://schemas.openxmlformats.org/officeDocument/2006/relationships/hyperlink" Target="http://www.sec.gov/Archives/edgar/data/1584509/000119312513445875/d574424dex1045.htm" TargetMode="External"/><Relationship Id="rId191" Type="http://schemas.openxmlformats.org/officeDocument/2006/relationships/hyperlink" Target="http://www.sec.gov/Archives/edgar/data/1584509/000158450920000044/ex106q12020.htm" TargetMode="External"/><Relationship Id="rId192" Type="http://schemas.openxmlformats.org/officeDocument/2006/relationships/hyperlink" Target="http://www.sec.gov/Archives/edgar/data/7032/000119312507175629/dex105.htm" TargetMode="External"/><Relationship Id="rId193" Type="http://schemas.openxmlformats.org/officeDocument/2006/relationships/hyperlink" Target="http://www.sec.gov/Archives/edgar/data/1584509/000119312513445875/d574424dex1048.htm" TargetMode="External"/><Relationship Id="rId194" Type="http://schemas.openxmlformats.org/officeDocument/2006/relationships/hyperlink" Target="http://www.sec.gov/Archives/edgar/data/1584509/000158450916000312/ex102thirdamendedandrestat.htm" TargetMode="External"/><Relationship Id="rId195" Type="http://schemas.openxmlformats.org/officeDocument/2006/relationships/hyperlink" Target="https://www.sec.gov/Archives/edgar/data/1584509/000158450921000256/ex10392021armkxamendedandr.htm" TargetMode="External"/><Relationship Id="rId196" Type="http://schemas.openxmlformats.org/officeDocument/2006/relationships/hyperlink" Target="http://www.sec.gov/Archives/edgar/data/1584509/000119312513360815/d574424dex1067.htm" TargetMode="External"/><Relationship Id="rId198" Type="http://schemas.openxmlformats.org/officeDocument/2006/relationships/hyperlink" Target="http://www.sec.gov/Archives/edgar/data/1584509/000158450917000042/ex101aramarkamendedandrest.htm" TargetMode="External"/><Relationship Id="rId199" Type="http://schemas.openxmlformats.org/officeDocument/2006/relationships/hyperlink" Target="http://www.sec.gov/Archives/edgar/data/1584509/000119312519320893/d754382ddef14a.htm#toc754382_28" TargetMode="External"/><Relationship Id="rId200" Type="http://schemas.openxmlformats.org/officeDocument/2006/relationships/hyperlink" Target="http://www.sec.gov/Archives/edgar/data/1584509/000119312520326024/d51571ddef14a.htm#toc51571_27" TargetMode="External"/><Relationship Id="rId201" Type="http://schemas.openxmlformats.org/officeDocument/2006/relationships/hyperlink" Target="http://www.sec.gov/Archives/edgar/data/7032/000000703213000051/exhibit102.htm" TargetMode="External"/><Relationship Id="rId202" Type="http://schemas.openxmlformats.org/officeDocument/2006/relationships/hyperlink" Target="http://www.sec.gov/Archives/edgar/data/7032/000000703213000051/exhibit105.htm" TargetMode="External"/><Relationship Id="rId203" Type="http://schemas.openxmlformats.org/officeDocument/2006/relationships/hyperlink" Target="http://www.sec.gov/Archives/edgar/data/1584509/000119312513445875/d574424dex1068.htm" TargetMode="External"/><Relationship Id="rId204" Type="http://schemas.openxmlformats.org/officeDocument/2006/relationships/hyperlink" Target="http://www.sec.gov/Archives/edgar/data/1584509/000119312513445875/d574424dex1069.htm" TargetMode="External"/><Relationship Id="rId205" Type="http://schemas.openxmlformats.org/officeDocument/2006/relationships/hyperlink" Target="http://www.sec.gov/Archives/edgar/data/1584509/000119312513445875/d574424dex1071.htm" TargetMode="External"/><Relationship Id="rId206" Type="http://schemas.openxmlformats.org/officeDocument/2006/relationships/hyperlink" Target="http://www.sec.gov/Archives/edgar/data/1584509/000158450917000247/ex1072formofoptionawardnot.htm" TargetMode="External"/><Relationship Id="rId207" Type="http://schemas.openxmlformats.org/officeDocument/2006/relationships/hyperlink" Target="http://www.sec.gov/Archives/edgar/data/1584509/000158450917000247/ex1073formofrsuawardnotice.htm" TargetMode="External"/><Relationship Id="rId208" Type="http://schemas.openxmlformats.org/officeDocument/2006/relationships/hyperlink" Target="http://www.sec.gov/Archives/edgar/data/1584509/000158450917000247/ex1074formofpsuawardnotice.htm" TargetMode="External"/><Relationship Id="rId209" Type="http://schemas.openxmlformats.org/officeDocument/2006/relationships/hyperlink" Target="http://www.sec.gov/Archives/edgar/data/1584509/000158450917000247/ex1075formofoptionawardnot.htm" TargetMode="External"/><Relationship Id="rId210" Type="http://schemas.openxmlformats.org/officeDocument/2006/relationships/hyperlink" Target="http://www.sec.gov/Archives/edgar/data/1584509/000158450919000237/ex1093-formofnqsoaward.htm" TargetMode="External"/><Relationship Id="rId211" Type="http://schemas.openxmlformats.org/officeDocument/2006/relationships/hyperlink" Target="http://www.sec.gov/Archives/edgar/data/1584509/000158450919000237/ex1094-formofrsutimeve.htm" TargetMode="External"/><Relationship Id="rId212" Type="http://schemas.openxmlformats.org/officeDocument/2006/relationships/hyperlink" Target="http://www.sec.gov/Archives/edgar/data/1584509/000158450919000237/ex1095-formofpsuaward.htm" TargetMode="External"/><Relationship Id="rId213" Type="http://schemas.openxmlformats.org/officeDocument/2006/relationships/hyperlink" Target="http://www.sec.gov/Archives/edgar/data/1584509/000158450919000237/ex1096-formofscheditop.htm" TargetMode="External"/><Relationship Id="rId214" Type="http://schemas.openxmlformats.org/officeDocument/2006/relationships/hyperlink" Target="http://www.sec.gov/Archives/edgar/data/1584509/000119312520194769/d881977dex106.htm" TargetMode="External"/><Relationship Id="rId215" Type="http://schemas.openxmlformats.org/officeDocument/2006/relationships/hyperlink" Target="http://www.sec.gov/Archives/edgar/data/1584509/000119312520194769/d881977dex107.htm" TargetMode="External"/><Relationship Id="rId216" Type="http://schemas.openxmlformats.org/officeDocument/2006/relationships/hyperlink" Target="http://www.sec.gov/Archives/edgar/data/1584509/000119312520194769/d881977dex108.htm" TargetMode="External"/><Relationship Id="rId217" Type="http://schemas.openxmlformats.org/officeDocument/2006/relationships/hyperlink" Target="http://www.sec.gov/Archives/edgar/data/1584509/000158450920000230/ex101042020xamendedand.htm" TargetMode="External"/><Relationship Id="rId218" Type="http://schemas.openxmlformats.org/officeDocument/2006/relationships/hyperlink" Target="http://www.sec.gov/Archives/edgar/data/1584509/000158450920000230/ex101052020xeltformofn.htm" TargetMode="External"/><Relationship Id="rId220" Type="http://schemas.openxmlformats.org/officeDocument/2006/relationships/hyperlink" Target="http://www.sec.gov/Archives/edgar/data/1584509/000158450920000230/ex101062020xamendedand.htm" TargetMode="External"/><Relationship Id="rId221" Type="http://schemas.openxmlformats.org/officeDocument/2006/relationships/hyperlink" Target="http://www.sec.gov/Archives/edgar/data/1584509/000158450920000230/ex10107-amendedandrest.htm" TargetMode="External"/><Relationship Id="rId222" Type="http://schemas.openxmlformats.org/officeDocument/2006/relationships/hyperlink" Target="http://www.sec.gov/Archives/edgar/data/1584509/000158450920000230/ex10108-formofnonxqual.htm" TargetMode="External"/><Relationship Id="rId223" Type="http://schemas.openxmlformats.org/officeDocument/2006/relationships/hyperlink" Target="http://www.sec.gov/Archives/edgar/data/1584509/000158450920000230/ex101092020xformofrsua.htm" TargetMode="External"/><Relationship Id="rId224" Type="http://schemas.openxmlformats.org/officeDocument/2006/relationships/hyperlink" Target="http://www.sec.gov/Archives/edgar/data/1584509/000119312513445875/d574424dex1073.htm" TargetMode="External"/><Relationship Id="rId225" Type="http://schemas.openxmlformats.org/officeDocument/2006/relationships/hyperlink" Target="http://www.sec.gov/Archives/edgar/data/1584509/000158450914000122/ex1077revisedformofdsuawar.htmv" TargetMode="External"/><Relationship Id="rId226" Type="http://schemas.openxmlformats.org/officeDocument/2006/relationships/hyperlink" Target="http://www.sec.gov/Archives/edgar/data/1584509/000158450914000122/ex1077revisedformofdsuawar.htm" TargetMode="External"/><Relationship Id="rId227" Type="http://schemas.openxmlformats.org/officeDocument/2006/relationships/hyperlink" Target="http://www.sec.gov/Archives/edgar/data/1584509/000158450915000089/ex104dsuagreement.htm" TargetMode="External"/><Relationship Id="rId228" Type="http://schemas.openxmlformats.org/officeDocument/2006/relationships/hyperlink" Target="http://www.sec.gov/Archives/edgar/data/1584509/000158450915000215/ex1069aircrafttimesharinga.htm" TargetMode="External"/><Relationship Id="rId229" Type="http://schemas.openxmlformats.org/officeDocument/2006/relationships/hyperlink" Target="http://www.sec.gov/Archives/edgar/data/1584509/000119312520326024/d51571ddef14a.htm#toc51571_28" TargetMode="External"/><Relationship Id="rId230" Type="http://schemas.openxmlformats.org/officeDocument/2006/relationships/hyperlink" Target="https://www.sec.gov/Archives/edgar/data/1584509/000158450922000236/ex10872022armkxamendmentnu.htm" TargetMode="External"/><Relationship Id="rId231" Type="http://schemas.openxmlformats.org/officeDocument/2006/relationships/hyperlink" Target="https://www.sec.gov/Archives/edgar/data/1584509/000158450922000236/ex10882022armkxfy23eltstoc.htm" TargetMode="External"/><Relationship Id="rId232" Type="http://schemas.openxmlformats.org/officeDocument/2006/relationships/hyperlink" Target="https://www.sec.gov/Archives/edgar/data/1584509/000158450922000236/ex10892022armkxfy23eltrsug.htm" TargetMode="External"/><Relationship Id="rId233" Type="http://schemas.openxmlformats.org/officeDocument/2006/relationships/hyperlink" Target="https://www.sec.gov/Archives/edgar/data/1584509/000158450922000236/ex10902022armkxfy23eltpsug.htm" TargetMode="External"/><Relationship Id="rId234" Type="http://schemas.openxmlformats.org/officeDocument/2006/relationships/hyperlink" Target="https://www.sec.gov/Archives/edgar/data/1584509/000158450922000236/ex10912022armkxfy23ceopsug.htm" TargetMode="External"/><Relationship Id="rId235" Type="http://schemas.openxmlformats.org/officeDocument/2006/relationships/hyperlink" Target="https://www.sec.gov/Archives/edgar/data/1584509/000158450922000236/ex10922022armkxfy23ceorsug.htm" TargetMode="External"/><Relationship Id="rId236" Type="http://schemas.openxmlformats.org/officeDocument/2006/relationships/hyperlink" Target="https://www.sec.gov/Archives/edgar/data/1584509/000158450922000236/ex10932022armkxfy23ceostoc.htm" TargetMode="External"/><Relationship Id="rId237" Type="http://schemas.openxmlformats.org/officeDocument/2006/relationships/hyperlink" Target="https://www.sec.gov/Archives/edgar/data/1584509/000158450922000236/ex10942022armkxformofsched.htm" TargetMode="External"/><Relationship Id="rId238" Type="http://schemas.openxmlformats.org/officeDocument/2006/relationships/hyperlink" Target="https://www.sec.gov/Archives/edgar/data/1584509/000119312522311785/d301987ddef14a.htm" TargetMode="External"/><Relationship Id="rId239" Type="http://schemas.openxmlformats.org/officeDocument/2006/relationships/hyperlink" Target="https://www.sec.gov/Archives/edgar/data/1584509/000158450923000108/ex101formofannualdsugranta.htm" TargetMode="External"/><Relationship Id="rId240" Type="http://schemas.openxmlformats.org/officeDocument/2006/relationships/hyperlink" Target="https://www.sec.gov/Archives/edgar/data/1584509/000158450923000108/ex102formofquarterlydeferr.htm" TargetMode="External"/><Relationship Id="rId242" Type="http://schemas.openxmlformats.org/officeDocument/2006/relationships/hyperlink" Target="https://www.sec.gov/Archives/edgar/data/1584509/000158450923000154/ex103-amendedandrestatedar.htm" TargetMode="External"/><Relationship Id="rId243" Type="http://schemas.openxmlformats.org/officeDocument/2006/relationships/hyperlink" Target="https://www.sec.gov/Archives/edgar/data/1584509/000162828023033364/exhibit101-aramarkclosing8.htm" TargetMode="External"/><Relationship Id="rId244" Type="http://schemas.openxmlformats.org/officeDocument/2006/relationships/hyperlink" Target="https://www.sec.gov/Archives/edgar/data/1584509/000162828023033364/exhibit102-aramarkclosing8.htm" TargetMode="External"/><Relationship Id="rId245" Type="http://schemas.openxmlformats.org/officeDocument/2006/relationships/hyperlink" Target="https://www.sec.gov/Archives/edgar/data/1584509/000162828023033364/exhibit103-aramarkclosing8.htm" TargetMode="External"/><Relationship Id="rId246" Type="http://schemas.openxmlformats.org/officeDocument/2006/relationships/hyperlink" Target="https://www.sec.gov/Archives/edgar/data/1584509/000158450923000237/ex10942023armkxfy24eltstoc.htm" TargetMode="External"/><Relationship Id="rId247" Type="http://schemas.openxmlformats.org/officeDocument/2006/relationships/hyperlink" Target="https://www.sec.gov/Archives/edgar/data/1584509/000158450923000237/ex10952023armkxfy24eltrsug.htm" TargetMode="External"/><Relationship Id="rId248" Type="http://schemas.openxmlformats.org/officeDocument/2006/relationships/hyperlink" Target="https://www.sec.gov/Archives/edgar/data/1584509/000158450923000237/ex10962023armkxfy24eltpsug.htm" TargetMode="External"/><Relationship Id="rId249" Type="http://schemas.openxmlformats.org/officeDocument/2006/relationships/hyperlink" Target="https://www.sec.gov/Archives/edgar/data/1584509/000158450923000237/ex10972023armkxfy24ceostoc.htm" TargetMode="External"/><Relationship Id="rId250" Type="http://schemas.openxmlformats.org/officeDocument/2006/relationships/hyperlink" Target="https://www.sec.gov/Archives/edgar/data/1584509/000158450923000237/ex10982023armkxfy24ceorsug.htm" TargetMode="External"/><Relationship Id="rId251" Type="http://schemas.openxmlformats.org/officeDocument/2006/relationships/hyperlink" Target="https://www.sec.gov/Archives/edgar/data/1584509/000158450923000237/ex10992023armkxfy24ceopsug.htm" TargetMode="External"/><Relationship Id="rId252" Type="http://schemas.openxmlformats.org/officeDocument/2006/relationships/hyperlink" Target="https://www.sec.gov/Archives/edgar/data/1584509/000158450923000237/ex101002023armkxamendedand.htm" TargetMode="External"/><Relationship Id="rId253" Type="http://schemas.openxmlformats.org/officeDocument/2006/relationships/hyperlink" Target="https://www.sec.gov/Archives/edgar/data/1584509/000158450923000237/ex101012023armkxamendedand.htm" TargetMode="External"/><Relationship Id="rId254" Type="http://schemas.openxmlformats.org/officeDocument/2006/relationships/hyperlink" Target="https://www.sec.gov/Archives/edgar/data/1584509/000158450924000156/exhibit101.htm" TargetMode="External"/><Relationship Id="rId255" Type="http://schemas.openxmlformats.org/officeDocument/2006/relationships/hyperlink" Target="https://www.sec.gov/Archives/edgar/data/1584509/000158450923000237/ex972023armkxaramarkinc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2024-11-19T15:37:41Z</dcterms:created>
  <dcterms:modified xsi:type="dcterms:W3CDTF">2024-11-19T15:37:41Z</dcterms:modified>
</cp:coreProperties>
</file>