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27, 2019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257810</wp:posOffset>
            </wp:positionV>
            <wp:extent cx="247015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420" w:type="dxa"/>
        <w:tblCellMar>
          <w:top w:w="0" w:type="dxa"/>
          <w:left w:w="0" w:type="dxa"/>
          <w:bottom w:w="0" w:type="dxa"/>
          <w:right w:w="0" w:type="dxa"/>
        </w:tblCellMar>
      </w:tblPr>
      <w:tr>
        <w:trPr>
          <w:trHeight w:val="421"/>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32"/>
                <w:szCs w:val="32"/>
                <w:b w:val="1"/>
                <w:bCs w:val="1"/>
                <w:color w:val="auto"/>
              </w:rPr>
              <w:t>Aramark</w:t>
            </w:r>
          </w:p>
        </w:tc>
        <w:tc>
          <w:tcPr>
            <w:tcW w:w="348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80" w:type="dxa"/>
            <w:vAlign w:val="bottom"/>
            <w:gridSpan w:val="4"/>
          </w:tcPr>
          <w:p>
            <w:pPr>
              <w:jc w:val="center"/>
              <w:ind w:right="318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55"/>
        </w:trPr>
        <w:tc>
          <w:tcPr>
            <w:tcW w:w="1540" w:type="dxa"/>
            <w:vAlign w:val="bottom"/>
          </w:tcPr>
          <w:p>
            <w:pPr>
              <w:spacing w:after="0"/>
              <w:rPr>
                <w:sz w:val="22"/>
                <w:szCs w:val="22"/>
                <w:color w:val="auto"/>
              </w:rPr>
            </w:pPr>
          </w:p>
        </w:tc>
        <w:tc>
          <w:tcPr>
            <w:tcW w:w="2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Delaware</w:t>
            </w:r>
          </w:p>
        </w:tc>
        <w:tc>
          <w:tcPr>
            <w:tcW w:w="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80" w:type="dxa"/>
            <w:vAlign w:val="bottom"/>
          </w:tcPr>
          <w:p>
            <w:pPr>
              <w:jc w:val="right"/>
              <w:ind w:right="1460"/>
              <w:spacing w:after="0"/>
              <w:rPr>
                <w:sz w:val="20"/>
                <w:szCs w:val="20"/>
                <w:color w:val="auto"/>
              </w:rPr>
            </w:pPr>
            <w:r>
              <w:rPr>
                <w:rFonts w:ascii="Arial" w:cs="Arial" w:eastAsia="Arial" w:hAnsi="Arial"/>
                <w:sz w:val="18"/>
                <w:szCs w:val="18"/>
                <w:b w:val="1"/>
                <w:bCs w:val="1"/>
                <w:color w:val="auto"/>
              </w:rPr>
              <w:t>20-8236097</w:t>
            </w:r>
          </w:p>
        </w:tc>
      </w:tr>
      <w:tr>
        <w:trPr>
          <w:trHeight w:val="184"/>
        </w:trPr>
        <w:tc>
          <w:tcPr>
            <w:tcW w:w="1540" w:type="dxa"/>
            <w:vAlign w:val="bottom"/>
          </w:tcPr>
          <w:p>
            <w:pPr>
              <w:spacing w:after="0"/>
              <w:rPr>
                <w:sz w:val="15"/>
                <w:szCs w:val="15"/>
                <w:color w:val="auto"/>
              </w:rPr>
            </w:pPr>
          </w:p>
        </w:tc>
        <w:tc>
          <w:tcPr>
            <w:tcW w:w="22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(State or other jurisdiction of</w:t>
            </w: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80" w:type="dxa"/>
            <w:vAlign w:val="bottom"/>
          </w:tcPr>
          <w:p>
            <w:pPr>
              <w:jc w:val="center"/>
              <w:ind w:right="420"/>
              <w:spacing w:after="0"/>
              <w:rPr>
                <w:sz w:val="20"/>
                <w:szCs w:val="20"/>
                <w:color w:val="auto"/>
              </w:rPr>
            </w:pPr>
            <w:r>
              <w:rPr>
                <w:rFonts w:ascii="Arial" w:cs="Arial" w:eastAsia="Arial" w:hAnsi="Arial"/>
                <w:sz w:val="14"/>
                <w:szCs w:val="14"/>
                <w:color w:val="auto"/>
                <w:w w:val="95"/>
              </w:rPr>
              <w:t>(I.R.S. Employer</w:t>
            </w:r>
          </w:p>
        </w:tc>
      </w:tr>
      <w:tr>
        <w:trPr>
          <w:trHeight w:val="182"/>
        </w:trPr>
        <w:tc>
          <w:tcPr>
            <w:tcW w:w="1540" w:type="dxa"/>
            <w:vAlign w:val="bottom"/>
          </w:tcPr>
          <w:p>
            <w:pPr>
              <w:spacing w:after="0"/>
              <w:rPr>
                <w:sz w:val="15"/>
                <w:szCs w:val="15"/>
                <w:color w:val="auto"/>
              </w:rPr>
            </w:pPr>
          </w:p>
        </w:tc>
        <w:tc>
          <w:tcPr>
            <w:tcW w:w="22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incorporation or organization)</w:t>
            </w: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80" w:type="dxa"/>
            <w:vAlign w:val="bottom"/>
          </w:tcPr>
          <w:p>
            <w:pPr>
              <w:jc w:val="center"/>
              <w:ind w:right="400"/>
              <w:spacing w:after="0"/>
              <w:rPr>
                <w:sz w:val="20"/>
                <w:szCs w:val="20"/>
                <w:color w:val="auto"/>
              </w:rPr>
            </w:pPr>
            <w:r>
              <w:rPr>
                <w:rFonts w:ascii="Arial" w:cs="Arial" w:eastAsia="Arial" w:hAnsi="Arial"/>
                <w:sz w:val="14"/>
                <w:szCs w:val="14"/>
                <w:color w:val="auto"/>
                <w:w w:val="96"/>
              </w:rPr>
              <w:t>Identification Number)</w:t>
            </w:r>
          </w:p>
        </w:tc>
      </w:tr>
      <w:tr>
        <w:trPr>
          <w:trHeight w:val="255"/>
        </w:trPr>
        <w:tc>
          <w:tcPr>
            <w:tcW w:w="1540" w:type="dxa"/>
            <w:vAlign w:val="bottom"/>
          </w:tcPr>
          <w:p>
            <w:pPr>
              <w:spacing w:after="0"/>
              <w:rPr>
                <w:sz w:val="22"/>
                <w:szCs w:val="22"/>
                <w:color w:val="auto"/>
              </w:rPr>
            </w:pPr>
          </w:p>
        </w:tc>
        <w:tc>
          <w:tcPr>
            <w:tcW w:w="2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2400 Market Street</w:t>
            </w:r>
          </w:p>
        </w:tc>
        <w:tc>
          <w:tcPr>
            <w:tcW w:w="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70"/>
        </w:trPr>
        <w:tc>
          <w:tcPr>
            <w:tcW w:w="1540" w:type="dxa"/>
            <w:vAlign w:val="bottom"/>
          </w:tcPr>
          <w:p>
            <w:pPr>
              <w:spacing w:after="0"/>
              <w:rPr>
                <w:sz w:val="23"/>
                <w:szCs w:val="23"/>
                <w:color w:val="auto"/>
              </w:rPr>
            </w:pPr>
          </w:p>
        </w:tc>
        <w:tc>
          <w:tcPr>
            <w:tcW w:w="2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Philadelphia, Pennsylvania</w:t>
            </w:r>
          </w:p>
        </w:tc>
        <w:tc>
          <w:tcPr>
            <w:tcW w:w="8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80" w:type="dxa"/>
            <w:vAlign w:val="bottom"/>
          </w:tcPr>
          <w:p>
            <w:pPr>
              <w:jc w:val="right"/>
              <w:ind w:right="1680"/>
              <w:spacing w:after="0"/>
              <w:rPr>
                <w:sz w:val="20"/>
                <w:szCs w:val="20"/>
                <w:color w:val="auto"/>
              </w:rPr>
            </w:pPr>
            <w:r>
              <w:rPr>
                <w:rFonts w:ascii="Arial" w:cs="Arial" w:eastAsia="Arial" w:hAnsi="Arial"/>
                <w:sz w:val="18"/>
                <w:szCs w:val="18"/>
                <w:b w:val="1"/>
                <w:bCs w:val="1"/>
                <w:color w:val="auto"/>
              </w:rPr>
              <w:t>19103</w:t>
            </w:r>
          </w:p>
        </w:tc>
      </w:tr>
      <w:tr>
        <w:trPr>
          <w:trHeight w:val="218"/>
        </w:trPr>
        <w:tc>
          <w:tcPr>
            <w:tcW w:w="3780" w:type="dxa"/>
            <w:vAlign w:val="bottom"/>
            <w:gridSpan w:val="3"/>
          </w:tcPr>
          <w:p>
            <w:pPr>
              <w:jc w:val="center"/>
              <w:ind w:left="1419"/>
              <w:spacing w:after="0"/>
              <w:rPr>
                <w:sz w:val="20"/>
                <w:szCs w:val="20"/>
                <w:color w:val="auto"/>
              </w:rPr>
            </w:pPr>
            <w:r>
              <w:rPr>
                <w:rFonts w:ascii="Arial" w:cs="Arial" w:eastAsia="Arial" w:hAnsi="Arial"/>
                <w:sz w:val="14"/>
                <w:szCs w:val="14"/>
                <w:color w:val="auto"/>
                <w:w w:val="95"/>
              </w:rPr>
              <w:t>(Address of principal executive offices)</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80" w:type="dxa"/>
            <w:vAlign w:val="bottom"/>
          </w:tcPr>
          <w:p>
            <w:pPr>
              <w:jc w:val="center"/>
              <w:ind w:right="400"/>
              <w:spacing w:after="0"/>
              <w:rPr>
                <w:sz w:val="20"/>
                <w:szCs w:val="20"/>
                <w:color w:val="auto"/>
              </w:rPr>
            </w:pPr>
            <w:r>
              <w:rPr>
                <w:rFonts w:ascii="Arial" w:cs="Arial" w:eastAsia="Arial" w:hAnsi="Arial"/>
                <w:sz w:val="14"/>
                <w:szCs w:val="14"/>
                <w:color w:val="auto"/>
                <w:w w:val="96"/>
              </w:rPr>
              <w:t>(Zip Code)</w:t>
            </w:r>
          </w:p>
        </w:tc>
      </w:tr>
      <w:tr>
        <w:trPr>
          <w:trHeight w:val="282"/>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(215) 238-3000</w:t>
            </w:r>
          </w:p>
        </w:tc>
        <w:tc>
          <w:tcPr>
            <w:tcW w:w="5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2"/>
        </w:trPr>
        <w:tc>
          <w:tcPr>
            <w:tcW w:w="1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80" w:type="dxa"/>
            <w:vAlign w:val="bottom"/>
            <w:gridSpan w:val="4"/>
          </w:tcPr>
          <w:p>
            <w:pPr>
              <w:jc w:val="center"/>
              <w:ind w:right="316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10060" w:type="dxa"/>
            <w:vAlign w:val="bottom"/>
            <w:gridSpan w:val="7"/>
          </w:tcPr>
          <w:p>
            <w:pPr>
              <w:jc w:val="right"/>
              <w:ind w:right="2760"/>
              <w:spacing w:after="0"/>
              <w:rPr>
                <w:sz w:val="20"/>
                <w:szCs w:val="20"/>
                <w:color w:val="auto"/>
              </w:rPr>
            </w:pPr>
            <w:r>
              <w:rPr>
                <w:rFonts w:ascii="Arial" w:cs="Arial" w:eastAsia="Arial" w:hAnsi="Arial"/>
                <w:sz w:val="18"/>
                <w:szCs w:val="18"/>
                <w:color w:val="auto"/>
              </w:rPr>
              <w:t>___________________________________________</w:t>
            </w:r>
          </w:p>
        </w:tc>
      </w:tr>
      <w:tr>
        <w:trPr>
          <w:trHeight w:val="432"/>
        </w:trPr>
        <w:tc>
          <w:tcPr>
            <w:tcW w:w="65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480" w:type="dxa"/>
            <w:vAlign w:val="bottom"/>
          </w:tcPr>
          <w:p>
            <w:pPr>
              <w:spacing w:after="0"/>
              <w:rPr>
                <w:sz w:val="24"/>
                <w:szCs w:val="24"/>
                <w:color w:val="auto"/>
              </w:rPr>
            </w:pPr>
          </w:p>
        </w:tc>
      </w:tr>
      <w:tr>
        <w:trPr>
          <w:trHeight w:val="473"/>
        </w:trPr>
        <w:tc>
          <w:tcPr>
            <w:tcW w:w="15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800" w:type="dxa"/>
            <w:vAlign w:val="bottom"/>
          </w:tcPr>
          <w:p>
            <w:pPr>
              <w:spacing w:after="0"/>
              <w:rPr>
                <w:sz w:val="24"/>
                <w:szCs w:val="24"/>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38"/>
        </w:trPr>
        <w:tc>
          <w:tcPr>
            <w:tcW w:w="3780" w:type="dxa"/>
            <w:vAlign w:val="bottom"/>
            <w:gridSpan w:val="3"/>
          </w:tcPr>
          <w:p>
            <w:pPr>
              <w:ind w:left="1220"/>
              <w:spacing w:after="0"/>
              <w:rPr>
                <w:sz w:val="20"/>
                <w:szCs w:val="20"/>
                <w:color w:val="auto"/>
              </w:rPr>
            </w:pPr>
            <w:r>
              <w:rPr>
                <w:rFonts w:ascii="Arial" w:cs="Arial" w:eastAsia="Arial" w:hAnsi="Arial"/>
                <w:sz w:val="14"/>
                <w:szCs w:val="14"/>
                <w:color w:val="auto"/>
                <w:w w:val="96"/>
              </w:rPr>
              <w:t>Common Stock, par value $0.01 per share</w:t>
            </w:r>
          </w:p>
        </w:tc>
        <w:tc>
          <w:tcPr>
            <w:tcW w:w="800" w:type="dxa"/>
            <w:vAlign w:val="bottom"/>
          </w:tcPr>
          <w:p>
            <w:pPr>
              <w:spacing w:after="0"/>
              <w:rPr>
                <w:sz w:val="20"/>
                <w:szCs w:val="20"/>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4"/>
                <w:szCs w:val="14"/>
                <w:color w:val="auto"/>
              </w:rPr>
              <w:t>ARMK</w:t>
            </w: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8"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ind w:right="80" w:firstLine="405"/>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ind w:left="60"/>
        <w:spacing w:after="0" w:line="207" w:lineRule="exact"/>
        <w:tabs>
          <w:tab w:leader="none" w:pos="2200" w:val="left"/>
          <w:tab w:leader="none" w:pos="2560" w:val="left"/>
          <w:tab w:leader="none" w:pos="4040" w:val="left"/>
          <w:tab w:leader="none" w:pos="4400" w:val="left"/>
          <w:tab w:leader="none" w:pos="6200" w:val="left"/>
          <w:tab w:leader="none" w:pos="8700" w:val="left"/>
          <w:tab w:leader="none" w:pos="111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tab/>
        <w:t>Accelerated filer</w:t>
      </w:r>
      <w:r>
        <w:rPr>
          <w:sz w:val="20"/>
          <w:szCs w:val="20"/>
          <w:color w:val="auto"/>
        </w:rPr>
        <w:tab/>
      </w:r>
      <w:r>
        <w:rPr>
          <w:rFonts w:ascii="Arial" w:cs="Arial" w:eastAsia="Arial" w:hAnsi="Arial"/>
          <w:sz w:val="18"/>
          <w:szCs w:val="18"/>
          <w:color w:val="auto"/>
        </w:rPr>
        <w:t>o</w:t>
        <w:tab/>
        <w:t>Non-accelerated filer</w:t>
      </w:r>
      <w:r>
        <w:rPr>
          <w:sz w:val="20"/>
          <w:szCs w:val="20"/>
          <w:color w:val="auto"/>
        </w:rPr>
        <w:tab/>
      </w:r>
      <w:r>
        <w:rPr>
          <w:rFonts w:ascii="Arial" w:cs="Arial" w:eastAsia="Arial" w:hAnsi="Arial"/>
          <w:sz w:val="18"/>
          <w:szCs w:val="18"/>
          <w:color w:val="auto"/>
        </w:rPr>
        <w:t>o  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3" w:lineRule="exact"/>
        <w:rPr>
          <w:sz w:val="24"/>
          <w:szCs w:val="24"/>
          <w:color w:val="auto"/>
        </w:rPr>
      </w:pPr>
    </w:p>
    <w:p>
      <w:pPr>
        <w:ind w:right="22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20"/>
        <w:spacing w:after="0" w:line="207" w:lineRule="exact"/>
        <w:tabs>
          <w:tab w:leader="none" w:pos="87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5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January 24, 2020, the number of shares of the registrant's common stock outstanding is 252,267,858.</w:t>
      </w:r>
    </w:p>
    <w:p>
      <w:pPr>
        <w:sectPr>
          <w:pgSz w:w="11900" w:h="16838" w:orient="portrait"/>
          <w:cols w:equalWidth="0" w:num="1">
            <w:col w:w="11360"/>
          </w:cols>
          <w:pgMar w:left="240" w:top="549"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4"/>
          </w:tcPr>
          <w:p>
            <w:pPr>
              <w:ind w:left="6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260" w:type="dxa"/>
            <w:vAlign w:val="bottom"/>
            <w:gridSpan w:val="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 Financial Information</w:t>
              </w:r>
            </w:hyperlink>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60" w:type="dxa"/>
            <w:vAlign w:val="bottom"/>
            <w:tcBorders>
              <w:bottom w:val="single" w:sz="8" w:color="0000EE"/>
            </w:tcBorders>
            <w:gridSpan w:val="5"/>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40" w:type="dxa"/>
            <w:vAlign w:val="bottom"/>
          </w:tcPr>
          <w:p>
            <w:pPr>
              <w:spacing w:after="0"/>
              <w:rPr>
                <w:sz w:val="24"/>
                <w:szCs w:val="24"/>
                <w:color w:val="auto"/>
              </w:rPr>
            </w:pPr>
          </w:p>
        </w:tc>
        <w:tc>
          <w:tcPr>
            <w:tcW w:w="12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460" w:type="dxa"/>
            <w:vAlign w:val="bottom"/>
            <w:gridSpan w:val="15"/>
          </w:tcPr>
          <w:p>
            <w:pPr>
              <w:ind w:left="6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(Unaudited)</w:t>
              </w:r>
            </w:hyperlink>
          </w:p>
        </w:tc>
        <w:tc>
          <w:tcPr>
            <w:tcW w:w="1880" w:type="dxa"/>
            <w:vAlign w:val="bottom"/>
            <w:gridSpan w:val="2"/>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tcBorders>
              <w:top w:val="single" w:sz="8" w:color="0000EE"/>
            </w:tcBorders>
            <w:gridSpan w:val="11"/>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Notes to Condensed Consolidated Financial Statements (Unaudited)</w:t>
              </w:r>
            </w:hyperlink>
          </w:p>
        </w:tc>
        <w:tc>
          <w:tcPr>
            <w:tcW w:w="2100" w:type="dxa"/>
            <w:vAlign w:val="bottom"/>
            <w:gridSpan w:val="3"/>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 About Market Risk</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PART II - Other Information</w:t>
              </w:r>
            </w:hyperlink>
          </w:p>
        </w:tc>
        <w:tc>
          <w:tcPr>
            <w:tcW w:w="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1A.</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80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report includes "forward-looking statements" within the meaning of the Private Securities Litigation Reform Act of 1995 that reflect our current views as to future events and financial performance with respect to, without limitation, conditions in our industry, our operations, our economic performance and financial condition, including, in particular, with respect to, without limitation, anticipated effects of our adoption of new accounting standards, the expected impact of strategic portfolio actions, the benefits and costs of our acquisitions of each of Avendra, LLC ("Avendra") and AmeriPride Services, Inc. ("AmeriPride"), as well as statements regarding these companies' services and products and statements relating to our business and growth strategy. These statements can be identified by the fact that they do not relate strictly to historical or current facts. They use words such as "outlook," "aim," "anticipate," "are or remain or continue to be confident," "have confidence," "estimate," "expect," "will be," "will continue," "will likely result," "project," "intend," "plan," "believe," "see," "look to" and other words and terms of similar meaning or the negative versions of such words.</w:t>
      </w:r>
    </w:p>
    <w:p>
      <w:pPr>
        <w:spacing w:after="0" w:line="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Forward-looking statements speak only as of the date made. All statements we make relating to our estimated and projected earnings, costs, expenditures, cash flows, growth rates, financial results and our estimated benefits and costs of our acquisitions are forward-looking statements. In addition, we, through our senior management, from time to time make forward-looking public statements concerning our expected future operations and performance and other developments. These forward-looking statements are subject to risks and uncertainties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subsequent written and oral forward-looking statements attributable to us, or persons acting on our behalf, are expressly qualified in their entirety by the cautionary statements. Some of the factors that we believe could affect our results or the costs and benefits of the acquisitions include without limitation: unfavorable economic conditions; natural disasters, global calamities,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the inability to achieve cost savings through our cost reduction efforts; our expansion strategy; our ability to successfully integrate the businesses of Avendra and AmeriPride and costs and timing related thereto; the risk of unanticipated restructuring costs or assumption of undisclosed liabilities; the risk that we are unable to achieve the anticipated benefits (including tax benefits) and synergies of the acquisition of AmeriPride and Avendra including whether the transactions will be accretive and within the expected timeframes; the availability of sufficient cash to repay certain indebtedness and our decision to utilize the cash for that purpose; the disruption of the transactions to each of Avendra and AmeriPride and their respective managements; the effect of the transactions on each of Avendra's and AmeriPride's ability to retain and hire key personnel and maintain relationships with customers, suppliers and other third parties;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currency risks and other risks associated with international operations, including Foreign Corrupt Practices Act, U.K. Bribery Act and other anti-corruption law compliance; continued or further unionization of our workforce; liability resulting from our participation in multiemployer defined benefit pension plans; risks associated with suppliers from whom our products are sourced; disruptions to our relationship with, or to the business of, our primary distributor; the inability to hire and retain sufficient qualified personnel or increases in labor costs; healthcare reform legislation; the contract intensive nature of our business, which may lead to client disputes; seasonality; disruptions in the availability of our computer systems or privacy breaches; failure to maintain effective internal controls; our leverage; the inability to generate sufficient cash to service all of our indebtedness; debt agreements that limit our flexibility in operating our business; our ability to attract new or maintain existing customer and supplier relationships at reasonable cost, our ability to retain key personnel and other factors set forth under </w:t>
      </w:r>
      <w:r>
        <w:rPr>
          <w:rFonts w:ascii="Arial" w:cs="Arial" w:eastAsia="Arial" w:hAnsi="Arial"/>
          <w:sz w:val="15"/>
          <w:szCs w:val="15"/>
          <w:color w:val="auto"/>
        </w:rPr>
        <w:t>the</w:t>
      </w:r>
      <w:r>
        <w:rPr>
          <w:rFonts w:ascii="Arial" w:cs="Arial" w:eastAsia="Arial" w:hAnsi="Arial"/>
          <w:sz w:val="16"/>
          <w:szCs w:val="16"/>
          <w:color w:val="auto"/>
        </w:rPr>
        <w:t xml:space="preserve"> </w:t>
      </w:r>
      <w:r>
        <w:rPr>
          <w:rFonts w:ascii="Arial" w:cs="Arial" w:eastAsia="Arial" w:hAnsi="Arial"/>
          <w:sz w:val="15"/>
          <w:szCs w:val="15"/>
          <w:color w:val="auto"/>
        </w:rPr>
        <w:t>headings Item 1A "Risk Factors," Item 3 "Legal Proceedings" and Item 7 "Management's Discussion and Analysis of Financial Condition and Results of Operations" and other sections of our Annual Report on Form 10-K, filed with the SEC on November 26, 2019 as such factors may be updated from time to time in our other periodic filings with the SEC, which are accessible on the SEC's website at www.sec.gov and which may be obtained by contacting Aramark's investor relations department via its website www.aramark.com.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ectPr>
          <w:pgSz w:w="11900" w:h="16838" w:orient="portrait"/>
          <w:cols w:equalWidth="0" w:num="1">
            <w:col w:w="11420"/>
          </w:cols>
          <w:pgMar w:left="240" w:top="17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2019</w:t>
            </w:r>
          </w:p>
        </w:tc>
        <w:tc>
          <w:tcPr>
            <w:tcW w:w="200" w:type="dxa"/>
            <w:vAlign w:val="bottom"/>
          </w:tcPr>
          <w:p>
            <w:pPr>
              <w:spacing w:after="0"/>
              <w:rPr>
                <w:sz w:val="16"/>
                <w:szCs w:val="16"/>
                <w:color w:val="auto"/>
              </w:rPr>
            </w:pPr>
          </w:p>
        </w:tc>
        <w:tc>
          <w:tcPr>
            <w:tcW w:w="150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September 27, 2019</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246,643</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Receivables (less allowances: 2020 - $42,951; 2019 - $49,566)</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1,971,939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1,806,964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411,319</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194,417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193,461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2,828,907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2,658,387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2,158,162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2,181,762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5,537,025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5,518,800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2,013,773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(see Note 8)</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1,173,326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1,343,806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14,273,065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82,981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Current operating lease liabilities (see Note 8)</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855,214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999,517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1,283,547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1,635,853</w:t>
            </w:r>
          </w:p>
        </w:tc>
        <w:tc>
          <w:tcPr>
            <w:tcW w:w="0" w:type="dxa"/>
            <w:vAlign w:val="bottom"/>
          </w:tcPr>
          <w:p>
            <w:pPr>
              <w:spacing w:after="0"/>
              <w:rPr>
                <w:sz w:val="1"/>
                <w:szCs w:val="1"/>
                <w:color w:val="auto"/>
              </w:rPr>
            </w:pPr>
          </w:p>
        </w:tc>
      </w:tr>
      <w:tr>
        <w:trPr>
          <w:trHeight w:val="237"/>
        </w:trPr>
        <w:tc>
          <w:tcPr>
            <w:tcW w:w="7900" w:type="dxa"/>
            <w:vAlign w:val="bottom"/>
          </w:tcPr>
          <w:p>
            <w:pPr>
              <w:ind w:left="1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2,297,493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2,705,298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7,087,720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6,612,239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Operating Lease Liabilities (see Note 8)</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345,500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1,088,822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w w:val="94"/>
              </w:rPr>
              <w:t>Common stock, par value $.01 (authorized: 600,000,000 shares; issued: 2020—287,103,477</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120"/>
              <w:spacing w:after="0"/>
              <w:rPr>
                <w:sz w:val="20"/>
                <w:szCs w:val="20"/>
                <w:color w:val="auto"/>
              </w:rPr>
            </w:pPr>
            <w:r>
              <w:rPr>
                <w:rFonts w:ascii="Arial" w:cs="Arial" w:eastAsia="Arial" w:hAnsi="Arial"/>
                <w:sz w:val="18"/>
                <w:szCs w:val="18"/>
                <w:color w:val="auto"/>
                <w:w w:val="89"/>
              </w:rPr>
              <w:t>shares and 2019—282,919,536 shares; and outstanding: 2020—250,064,705 shares and 2019</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—247,756,091 shares)</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Capital surplus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3,311,147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3,236,450</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1,223,078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1,107,029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(216,965)</w:t>
            </w:r>
          </w:p>
        </w:tc>
        <w:tc>
          <w:tcPr>
            <w:tcW w:w="0" w:type="dxa"/>
            <w:vAlign w:val="bottom"/>
          </w:tcPr>
          <w:p>
            <w:pPr>
              <w:spacing w:after="0"/>
              <w:rPr>
                <w:sz w:val="1"/>
                <w:szCs w:val="1"/>
                <w:color w:val="auto"/>
              </w:rPr>
            </w:pPr>
          </w:p>
        </w:tc>
      </w:tr>
      <w:tr>
        <w:trPr>
          <w:trHeight w:val="229"/>
        </w:trPr>
        <w:tc>
          <w:tcPr>
            <w:tcW w:w="7900" w:type="dxa"/>
            <w:vAlign w:val="bottom"/>
          </w:tcPr>
          <w:p>
            <w:pPr>
              <w:ind w:left="900"/>
              <w:spacing w:after="0"/>
              <w:rPr>
                <w:sz w:val="20"/>
                <w:szCs w:val="20"/>
                <w:color w:val="auto"/>
              </w:rPr>
            </w:pPr>
            <w:r>
              <w:rPr>
                <w:rFonts w:ascii="Arial" w:cs="Arial" w:eastAsia="Arial" w:hAnsi="Arial"/>
                <w:sz w:val="18"/>
                <w:szCs w:val="18"/>
                <w:color w:val="auto"/>
                <w:w w:val="97"/>
              </w:rPr>
              <w:t>Treasury stock (shares held in treasury: 2020—37,038,772 shares and 2019—35,163,445</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(889,755)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3,451,576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3,320,047</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14,273,065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9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9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27, 2019</w:t>
            </w:r>
          </w:p>
        </w:tc>
        <w:tc>
          <w:tcPr>
            <w:tcW w:w="240" w:type="dxa"/>
            <w:vAlign w:val="bottom"/>
          </w:tcPr>
          <w:p>
            <w:pPr>
              <w:spacing w:after="0"/>
              <w:rPr>
                <w:sz w:val="22"/>
                <w:szCs w:val="22"/>
                <w:color w:val="auto"/>
              </w:rPr>
            </w:pPr>
          </w:p>
        </w:tc>
        <w:tc>
          <w:tcPr>
            <w:tcW w:w="158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28, 2018</w:t>
            </w:r>
          </w:p>
        </w:tc>
      </w:tr>
      <w:tr>
        <w:trPr>
          <w:trHeight w:val="27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4,253,597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4,265,349</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3,768,113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3,794,445</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147,936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150,721</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104,130</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Gain on sale of Healthcare Technologies</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(157,309)</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3,999,304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3,891,987</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254,293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373,362</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82,978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174,708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290,384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39,708</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145,883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250,676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660" w:type="dxa"/>
            <w:vAlign w:val="bottom"/>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145,761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250,682</w:t>
            </w:r>
          </w:p>
        </w:tc>
      </w:tr>
      <w:tr>
        <w:trPr>
          <w:trHeight w:val="67"/>
        </w:trPr>
        <w:tc>
          <w:tcPr>
            <w:tcW w:w="7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156"/>
        </w:trPr>
        <w:tc>
          <w:tcPr>
            <w:tcW w:w="7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Earnings per share attributable to Aramark stockholders: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0.99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248,731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246,887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254,121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253,656</w:t>
            </w:r>
          </w:p>
        </w:tc>
      </w:tr>
      <w:tr>
        <w:trPr>
          <w:trHeight w:val="27"/>
        </w:trPr>
        <w:tc>
          <w:tcPr>
            <w:tcW w:w="7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9"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27, 2019</w:t>
            </w:r>
          </w:p>
        </w:tc>
        <w:tc>
          <w:tcPr>
            <w:tcW w:w="240" w:type="dxa"/>
            <w:vAlign w:val="bottom"/>
          </w:tcPr>
          <w:p>
            <w:pPr>
              <w:spacing w:after="0"/>
              <w:rPr>
                <w:sz w:val="22"/>
                <w:szCs w:val="22"/>
                <w:color w:val="auto"/>
              </w:rPr>
            </w:pP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28,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145,883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250,676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14,585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(18,007)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(24,239)</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167,083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208,903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166,961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208,909</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2019</w:t>
            </w:r>
          </w:p>
        </w:tc>
        <w:tc>
          <w:tcPr>
            <w:tcW w:w="200" w:type="dxa"/>
            <w:vAlign w:val="bottom"/>
          </w:tcPr>
          <w:p>
            <w:pPr>
              <w:spacing w:after="0"/>
              <w:rPr>
                <w:sz w:val="22"/>
                <w:szCs w:val="22"/>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December 28, 2018</w:t>
            </w:r>
          </w:p>
        </w:tc>
        <w:tc>
          <w:tcPr>
            <w:tcW w:w="0" w:type="dxa"/>
            <w:vAlign w:val="bottom"/>
          </w:tcPr>
          <w:p>
            <w:pPr>
              <w:spacing w:after="0"/>
              <w:rPr>
                <w:sz w:val="1"/>
                <w:szCs w:val="1"/>
                <w:color w:val="auto"/>
              </w:rPr>
            </w:pPr>
          </w:p>
        </w:tc>
      </w:tr>
      <w:tr>
        <w:trPr>
          <w:trHeight w:val="17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145,883</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250,676</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9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147,936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150,721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29,432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(5,764)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90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14,116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18,562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900"/>
              <w:spacing w:after="0"/>
              <w:rPr>
                <w:sz w:val="20"/>
                <w:szCs w:val="20"/>
                <w:color w:val="auto"/>
              </w:rPr>
            </w:pPr>
            <w:r>
              <w:rPr>
                <w:rFonts w:ascii="Arial" w:cs="Arial" w:eastAsia="Arial" w:hAnsi="Arial"/>
                <w:sz w:val="14"/>
                <w:szCs w:val="14"/>
                <w:color w:val="auto"/>
              </w:rPr>
              <w:t>Net gain on sale of Healthcare Technologies</w:t>
            </w:r>
          </w:p>
        </w:tc>
        <w:tc>
          <w:tcPr>
            <w:tcW w:w="220" w:type="dxa"/>
            <w:vAlign w:val="bottom"/>
            <w:shd w:val="clear" w:color="auto" w:fill="CCEEFF"/>
          </w:tcPr>
          <w:p>
            <w:pPr>
              <w:spacing w:after="0"/>
              <w:rPr>
                <w:sz w:val="17"/>
                <w:szCs w:val="17"/>
                <w:color w:val="auto"/>
              </w:rPr>
            </w:pPr>
          </w:p>
        </w:tc>
        <w:tc>
          <w:tcPr>
            <w:tcW w:w="1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(140,165)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(155,284)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(145,634)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92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14,199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(7,858)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92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(141,235)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(132,285)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(359,801)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(150,229)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Payments made to clients on contracts</w:t>
            </w:r>
          </w:p>
        </w:tc>
        <w:tc>
          <w:tcPr>
            <w:tcW w:w="22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(10,006)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(22,422)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operating activities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(309,484)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(203,662)</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Purchases of property and equipment and other</w:t>
            </w:r>
          </w:p>
        </w:tc>
        <w:tc>
          <w:tcPr>
            <w:tcW w:w="22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(99,196)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(114,400)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Disposals of property and equipment</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Proceeds from divestiture</w:t>
            </w:r>
          </w:p>
        </w:tc>
        <w:tc>
          <w:tcPr>
            <w:tcW w:w="220" w:type="dxa"/>
            <w:vAlign w:val="bottom"/>
          </w:tcPr>
          <w:p>
            <w:pPr>
              <w:spacing w:after="0"/>
              <w:rPr>
                <w:sz w:val="16"/>
                <w:szCs w:val="16"/>
                <w:color w:val="auto"/>
              </w:rPr>
            </w:pP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293,711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Acquisition of certain businesses, net of cash acquired</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Proceeds from governmental agencies related to property and equipment</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15,250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16,200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investing activities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2,943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(87,351)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194,151</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Proceeds from long-term borrowings</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58,671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72,723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of long-term borrowings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(38,385)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(314,031)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Net change in funding under the Receivables Facility</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of dividends</w:t>
            </w:r>
          </w:p>
        </w:tc>
        <w:tc>
          <w:tcPr>
            <w:tcW w:w="2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(27,161)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26,089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Repurchase of common stock</w:t>
            </w:r>
          </w:p>
        </w:tc>
        <w:tc>
          <w:tcPr>
            <w:tcW w:w="220" w:type="dxa"/>
            <w:vAlign w:val="bottom"/>
            <w:shd w:val="clear" w:color="auto" w:fill="CCEEFF"/>
          </w:tcPr>
          <w:p>
            <w:pPr>
              <w:spacing w:after="0"/>
              <w:rPr>
                <w:sz w:val="17"/>
                <w:szCs w:val="17"/>
                <w:color w:val="auto"/>
              </w:rPr>
            </w:pPr>
          </w:p>
        </w:tc>
        <w:tc>
          <w:tcPr>
            <w:tcW w:w="1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60"/>
              <w:spacing w:after="0"/>
              <w:rPr>
                <w:sz w:val="20"/>
                <w:szCs w:val="20"/>
                <w:color w:val="auto"/>
              </w:rPr>
            </w:pPr>
            <w:r>
              <w:rPr>
                <w:rFonts w:ascii="Arial" w:cs="Arial" w:eastAsia="Arial" w:hAnsi="Arial"/>
                <w:sz w:val="14"/>
                <w:szCs w:val="14"/>
                <w:color w:val="auto"/>
              </w:rPr>
              <w:t>Other financing activities</w:t>
            </w:r>
          </w:p>
        </w:tc>
        <w:tc>
          <w:tcPr>
            <w:tcW w:w="22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(57,329)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(24,489)</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411,563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48,119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Effect of foreign exchange rates on cash and cash equivalents</w:t>
            </w:r>
          </w:p>
        </w:tc>
        <w:tc>
          <w:tcPr>
            <w:tcW w:w="220" w:type="dxa"/>
            <w:vAlign w:val="bottom"/>
          </w:tcPr>
          <w:p>
            <w:pPr>
              <w:spacing w:after="0"/>
              <w:rPr>
                <w:sz w:val="14"/>
                <w:szCs w:val="14"/>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3,247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in cash and cash equivalents</w:t>
            </w:r>
          </w:p>
        </w:tc>
        <w:tc>
          <w:tcPr>
            <w:tcW w:w="2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17,975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34,856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246,643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215,025</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264,618</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249,881</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2019</w:t>
            </w:r>
          </w:p>
        </w:tc>
        <w:tc>
          <w:tcPr>
            <w:tcW w:w="200" w:type="dxa"/>
            <w:vAlign w:val="bottom"/>
          </w:tcPr>
          <w:p>
            <w:pPr>
              <w:spacing w:after="0"/>
              <w:rPr>
                <w:sz w:val="22"/>
                <w:szCs w:val="22"/>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December 28, 2018</w:t>
            </w:r>
          </w:p>
        </w:tc>
        <w:tc>
          <w:tcPr>
            <w:tcW w:w="0" w:type="dxa"/>
            <w:vAlign w:val="bottom"/>
          </w:tcPr>
          <w:p>
            <w:pPr>
              <w:spacing w:after="0"/>
              <w:rPr>
                <w:sz w:val="1"/>
                <w:szCs w:val="1"/>
                <w:color w:val="auto"/>
              </w:rPr>
            </w:pPr>
          </w:p>
        </w:tc>
      </w:tr>
      <w:tr>
        <w:trPr>
          <w:trHeight w:val="17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Income taxes paid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68"/>
        </w:trPr>
        <w:tc>
          <w:tcPr>
            <w:tcW w:w="79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7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79"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Capital Surplus</w:t>
            </w:r>
          </w:p>
        </w:tc>
        <w:tc>
          <w:tcPr>
            <w:tcW w:w="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27,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3,320,047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3,236,450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1,107,029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income attributable to Aramark</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145,761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60,623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60,581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(80,459)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dividends</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 December 27,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3,451,576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3,311,147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1,223,078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(889,755)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24"/>
                <w:szCs w:val="2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Capital Surplus</w:t>
            </w:r>
          </w:p>
        </w:tc>
        <w:tc>
          <w:tcPr>
            <w:tcW w:w="160" w:type="dxa"/>
            <w:vAlign w:val="bottom"/>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28,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3,029,558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3,132,421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710,519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w w:val="97"/>
              </w:rPr>
              <w:t>Adoption of new accounting standard</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58,395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Aramark</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1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(71,884)</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Payments of dividends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28,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3,217,893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3,154,479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w:t>
      </w:r>
    </w:p>
    <w:p>
      <w:pPr>
        <w:spacing w:after="0" w:line="46" w:lineRule="exact"/>
        <w:rPr>
          <w:sz w:val="20"/>
          <w:szCs w:val="20"/>
          <w:color w:val="auto"/>
        </w:rPr>
      </w:pPr>
    </w:p>
    <w:p>
      <w:pPr>
        <w:ind w:right="120" w:firstLine="8"/>
        <w:spacing w:after="0" w:line="277" w:lineRule="auto"/>
        <w:tabs>
          <w:tab w:leader="none" w:pos="185" w:val="left"/>
        </w:tabs>
        <w:numPr>
          <w:ilvl w:val="0"/>
          <w:numId w:val="1"/>
        </w:numPr>
        <w:rPr>
          <w:rFonts w:ascii="Arial" w:cs="Arial" w:eastAsia="Arial" w:hAnsi="Arial"/>
          <w:sz w:val="17"/>
          <w:szCs w:val="17"/>
          <w:color w:val="auto"/>
        </w:rPr>
      </w:pPr>
      <w:r>
        <w:rPr>
          <w:rFonts w:ascii="Arial" w:cs="Arial" w:eastAsia="Arial" w:hAnsi="Arial"/>
          <w:sz w:val="17"/>
          <w:szCs w:val="17"/>
          <w:color w:val="auto"/>
        </w:rPr>
        <w:t>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26, 2019. The Condensed Consolidated Balance Sheet as of September 27, 2019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significant intercompany transactions and accounts have been eliminated.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March 2019, the Financial Accounting Standards Board ("FASB") issued an accounting standards update ("ASU") which provided clarification regarding three issues related to the lease recognition standard. The guidance was effective for the Company in the first quarter of fiscal 2020 when the lease accounting standard was adopted. See below for further discussion regarding the impact of this standard.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July 2018, the FASB issued two ASUs regarding the lease recognition standard. The guidance provided clarification on issues identified regarding the adoption of the standard, provided an additional transition method to adopt the standard and provided an additional practical expedient to lessors. The guidance was effective for the Company in the first quarter of fiscal 2020 when the lease accounting standard was adopted. See below for further discussion regarding the impact of this standard.</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July 2018, the FASB issued an ASU which clarifies, corrects errors in or makes minor improvements to the Accounting Standards Codification. The guidance was effective for the Company either upon issuance or in the first quarter of fiscal 2020, depending on the amendment. There was no impact on the condensed consolidated financial statements related to the amendments that were effective upon issuance of the guidance. The Company adopted the remaining amendments of the pronouncement in the first quarter of fiscal 2020, which did not have a material impact on the condensed consolidated financial statements.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2018, the FASB issued an ASU which allows for the reclassification of stranded tax effects resulting from the Tax Cuts and Jobs Act from accumulated other comprehensive income to retained earnings. The guidance was effective for the Company in the first quarter of fiscal 2020. The Company adopted the guidance in the first quarter of fiscal 2020, which did not have an impact on the condensed consolidated financial statements. The Company did not elect to reclassify the stranded income tax effects resulting from the Tax Cuts and Jobs Act from accumulated other comprehensive income to retained earnings.</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September 2017, the FASB issued an ASU to provide additional implementation guidance with respect to the revenue recognition standard and the lease accounting standard (see below). The guidance was effective for the Company in the first quarter of fiscal 2019 with respect to the revenue recognition standard and in the first quarter of fiscal 2020 with respect to the lease accounting standard. The Company adopted the revenue related portions of this standard in conjunction with the revenue recognition standard during the first quarter of fiscal 2019. The lease related portions of this standard were adopted in the first quarter of fiscal 2020 in conjunction with the lease recognition standard. See below for further discussion regarding the impact of the lease accounting provisions related to this standard.</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2016, the FASB issued an ASU requiring lessees to recognize most leases on their balance sheets as operating lease liabilities with corresponding operating lease right-of-use assets and to disclose key information about lease arrangements. Recognition of expense on the Condensed Consolidated Statements of Income continues in a manner similar to previous guidance. The Company adopted this guidance on September 28, 2019 (first day of fiscal 2020).</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79"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new lease guidance, the Company completed a comprehensive review of its lease arrangements in order to determine the impact of this ASU on its consolidated financial statements and related disclosures. The Company identified and implemented appropriate changes to business processes, controls and systems to support recognition and disclosure under the new standard.</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adopted Accounting Standards Codification 842 (“ASC 842” or the "new lease standard") using the modified retrospective transition approach with an adjustment that recognized "Operating Lease Right-of-use Assets," "Current operating lease liabilities" and "Noncurrent Operating Lease Liabilities" on the Condensed Consolidated Balance Sheets on September 28, 2019. Comparative period information and disclosures were not revised as a result of the recognition and measurement of leases. Adoption of the new lease standard resulted in the recognition of operating lease liabilities and associated operating lease right-of-use assets of approximately $416.1 million and $558.5 million, respectively, as of September 28, 2019 on the Condensed Consolidated Balance Sheets. The operating lease right-of-use assets includes adjustments for deferred rent, tenant improvement allowances and prepaid rent, including $166.9 million of long-term prepaid rent associated with certain leases at client locations. There was no material impact to the Condensed Consolidated Statements of Income or Condensed Consolidated Statements of Cash Flows as a result of adoption. See Note 8 for further information on the impact of adopting the new lease standard.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2019, the FASB issued an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guidance is effective for the Company in the first quarter of fiscal 2022 and early adoption is permitted. The Company is currently evaluating the impact of this standard.</w:t>
      </w:r>
    </w:p>
    <w:p>
      <w:pPr>
        <w:spacing w:after="0" w:line="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November 2019, the FASB issued an ASU which provides clarification and improvements to existing guidance related to the credit losses on financial instruments standard. The Company will adopt this guidance in the first quarter of fiscal 2021 when the credit losses on financial instruments standard is adopted. The Company is currently evaluating the impact of this standard.</w:t>
      </w:r>
    </w:p>
    <w:p>
      <w:pPr>
        <w:spacing w:after="0" w:line="7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Company will adopt this guidance in the first quarter of fiscal 2021 when the credit losses on financial instruments standard is adopted. The Company is currently evaluating the impact of this standard.</w:t>
      </w:r>
    </w:p>
    <w:p>
      <w:pPr>
        <w:spacing w:after="0" w:line="79"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guidance related to the credit losses on financial instruments ASU and the financial instruments ASU will be adopted in the first quarter of fiscal</w:t>
      </w:r>
    </w:p>
    <w:p>
      <w:pPr>
        <w:jc w:val="both"/>
        <w:ind w:right="240"/>
        <w:spacing w:after="0" w:line="290" w:lineRule="auto"/>
        <w:rPr>
          <w:sz w:val="20"/>
          <w:szCs w:val="20"/>
          <w:color w:val="auto"/>
        </w:rPr>
      </w:pPr>
      <w:r>
        <w:rPr>
          <w:rFonts w:ascii="Arial" w:cs="Arial" w:eastAsia="Arial" w:hAnsi="Arial"/>
          <w:sz w:val="17"/>
          <w:szCs w:val="17"/>
          <w:color w:val="auto"/>
        </w:rPr>
        <w:t>2021. The Company adopted the guidance related to derivatives and hedging in the first quarter of fiscal 2020, which did not have a material impact on the condensed consolidated financial statements. The Company is currently evaluating the impact of the remaining amendments of this standard.</w:t>
      </w:r>
    </w:p>
    <w:p>
      <w:pPr>
        <w:spacing w:after="0" w:line="5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this standard.</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fair value measurements. The Company will adopt this guidance in the first quarter of fiscal 2021 and early adoption is permitted. The Company is currently evaluating the impact of this standard.</w:t>
      </w:r>
    </w:p>
    <w:p>
      <w:pPr>
        <w:spacing w:after="0" w:line="7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June 2016, the FASB issued an ASU to require entities to account for expected credit losses on financial instruments including trade receivables. The Company will adopt this guidance in the first quarter of fiscal 2021. The Company is currently evaluating the impact of this standard.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Comprehensive income includes all changes to stockholders' equity during a period, except those resulting from investments by and distributions to stockholders. Components of comprehensive income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79"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is as follows (in thousands):</w:t>
      </w:r>
    </w:p>
    <w:p>
      <w:pPr>
        <w:spacing w:after="0" w:line="365"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23495</wp:posOffset>
            </wp:positionV>
            <wp:extent cx="3764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spacing w:after="0" w:line="123"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December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31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23" w:lineRule="exact"/>
        <w:rPr>
          <w:sz w:val="20"/>
          <w:szCs w:val="20"/>
          <w:color w:val="auto"/>
        </w:rPr>
      </w:pPr>
    </w:p>
    <w:tbl>
      <w:tblPr>
        <w:tblLayout w:type="fixed"/>
        <w:tblInd w:w="576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Pre-Tax</w:t>
            </w: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Tax Effect</w:t>
            </w:r>
          </w:p>
        </w:tc>
        <w:tc>
          <w:tcPr>
            <w:tcW w:w="780" w:type="dxa"/>
            <w:vAlign w:val="bottom"/>
          </w:tcPr>
          <w:p>
            <w:pPr>
              <w:jc w:val="center"/>
              <w:ind w:left="108"/>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vMerge w:val="continue"/>
          </w:tcPr>
          <w:p>
            <w:pPr>
              <w:spacing w:after="0"/>
              <w:rPr>
                <w:sz w:val="16"/>
                <w:szCs w:val="16"/>
                <w:color w:val="auto"/>
              </w:rPr>
            </w:pPr>
          </w:p>
        </w:tc>
        <w:tc>
          <w:tcPr>
            <w:tcW w:w="78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December 28, 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Pre-Tax</w:t>
            </w: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Tax Effect</w:t>
            </w:r>
          </w:p>
        </w:tc>
        <w:tc>
          <w:tcPr>
            <w:tcW w:w="760" w:type="dxa"/>
            <w:vAlign w:val="bottom"/>
          </w:tcPr>
          <w:p>
            <w:pPr>
              <w:jc w:val="center"/>
              <w:ind w:left="88"/>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vMerge w:val="continue"/>
          </w:tcPr>
          <w:p>
            <w:pPr>
              <w:spacing w:after="0"/>
              <w:rPr>
                <w:sz w:val="16"/>
                <w:szCs w:val="16"/>
                <w:color w:val="auto"/>
              </w:rPr>
            </w:pPr>
          </w:p>
        </w:tc>
        <w:tc>
          <w:tcPr>
            <w:tcW w:w="76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7620</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8260" w:space="520"/>
            <w:col w:w="2640"/>
          </w:cols>
          <w:pgMar w:left="240" w:top="17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145,883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250,676</w:t>
            </w: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(285)</w:t>
            </w:r>
          </w:p>
        </w:tc>
        <w:tc>
          <w:tcPr>
            <w:tcW w:w="10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14,354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14,585</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(17,876)</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(18,007)</w:t>
            </w: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hedges</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9,126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6,753</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(32,702)</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8,463</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Share of equity investee's comprehensive income (loss)</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147</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23,342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21,200</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(50,105)</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8,332</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(41,773)</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167,083</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208,903</w:t>
            </w: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166,961</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208,909</w:t>
            </w:r>
          </w:p>
        </w:tc>
      </w:tr>
      <w:tr>
        <w:trPr>
          <w:trHeight w:val="20"/>
        </w:trPr>
        <w:tc>
          <w:tcPr>
            <w:tcW w:w="5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27, 2019</w:t>
            </w:r>
          </w:p>
        </w:tc>
        <w:tc>
          <w:tcPr>
            <w:tcW w:w="300" w:type="dxa"/>
            <w:vAlign w:val="bottom"/>
          </w:tcPr>
          <w:p>
            <w:pPr>
              <w:spacing w:after="0"/>
              <w:rPr>
                <w:sz w:val="16"/>
                <w:szCs w:val="16"/>
                <w:color w:val="auto"/>
              </w:rPr>
            </w:pPr>
          </w:p>
        </w:tc>
        <w:tc>
          <w:tcPr>
            <w:tcW w:w="1760" w:type="dxa"/>
            <w:vAlign w:val="bottom"/>
          </w:tcPr>
          <w:p>
            <w:pPr>
              <w:jc w:val="right"/>
              <w:ind w:right="293"/>
              <w:spacing w:after="0"/>
              <w:rPr>
                <w:sz w:val="20"/>
                <w:szCs w:val="20"/>
                <w:color w:val="auto"/>
              </w:rPr>
            </w:pPr>
            <w:r>
              <w:rPr>
                <w:rFonts w:ascii="Arial" w:cs="Arial" w:eastAsia="Arial" w:hAnsi="Arial"/>
                <w:sz w:val="14"/>
                <w:szCs w:val="14"/>
                <w:b w:val="1"/>
                <w:bCs w:val="1"/>
                <w:color w:val="auto"/>
              </w:rPr>
              <w:t>September 27, 2019</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(113,534)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(128,119)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Share of equity investee's accumulated other comprehensive loss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(10,568)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(216,965)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fiscal 2018, Argentina was determined to have a highly inflationary economy. As a result, the Company remeasures the financial statements of Argentina's operations in accordance with the accounting guidance for highly inflationary economies. During the first quarter of both fiscal 2020 and 2019, the impact of foreign currency transactions were immaterial to the condensed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Beginning in fiscal 2019, the Company began insuring portions of its general liability, automobile liability and workers’ compensation risks through a wholly owned captive insurance subsidiary (the "Captive"), to enhance its risk financing strategies. The Captive is subject to the regulations within its domicile, including regulations relating to levels of liquidity and solvency as such concepts are defined by the regulator. The Captive was in compliance with these regulations as of December 27, 2019. These regulations may have the effect of limiting the Company's ability to access certain cash and cash equivalents held by the Captive for uses other than for the payments of its general liability, automobile liability and workers' compensation claims and related Captive costs. As of December 27, 2019, cash and cash equivalents at the Captive was $59.9 million.</w:t>
      </w:r>
    </w:p>
    <w:p>
      <w:pPr>
        <w:spacing w:after="0" w:line="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Company is self-insured for a portion of the risk retained under its general liability, automobile liability and workers' compensation insurance arrangements. Self-insurance reserves are recorded based on actuarial analyses.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assets consist primarily of costs to obtain or fulfill contracts, including rental merchandise in-service, long-term receivables, investments in 50% or less owned entities, computer software costs and employee sales commissions. For investments in 50% or less owned entities, other than those accounted for under the equity method of accounting, the Company measures these investments at cost due to the lack of readily available fair values related to these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2018, the Company completed the sale of its wholly-owned Healthcare Technologies ("HCT") business for $293.7 million in cash. The transaction resulted in a pretax gain of $157.3 million (tax effected gain of $140.2 million) in the Condensed Consolidated Statements of Income for the three months ended December 28, 2018.</w:t>
      </w:r>
    </w:p>
    <w:p>
      <w:pPr>
        <w:sectPr>
          <w:pgSz w:w="11900" w:h="16838" w:orient="portrait"/>
          <w:cols w:equalWidth="0" w:num="1">
            <w:col w:w="11420"/>
          </w:cols>
          <w:pgMar w:left="240" w:top="179" w:right="239" w:bottom="1440" w:gutter="0" w:footer="0" w:header="0"/>
          <w:type w:val="continuous"/>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79"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2018, the Company commenced a new phase of strategic reinvestment and reorganization actions to streamline and improve efficiencies and effectiveness of its selling, general and administrative functions which resulted in a net severance charge of approximately $22.0 million for the three months ended December 28, 2018. The Company completed this cost savings phase as of September 27, 2019. As of December 27, 2019 and September 27, 2019, the Company had an accrual of approximately $9.6 million and $11.9 million, respectively, related to unpaid severance obligations. These obligations are expected to be paid through fiscal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three months ended December 27, 2019 is as follows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27, 2019</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27,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3,949,218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3,949,961</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608,468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625,789</w:t>
            </w: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961,114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961,275</w:t>
            </w: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5,518,800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5,537,025</w:t>
            </w: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27,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27, 2019</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18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11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2,189,753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968,190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2,183,492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989,967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1,050,801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1,045,583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1,047,959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1,043,599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3,240,554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(1,226,781)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2,013,773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3,231,451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(1,197,885)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intangible assets for the three months ended December 27, 2019 and December 28, 2018 was approximately $29.1 million and $30.4 million,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7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27, 2019</w:t>
            </w:r>
          </w:p>
        </w:tc>
        <w:tc>
          <w:tcPr>
            <w:tcW w:w="300" w:type="dxa"/>
            <w:vAlign w:val="bottom"/>
          </w:tcPr>
          <w:p>
            <w:pPr>
              <w:spacing w:after="0"/>
              <w:rPr>
                <w:sz w:val="16"/>
                <w:szCs w:val="16"/>
                <w:color w:val="auto"/>
              </w:rPr>
            </w:pPr>
          </w:p>
        </w:tc>
        <w:tc>
          <w:tcPr>
            <w:tcW w:w="1860" w:type="dxa"/>
            <w:vAlign w:val="bottom"/>
          </w:tcPr>
          <w:p>
            <w:pPr>
              <w:jc w:val="right"/>
              <w:ind w:right="391"/>
              <w:spacing w:after="0"/>
              <w:rPr>
                <w:sz w:val="20"/>
                <w:szCs w:val="20"/>
                <w:color w:val="auto"/>
              </w:rPr>
            </w:pPr>
            <w:r>
              <w:rPr>
                <w:rFonts w:ascii="Arial" w:cs="Arial" w:eastAsia="Arial" w:hAnsi="Arial"/>
                <w:sz w:val="14"/>
                <w:szCs w:val="14"/>
                <w:b w:val="1"/>
                <w:bCs w:val="1"/>
                <w:color w:val="auto"/>
              </w:rPr>
              <w:t>September 27, 2019</w:t>
            </w: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 due October 2023</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51,410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October 2023</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506,463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507,887</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facility, due March 2024</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829,344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March 2025</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1,658,308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1,658,026</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January 2024</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902,351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5.000% senior notes, due April 2025</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592,398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592,087</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360,128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352,363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4.750% senior notes, due June 2026</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494,898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494,731</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February 2028</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1,137,625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Receivables Facility, due May 2021</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148,754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17,572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7,589</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7,170,701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6,682,167</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(82,981)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(69,928)</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7,087,720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6,612,239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27, 2019, there was approximately $923.6 million of outstanding foreign currency borrowings.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Refinancing Transactions</w:t>
      </w:r>
    </w:p>
    <w:p>
      <w:pPr>
        <w:spacing w:after="0" w:line="6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January 15, 2020, Aramark Services, Inc. ("ASI"), an indirect wholly owned subsidiary of the Company, entered into Amendment No. 8 ("Amendment No. 8") to the credit agreement dated as of March 28, 2017 (as supplemented or otherwise modified from time to time, the "Credit Agreement") and last amended by Amendment No. 7 on October 1, 2018. Amendment No. 8 provides for an incremental, senior secured credit facility under the Credit Agreement comprised of a U.S. dollar denominated term loan made to ASI in an amount equal to $900.0 million, due January 15, 2027 (the "U.S. Term Loan B due 2027"). The U.S. Term Loan B due 2027 was borrowed with an original issue discount of 0.125%.</w:t>
      </w:r>
    </w:p>
    <w:p>
      <w:pPr>
        <w:spacing w:after="0" w:line="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proceeds from the U.S. Term Loan B due 2027 were used to redeem the aggregate $900.0 million principal amount outstanding on ASI’s 5.125% Senior Notes due 2024 (the “2024 Notes”) at a redemption price of 102.563% of the aggregate principal amount and to pay accrued interest, certain fees and related expenses, including a $23.1 million call premium on the 2024 Notes and approximately $6.5 million of charges related to banker fees, rating agency fees and legal fees.</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Term Loan B due 2027 bears interest at a rate equal to, at the Company’s option, either (a) a LIBOR rate determined by reference to the costs of funds for deposits in U.S. dollars for the interest period relevant to such borrowing adjusted for certain additional costs or (b) a base rate determined by reference to the highest of (1) the prime rate of the administrative agent, (2) the federal funds rate plus 0.50% and (3) the LIBOR rate plus 1.00% plus an applicable margin set initially at 1.75% for borrowings based on the LIBOR rate, subject to a LIBOR floor of 0.00% and 0.75% for borrowings based on the base rate, subject to a minimum base rate of 0.00%.</w:t>
      </w:r>
    </w:p>
    <w:p>
      <w:pPr>
        <w:spacing w:after="0" w:line="8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is required to make quarterly principal repayments on the U.S. Term Loan B due 2027 in quarterly amounts of 1.00% per annum of the funded total principal amount on the initial funding date thereof and is subject to substantially similar terms relating to guarantees, collateral, mandatory prepayments and covenants that are applicable to the Company’s existing U.S. Term Loan B due 2024 and U.S. Term Loan B due 2025, in each case, outstanding under the Credit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1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w:t>
      </w:r>
    </w:p>
    <w:p>
      <w:pPr>
        <w:sectPr>
          <w:pgSz w:w="11900" w:h="16838" w:orient="portrait"/>
          <w:cols w:equalWidth="0" w:num="1">
            <w:col w:w="11420"/>
          </w:cols>
          <w:pgMar w:left="240" w:top="179"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79"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approximately $3.3 billion notional amount of outstanding interest rate swap agreements as of December 27, 2019, which fixes the rate on a like amount of variable rate borrowings through January of fiscal 2025. During the three months ended December 27, 2019, the Company entered into approximately $800.0 million notional amount of forward starting interest rate swap agreements to hedge the cash flow risk of variability in interest payments on variable rate borrowings.</w:t>
      </w:r>
    </w:p>
    <w:p>
      <w:pPr>
        <w:spacing w:after="0" w:line="10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December 27, 2019 and September 27, 2019, approximately ($24.3) million and ($31.1) million, respectively, of unrealized net of tax losses related to the interest rate swaps were included in "Accumulated other comprehensive loss."</w:t>
      </w:r>
    </w:p>
    <w:p>
      <w:pPr>
        <w:spacing w:after="0" w:line="9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summarizes the effect of our derivatives designated as cash flow hedging instruments on Other comprehensive income (loss)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2019</w:t>
            </w:r>
          </w:p>
        </w:tc>
        <w:tc>
          <w:tcPr>
            <w:tcW w:w="18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28, 2018</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6,926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December 27, 2019, the Company has contracts for approximately 17.8 million gallons outstanding through the first quarter of fiscal 2021. The Company does not record its gasoline and diesel fuel agreements as hedges for accounting purposes. The impact on earnings related to the change in fair value of these unsettled contracts was a gain of approximately $3.1 million for the three months ended December 27, 2019. The impact on earnings related to the change in fair value of these unsettled contracts was a loss of approximately $9.2 million for the three months ended December 28, 2018. The change in fair value for unsettled contracts is included in "Selling and general corporate expenses" in the Condensed Consolidated Statements of Income. When the contracts settle, the gain or loss is recorded to"Costs of services provided" in the Condensed Consolidated Statements of Income.</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27, 2019, the Company had foreign currency forward exchange contracts outstanding with notional amounts of €37.5 million, £6.5 million and CAD$5.0 million to mitigate the risk of changes in foreign currency exchange rates on short-term intercompany loans to certain international subsidiaries. Gains and losses on these foreign currency exchange contracts are recognized in earnings as the contracts were not designated as hedging instruments, substantially offsetting currency transaction gains and losses on the short-term intercompany loans.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7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following table summarizes the location and fair value, using Level 2 inputs (see Note 14 for a description of the fair value levels), of the Company's derivatives designated and not designated as hedging instruments in the Condensed Consolidated Balance Sheets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4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2019</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September 27, 2019</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84"/>
        </w:trPr>
        <w:tc>
          <w:tcPr>
            <w:tcW w:w="4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Prepayments and other current assets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Gasoline and diesel fuel agreements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r>
      <w:tr>
        <w:trPr>
          <w:trHeight w:val="67"/>
        </w:trPr>
        <w:tc>
          <w:tcPr>
            <w:tcW w:w="436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4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43,112</w:t>
            </w:r>
          </w:p>
        </w:tc>
      </w:tr>
      <w:tr>
        <w:trPr>
          <w:trHeight w:val="297"/>
        </w:trPr>
        <w:tc>
          <w:tcPr>
            <w:tcW w:w="4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Gasoline and diesel fuel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462</w:t>
            </w:r>
          </w:p>
        </w:tc>
      </w:tr>
      <w:tr>
        <w:trPr>
          <w:trHeight w:val="27"/>
        </w:trPr>
        <w:tc>
          <w:tcPr>
            <w:tcW w:w="43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43,574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summarizes the location of (gain) loss reclassified from "Accumulated other comprehensive loss" into earnings for derivatives designated as hedging instruments and the location of (gain) loss for the Company's derivatives not designated as hedging instruments in the Condensed Consolidated Statements of Income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360" w:type="dxa"/>
            <w:vAlign w:val="bottom"/>
          </w:tcPr>
          <w:p>
            <w:pPr>
              <w:spacing w:after="0"/>
              <w:rPr>
                <w:sz w:val="22"/>
                <w:szCs w:val="22"/>
                <w:color w:val="auto"/>
              </w:rPr>
            </w:pPr>
          </w:p>
        </w:tc>
        <w:tc>
          <w:tcPr>
            <w:tcW w:w="354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2019</w:t>
            </w:r>
          </w:p>
        </w:tc>
        <w:tc>
          <w:tcPr>
            <w:tcW w:w="220" w:type="dxa"/>
            <w:vAlign w:val="bottom"/>
          </w:tcPr>
          <w:p>
            <w:pPr>
              <w:spacing w:after="0"/>
              <w:rPr>
                <w:sz w:val="22"/>
                <w:szCs w:val="22"/>
                <w:color w:val="auto"/>
              </w:rPr>
            </w:pPr>
          </w:p>
        </w:tc>
        <w:tc>
          <w:tcPr>
            <w:tcW w:w="148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December 28, 2018</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Gasoline and diesel fuel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Costs of services provided / Selling and</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9,144</w:t>
            </w: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37"/>
        </w:trPr>
        <w:tc>
          <w:tcPr>
            <w:tcW w:w="4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9,322</w:t>
            </w:r>
          </w:p>
        </w:tc>
      </w:tr>
      <w:tr>
        <w:trPr>
          <w:trHeight w:val="27"/>
        </w:trPr>
        <w:tc>
          <w:tcPr>
            <w:tcW w:w="43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December 27, 2019, the net of tax loss expected to be reclassified from "Accumulated other comprehensive loss" into earnings over the next twelve months based on current market rates is approximately $10.2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14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ectPr>
          <w:pgSz w:w="11900" w:h="16838" w:orient="portrait"/>
          <w:cols w:equalWidth="0" w:num="1">
            <w:col w:w="11420"/>
          </w:cols>
          <w:pgMar w:left="240" w:top="179"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79"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4"/>
          </w:tcPr>
          <w:p>
            <w:pPr>
              <w:jc w:val="right"/>
              <w:ind w:right="145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27, 2019</w:t>
            </w:r>
          </w:p>
        </w:tc>
        <w:tc>
          <w:tcPr>
            <w:tcW w:w="300" w:type="dxa"/>
            <w:vAlign w:val="bottom"/>
          </w:tcPr>
          <w:p>
            <w:pPr>
              <w:spacing w:after="0"/>
              <w:rPr>
                <w:sz w:val="22"/>
                <w:szCs w:val="22"/>
                <w:color w:val="auto"/>
              </w:rPr>
            </w:pPr>
          </w:p>
        </w:tc>
        <w:tc>
          <w:tcPr>
            <w:tcW w:w="18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28, 2018</w:t>
            </w: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FSS United States: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Business &amp; Industry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399.9</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1,016.3</w:t>
            </w: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263.3</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Sports, Leisure &amp; Corrections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594.3</w:t>
            </w: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Facilities &amp; Other</w:t>
            </w:r>
          </w:p>
        </w:tc>
        <w:tc>
          <w:tcPr>
            <w:tcW w:w="300" w:type="dxa"/>
            <w:vAlign w:val="bottom"/>
          </w:tcPr>
          <w:p>
            <w:pPr>
              <w:spacing w:after="0"/>
              <w:rPr>
                <w:sz w:val="21"/>
                <w:szCs w:val="21"/>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386.5</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rPr>
              <w:t>Total FSS 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2,660.3</w:t>
            </w:r>
          </w:p>
        </w:tc>
      </w:tr>
      <w:tr>
        <w:trPr>
          <w:trHeight w:val="324"/>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FSS 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520.1</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433.0</w:t>
            </w:r>
          </w:p>
        </w:tc>
      </w:tr>
      <w:tr>
        <w:trPr>
          <w:trHeight w:val="237"/>
        </w:trPr>
        <w:tc>
          <w:tcPr>
            <w:tcW w:w="7000" w:type="dxa"/>
            <w:vAlign w:val="bottom"/>
          </w:tcPr>
          <w:p>
            <w:pPr>
              <w:jc w:val="right"/>
              <w:ind w:right="4750"/>
              <w:spacing w:after="0"/>
              <w:rPr>
                <w:sz w:val="20"/>
                <w:szCs w:val="20"/>
                <w:color w:val="auto"/>
              </w:rPr>
            </w:pPr>
            <w:r>
              <w:rPr>
                <w:rFonts w:ascii="Arial" w:cs="Arial" w:eastAsia="Arial" w:hAnsi="Arial"/>
                <w:sz w:val="18"/>
                <w:szCs w:val="18"/>
                <w:color w:val="auto"/>
              </w:rPr>
              <w:t>Total FSS International</w:t>
            </w: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953.1</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Uniform</w:t>
            </w:r>
          </w:p>
        </w:tc>
        <w:tc>
          <w:tcPr>
            <w:tcW w:w="300" w:type="dxa"/>
            <w:vAlign w:val="bottom"/>
          </w:tcPr>
          <w:p>
            <w:pPr>
              <w:spacing w:after="0"/>
              <w:rPr>
                <w:sz w:val="21"/>
                <w:szCs w:val="21"/>
                <w:color w:val="auto"/>
              </w:rPr>
            </w:pPr>
          </w:p>
        </w:tc>
        <w:tc>
          <w:tcPr>
            <w:tcW w:w="1860" w:type="dxa"/>
            <w:vAlign w:val="bottom"/>
          </w:tcPr>
          <w:p>
            <w:pPr>
              <w:jc w:val="right"/>
              <w:ind w:right="33"/>
              <w:spacing w:after="0"/>
              <w:rPr>
                <w:sz w:val="20"/>
                <w:szCs w:val="20"/>
                <w:color w:val="auto"/>
              </w:rPr>
            </w:pPr>
            <w:r>
              <w:rPr>
                <w:rFonts w:ascii="Arial" w:cs="Arial" w:eastAsia="Arial" w:hAnsi="Arial"/>
                <w:sz w:val="18"/>
                <w:szCs w:val="18"/>
                <w:color w:val="auto"/>
              </w:rPr>
              <w:t>668.4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651.9</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4,253.6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4,265.3</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Deferred income is recognized in "Accrued expenses and other current liabilities" in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December 27, 2019, deferred income increased related to customer prepayments and decreased related to income recognized during the period as a result of satisfying the performance obligation. Below is a summary of the changes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Balance, September 27,</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Add: Net increase in current period</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Less: Recognition of deferred</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December 27,</w:t>
            </w:r>
          </w:p>
        </w:tc>
      </w:tr>
      <w:tr>
        <w:trPr>
          <w:trHeight w:val="192"/>
        </w:trPr>
        <w:tc>
          <w:tcPr>
            <w:tcW w:w="3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deferred income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income</w:t>
            </w:r>
          </w:p>
        </w:tc>
        <w:tc>
          <w:tcPr>
            <w:tcW w:w="400" w:type="dxa"/>
            <w:vAlign w:val="bottom"/>
          </w:tcPr>
          <w:p>
            <w:pPr>
              <w:spacing w:after="0"/>
              <w:rPr>
                <w:sz w:val="16"/>
                <w:szCs w:val="16"/>
                <w:color w:val="auto"/>
              </w:rPr>
            </w:pPr>
          </w:p>
        </w:tc>
        <w:tc>
          <w:tcPr>
            <w:tcW w:w="1200" w:type="dxa"/>
            <w:vAlign w:val="bottom"/>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229"/>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income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319.0</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240.3</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153.7</w:t>
            </w:r>
          </w:p>
        </w:tc>
      </w:tr>
      <w:tr>
        <w:trPr>
          <w:trHeight w:val="41"/>
        </w:trPr>
        <w:tc>
          <w:tcPr>
            <w:tcW w:w="3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lease arrangements primarily related to real estate, vehicles and equipment, which generally have terms of one to 30 years. Finance leases primarily relate to vehicles and certain real estate. In addition, there can be leases identified in the Company's revenue contracts with customers, which generally include variable lease payments. The Company assesses</w:t>
      </w:r>
    </w:p>
    <w:p>
      <w:pPr>
        <w:sectPr>
          <w:pgSz w:w="11900" w:h="16838" w:orient="portrait"/>
          <w:cols w:equalWidth="0" w:num="1">
            <w:col w:w="11420"/>
          </w:cols>
          <w:pgMar w:left="240" w:top="17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79"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whether an arrangement is a lease, or contains a lease, upon inception of the related contract. Certain of the Company's lease arrangements, primarily vehicle leases, with terms of one to eight years, contain provisions related to residual value guarantees. The maximum potential liability to the Company under such arrangements was approximately $25.9 million at December 27, 2019 if the terminal fair value of vehicles coming off lease was zero. Consistent with past experience, management does not expect any significant payments will be required pursuant to these arrangements. No amounts have been accrued for guarantee arrangements at December 27, 2019.</w:t>
      </w:r>
    </w:p>
    <w:p>
      <w:pPr>
        <w:spacing w:after="0" w:line="10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a result of adopting ASC 842 on September 28, 2019 (first day of fiscal 2020), the Company recognized $416.1 million of operating lease liabilities and $558.5 million of operating lease right-of-use assets on its Condensed Consolidated Balance Sheets. Operating lease right-of-use assets represent the Company’s right to use the underlying assets for 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Operating lease right-of-use lease assets include adjustments for deferred rent, tenant improvement allowances and prepaid rent. Lease expense is recognized on a straight-line basis over the expected lease term.</w:t>
      </w:r>
    </w:p>
    <w:p>
      <w:pPr>
        <w:spacing w:after="0" w:line="8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Variable lease payments, which primarily consist of leases associated with our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As permitted under the transition guidance upon adoption of ASC 842, the Company elected the following practical expedients:</w:t>
      </w:r>
    </w:p>
    <w:p>
      <w:pPr>
        <w:spacing w:after="0" w:line="144" w:lineRule="exact"/>
        <w:rPr>
          <w:sz w:val="20"/>
          <w:szCs w:val="20"/>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simplified approach to not recast comparative periods and to apply the new lease standard on a prospective basis beginning in the year of initial adoption;</w:t>
      </w:r>
    </w:p>
    <w:p>
      <w:pPr>
        <w:spacing w:after="0" w:line="8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package of practical expedients to not reassess the lease determination, lease classification or initial direct costs for leases commenced prior to adoption;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component election to not separate lease and nonlease components in all arrangements that contain a lease;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short-term lease recognition exemption whereby lease-related assets and liabilities are not recognized for arrangements with initial lease terms of one year or less.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elect the use of the hindsight expedient for determining the lease term.</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required to discount its future minimum lease payments using the interest rate implicit in the lease or, if that rate cannot be readily determined, its incremental borrowing rate. The Company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79"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location of the operating and finance leases in the Company’s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2019 (in thousands), as well as the weighted average remaining lease term and weighted average discount rate: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8"/>
              </w:rPr>
              <w:t>December 27, 2019</w:t>
            </w:r>
          </w:p>
        </w:tc>
      </w:tr>
      <w:tr>
        <w:trPr>
          <w:trHeight w:val="25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gridSpan w:val="3"/>
          </w:tcPr>
          <w:p>
            <w:pPr>
              <w:ind w:left="200"/>
              <w:spacing w:after="0"/>
              <w:rPr>
                <w:sz w:val="20"/>
                <w:szCs w:val="20"/>
                <w:color w:val="auto"/>
              </w:rPr>
            </w:pPr>
            <w:r>
              <w:rPr>
                <w:rFonts w:ascii="Arial" w:cs="Arial" w:eastAsia="Arial" w:hAnsi="Arial"/>
                <w:sz w:val="18"/>
                <w:szCs w:val="18"/>
                <w:color w:val="auto"/>
              </w:rPr>
              <w:t>Operating</w:t>
            </w:r>
          </w:p>
        </w:tc>
        <w:tc>
          <w:tcPr>
            <w:tcW w:w="4660" w:type="dxa"/>
            <w:vAlign w:val="bottom"/>
            <w:gridSpan w:val="4"/>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93"/>
              <w:spacing w:after="0"/>
              <w:rPr>
                <w:sz w:val="20"/>
                <w:szCs w:val="20"/>
                <w:color w:val="auto"/>
              </w:rPr>
            </w:pPr>
            <w:r>
              <w:rPr>
                <w:rFonts w:ascii="Arial" w:cs="Arial" w:eastAsia="Arial" w:hAnsi="Arial"/>
                <w:sz w:val="18"/>
                <w:szCs w:val="18"/>
                <w:color w:val="auto"/>
              </w:rPr>
              <w:t>561,872</w:t>
            </w: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Finance</w:t>
            </w: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134,539</w:t>
            </w:r>
          </w:p>
        </w:tc>
      </w:tr>
      <w:tr>
        <w:trPr>
          <w:trHeight w:val="297"/>
        </w:trPr>
        <w:tc>
          <w:tcPr>
            <w:tcW w:w="48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lease assets</w:t>
            </w:r>
          </w:p>
        </w:tc>
        <w:tc>
          <w:tcPr>
            <w:tcW w:w="6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696,411</w:t>
            </w:r>
          </w:p>
        </w:tc>
      </w:tr>
      <w:tr>
        <w:trPr>
          <w:trHeight w:val="237"/>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6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75,751</w:t>
            </w:r>
          </w:p>
        </w:tc>
      </w:tr>
      <w:tr>
        <w:trPr>
          <w:trHeight w:val="243"/>
        </w:trPr>
        <w:tc>
          <w:tcPr>
            <w:tcW w:w="4860" w:type="dxa"/>
            <w:vAlign w:val="bottom"/>
            <w:gridSpan w:val="3"/>
          </w:tcPr>
          <w:p>
            <w:pPr>
              <w:ind w:left="220"/>
              <w:spacing w:after="0"/>
              <w:rPr>
                <w:sz w:val="20"/>
                <w:szCs w:val="20"/>
                <w:color w:val="auto"/>
              </w:rPr>
            </w:pPr>
            <w:r>
              <w:rPr>
                <w:rFonts w:ascii="Arial" w:cs="Arial" w:eastAsia="Arial" w:hAnsi="Arial"/>
                <w:sz w:val="18"/>
                <w:szCs w:val="18"/>
                <w:color w:val="auto"/>
              </w:rPr>
              <w:t>Finance</w:t>
            </w:r>
          </w:p>
        </w:tc>
        <w:tc>
          <w:tcPr>
            <w:tcW w:w="4660" w:type="dxa"/>
            <w:vAlign w:val="bottom"/>
            <w:gridSpan w:val="4"/>
          </w:tcPr>
          <w:p>
            <w:pPr>
              <w:ind w:left="20"/>
              <w:spacing w:after="0"/>
              <w:rPr>
                <w:sz w:val="20"/>
                <w:szCs w:val="20"/>
                <w:color w:val="auto"/>
              </w:rPr>
            </w:pPr>
            <w:r>
              <w:rPr>
                <w:rFonts w:ascii="Arial" w:cs="Arial" w:eastAsia="Arial" w:hAnsi="Arial"/>
                <w:sz w:val="18"/>
                <w:szCs w:val="18"/>
                <w:color w:val="auto"/>
              </w:rPr>
              <w:t>Current maturities of long-term borrowings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93"/>
              <w:spacing w:after="0"/>
              <w:rPr>
                <w:sz w:val="20"/>
                <w:szCs w:val="20"/>
                <w:color w:val="auto"/>
              </w:rPr>
            </w:pPr>
            <w:r>
              <w:rPr>
                <w:rFonts w:ascii="Arial" w:cs="Arial" w:eastAsia="Arial" w:hAnsi="Arial"/>
                <w:sz w:val="18"/>
                <w:szCs w:val="18"/>
                <w:color w:val="auto"/>
              </w:rPr>
              <w:t>30,928</w:t>
            </w: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gridSpan w:val="3"/>
          </w:tcPr>
          <w:p>
            <w:pPr>
              <w:ind w:left="220"/>
              <w:spacing w:after="0"/>
              <w:rPr>
                <w:sz w:val="20"/>
                <w:szCs w:val="20"/>
                <w:color w:val="auto"/>
              </w:rPr>
            </w:pPr>
            <w:r>
              <w:rPr>
                <w:rFonts w:ascii="Arial" w:cs="Arial" w:eastAsia="Arial" w:hAnsi="Arial"/>
                <w:sz w:val="18"/>
                <w:szCs w:val="18"/>
                <w:color w:val="auto"/>
              </w:rPr>
              <w:t>Operating</w:t>
            </w:r>
          </w:p>
        </w:tc>
        <w:tc>
          <w:tcPr>
            <w:tcW w:w="4660" w:type="dxa"/>
            <w:vAlign w:val="bottom"/>
            <w:gridSpan w:val="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93"/>
              <w:spacing w:after="0"/>
              <w:rPr>
                <w:sz w:val="20"/>
                <w:szCs w:val="20"/>
                <w:color w:val="auto"/>
              </w:rPr>
            </w:pPr>
            <w:r>
              <w:rPr>
                <w:rFonts w:ascii="Arial" w:cs="Arial" w:eastAsia="Arial" w:hAnsi="Arial"/>
                <w:sz w:val="18"/>
                <w:szCs w:val="18"/>
                <w:color w:val="auto"/>
              </w:rPr>
              <w:t>345,500</w:t>
            </w: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111,624</w:t>
            </w:r>
          </w:p>
        </w:tc>
      </w:tr>
      <w:tr>
        <w:trPr>
          <w:trHeight w:val="297"/>
        </w:trPr>
        <w:tc>
          <w:tcPr>
            <w:tcW w:w="48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lease liabilities</w:t>
            </w:r>
          </w:p>
        </w:tc>
        <w:tc>
          <w:tcPr>
            <w:tcW w:w="6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563,803</w:t>
            </w:r>
          </w:p>
        </w:tc>
      </w:tr>
      <w:tr>
        <w:trPr>
          <w:trHeight w:val="311"/>
        </w:trPr>
        <w:tc>
          <w:tcPr>
            <w:tcW w:w="4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9.1</w:t>
            </w:r>
          </w:p>
        </w:tc>
      </w:tr>
      <w:tr>
        <w:trPr>
          <w:trHeight w:val="243"/>
        </w:trPr>
        <w:tc>
          <w:tcPr>
            <w:tcW w:w="4860" w:type="dxa"/>
            <w:vAlign w:val="bottom"/>
            <w:gridSpan w:val="3"/>
          </w:tcPr>
          <w:p>
            <w:pPr>
              <w:ind w:left="22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93"/>
              <w:spacing w:after="0"/>
              <w:rPr>
                <w:sz w:val="20"/>
                <w:szCs w:val="20"/>
                <w:color w:val="auto"/>
              </w:rPr>
            </w:pPr>
            <w:r>
              <w:rPr>
                <w:rFonts w:ascii="Arial" w:cs="Arial" w:eastAsia="Arial" w:hAnsi="Arial"/>
                <w:sz w:val="18"/>
                <w:szCs w:val="18"/>
                <w:color w:val="auto"/>
              </w:rPr>
              <w:t>8.5</w:t>
            </w: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gridSpan w:val="3"/>
          </w:tcPr>
          <w:p>
            <w:pPr>
              <w:ind w:left="22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553"/>
        </w:trPr>
        <w:tc>
          <w:tcPr>
            <w:tcW w:w="11420" w:type="dxa"/>
            <w:vAlign w:val="bottom"/>
            <w:gridSpan w:val="10"/>
          </w:tcPr>
          <w:p>
            <w:pPr>
              <w:spacing w:after="0"/>
              <w:rPr>
                <w:sz w:val="20"/>
                <w:szCs w:val="20"/>
                <w:color w:val="auto"/>
              </w:rPr>
            </w:pPr>
            <w:r>
              <w:rPr>
                <w:rFonts w:ascii="Arial" w:cs="Arial" w:eastAsia="Arial" w:hAnsi="Arial"/>
                <w:sz w:val="18"/>
                <w:szCs w:val="18"/>
                <w:color w:val="auto"/>
                <w:w w:val="96"/>
              </w:rPr>
              <w:t>The following table summarizes the location of lease related costs in the Condensed Consolidated Statements of Income for the three months ended</w:t>
            </w: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December 27, 2019 (in thousands):</w:t>
            </w:r>
          </w:p>
        </w:tc>
        <w:tc>
          <w:tcPr>
            <w:tcW w:w="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34"/>
        </w:trPr>
        <w:tc>
          <w:tcPr>
            <w:tcW w:w="4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Three Months Ended</w:t>
            </w:r>
          </w:p>
        </w:tc>
      </w:tr>
      <w:tr>
        <w:trPr>
          <w:trHeight w:val="250"/>
        </w:trPr>
        <w:tc>
          <w:tcPr>
            <w:tcW w:w="4800" w:type="dxa"/>
            <w:vAlign w:val="bottom"/>
            <w:tcBorders>
              <w:bottom w:val="single" w:sz="8" w:color="auto"/>
            </w:tcBorders>
            <w:gridSpan w:val="2"/>
          </w:tcPr>
          <w:p>
            <w:pPr>
              <w:ind w:left="2080"/>
              <w:spacing w:after="0"/>
              <w:rPr>
                <w:sz w:val="20"/>
                <w:szCs w:val="20"/>
                <w:color w:val="auto"/>
              </w:rPr>
            </w:pPr>
            <w:r>
              <w:rPr>
                <w:rFonts w:ascii="Arial" w:cs="Arial" w:eastAsia="Arial" w:hAnsi="Arial"/>
                <w:sz w:val="14"/>
                <w:szCs w:val="14"/>
                <w:b w:val="1"/>
                <w:bCs w:val="1"/>
                <w:color w:val="auto"/>
              </w:rPr>
              <w:t>Lease Cost</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560" w:type="dxa"/>
            <w:vAlign w:val="bottom"/>
            <w:tcBorders>
              <w:bottom w:val="single" w:sz="8" w:color="auto"/>
            </w:tcBorders>
            <w:gridSpan w:val="2"/>
          </w:tcPr>
          <w:p>
            <w:pPr>
              <w:ind w:left="1440"/>
              <w:spacing w:after="0"/>
              <w:rPr>
                <w:sz w:val="20"/>
                <w:szCs w:val="20"/>
                <w:color w:val="auto"/>
              </w:rPr>
            </w:pPr>
            <w:r>
              <w:rPr>
                <w:rFonts w:ascii="Arial" w:cs="Arial" w:eastAsia="Arial" w:hAnsi="Arial"/>
                <w:sz w:val="14"/>
                <w:szCs w:val="14"/>
                <w:b w:val="1"/>
                <w:bCs w:val="1"/>
                <w:color w:val="auto"/>
              </w:rPr>
              <w:t>Income Statement Location</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27, 2019</w:t>
            </w:r>
          </w:p>
        </w:tc>
      </w:tr>
      <w:tr>
        <w:trPr>
          <w:trHeight w:val="270"/>
        </w:trPr>
        <w:tc>
          <w:tcPr>
            <w:tcW w:w="48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43"/>
        </w:trPr>
        <w:tc>
          <w:tcPr>
            <w:tcW w:w="4860" w:type="dxa"/>
            <w:vAlign w:val="bottom"/>
            <w:gridSpan w:val="3"/>
          </w:tcPr>
          <w:p>
            <w:pPr>
              <w:ind w:left="280"/>
              <w:spacing w:after="0"/>
              <w:rPr>
                <w:sz w:val="20"/>
                <w:szCs w:val="20"/>
                <w:color w:val="auto"/>
              </w:rPr>
            </w:pPr>
            <w:r>
              <w:rPr>
                <w:rFonts w:ascii="Arial" w:cs="Arial" w:eastAsia="Arial" w:hAnsi="Arial"/>
                <w:sz w:val="18"/>
                <w:szCs w:val="18"/>
                <w:color w:val="auto"/>
              </w:rPr>
              <w:t>Fixed lease costs</w:t>
            </w:r>
          </w:p>
        </w:tc>
        <w:tc>
          <w:tcPr>
            <w:tcW w:w="60" w:type="dxa"/>
            <w:vAlign w:val="bottom"/>
          </w:tcPr>
          <w:p>
            <w:pPr>
              <w:spacing w:after="0"/>
              <w:rPr>
                <w:sz w:val="21"/>
                <w:szCs w:val="21"/>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Cost of services provided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29,529</w:t>
            </w:r>
          </w:p>
        </w:tc>
      </w:tr>
      <w:tr>
        <w:trPr>
          <w:trHeight w:val="27"/>
        </w:trPr>
        <w:tc>
          <w:tcPr>
            <w:tcW w:w="4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60" w:type="dxa"/>
            <w:vAlign w:val="bottom"/>
            <w:gridSpan w:val="3"/>
            <w:shd w:val="clear" w:color="auto" w:fill="CCEEFF"/>
          </w:tcPr>
          <w:p>
            <w:pPr>
              <w:ind w:left="280"/>
              <w:spacing w:after="0" w:line="270"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5"/>
                <w:szCs w:val="25"/>
                <w:color w:val="auto"/>
                <w:vertAlign w:val="superscript"/>
              </w:rPr>
              <w:t>2</w:t>
            </w:r>
          </w:p>
        </w:tc>
        <w:tc>
          <w:tcPr>
            <w:tcW w:w="60" w:type="dxa"/>
            <w:vAlign w:val="bottom"/>
            <w:shd w:val="clear" w:color="auto" w:fill="CCEEFF"/>
          </w:tcPr>
          <w:p>
            <w:pPr>
              <w:spacing w:after="0"/>
              <w:rPr>
                <w:sz w:val="23"/>
                <w:szCs w:val="23"/>
                <w:color w:val="auto"/>
              </w:rPr>
            </w:pPr>
          </w:p>
        </w:tc>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provided</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196,625</w:t>
            </w:r>
          </w:p>
        </w:tc>
      </w:tr>
      <w:tr>
        <w:trPr>
          <w:trHeight w:val="243"/>
        </w:trPr>
        <w:tc>
          <w:tcPr>
            <w:tcW w:w="4860" w:type="dxa"/>
            <w:vAlign w:val="bottom"/>
            <w:gridSpan w:val="3"/>
          </w:tcPr>
          <w:p>
            <w:pPr>
              <w:ind w:left="280"/>
              <w:spacing w:after="0"/>
              <w:rPr>
                <w:sz w:val="20"/>
                <w:szCs w:val="20"/>
                <w:color w:val="auto"/>
              </w:rPr>
            </w:pPr>
            <w:r>
              <w:rPr>
                <w:rFonts w:ascii="Arial" w:cs="Arial" w:eastAsia="Arial" w:hAnsi="Arial"/>
                <w:sz w:val="18"/>
                <w:szCs w:val="18"/>
                <w:color w:val="auto"/>
              </w:rPr>
              <w:t>Short-term lease costs</w:t>
            </w:r>
          </w:p>
        </w:tc>
        <w:tc>
          <w:tcPr>
            <w:tcW w:w="60" w:type="dxa"/>
            <w:vAlign w:val="bottom"/>
          </w:tcPr>
          <w:p>
            <w:pPr>
              <w:spacing w:after="0"/>
              <w:rPr>
                <w:sz w:val="21"/>
                <w:szCs w:val="21"/>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Cost of services provided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21,330</w:t>
            </w:r>
          </w:p>
        </w:tc>
      </w:tr>
      <w:tr>
        <w:trPr>
          <w:trHeight w:val="27"/>
        </w:trPr>
        <w:tc>
          <w:tcPr>
            <w:tcW w:w="4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Finance lease cost</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43"/>
        </w:trPr>
        <w:tc>
          <w:tcPr>
            <w:tcW w:w="4860" w:type="dxa"/>
            <w:vAlign w:val="bottom"/>
            <w:gridSpan w:val="3"/>
          </w:tcPr>
          <w:p>
            <w:pPr>
              <w:ind w:left="280"/>
              <w:spacing w:after="0"/>
              <w:rPr>
                <w:sz w:val="20"/>
                <w:szCs w:val="20"/>
                <w:color w:val="auto"/>
              </w:rPr>
            </w:pPr>
            <w:r>
              <w:rPr>
                <w:rFonts w:ascii="Arial" w:cs="Arial" w:eastAsia="Arial" w:hAnsi="Arial"/>
                <w:sz w:val="18"/>
                <w:szCs w:val="18"/>
                <w:color w:val="auto"/>
              </w:rPr>
              <w:t>Amortization of right-of-use-assets</w:t>
            </w:r>
          </w:p>
        </w:tc>
        <w:tc>
          <w:tcPr>
            <w:tcW w:w="60" w:type="dxa"/>
            <w:vAlign w:val="bottom"/>
          </w:tcPr>
          <w:p>
            <w:pPr>
              <w:spacing w:after="0"/>
              <w:rPr>
                <w:sz w:val="21"/>
                <w:szCs w:val="21"/>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7,087</w:t>
            </w:r>
          </w:p>
        </w:tc>
      </w:tr>
      <w:tr>
        <w:trPr>
          <w:trHeight w:val="27"/>
        </w:trPr>
        <w:tc>
          <w:tcPr>
            <w:tcW w:w="4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60" w:type="dxa"/>
            <w:vAlign w:val="bottom"/>
            <w:tcBorders>
              <w:bottom w:val="single" w:sz="8" w:color="CCEEFF"/>
            </w:tcBorders>
            <w:shd w:val="clear" w:color="auto" w:fill="CCEEFF"/>
          </w:tcPr>
          <w:p>
            <w:pPr>
              <w:spacing w:after="0"/>
              <w:rPr>
                <w:sz w:val="23"/>
                <w:szCs w:val="23"/>
                <w:color w:val="auto"/>
              </w:rPr>
            </w:pPr>
          </w:p>
        </w:tc>
        <w:tc>
          <w:tcPr>
            <w:tcW w:w="4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w:t>
            </w:r>
          </w:p>
        </w:tc>
      </w:tr>
      <w:tr>
        <w:trPr>
          <w:trHeight w:val="237"/>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Net lease cost</w:t>
            </w:r>
          </w:p>
        </w:tc>
        <w:tc>
          <w:tcPr>
            <w:tcW w:w="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255,862</w:t>
            </w:r>
          </w:p>
        </w:tc>
      </w:tr>
      <w:tr>
        <w:trPr>
          <w:trHeight w:val="27"/>
        </w:trPr>
        <w:tc>
          <w:tcPr>
            <w:tcW w:w="4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hanging="351"/>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Excludes sublease income, which is immaterial.</w:t>
      </w:r>
    </w:p>
    <w:p>
      <w:pPr>
        <w:spacing w:after="0" w:line="120" w:lineRule="exact"/>
        <w:rPr>
          <w:rFonts w:ascii="Arial" w:cs="Arial" w:eastAsia="Arial" w:hAnsi="Arial"/>
          <w:sz w:val="13"/>
          <w:szCs w:val="13"/>
          <w:color w:val="auto"/>
        </w:rPr>
      </w:pPr>
    </w:p>
    <w:p>
      <w:pPr>
        <w:ind w:left="420" w:right="520" w:hanging="351"/>
        <w:spacing w:after="0" w:line="181" w:lineRule="auto"/>
        <w:tabs>
          <w:tab w:leader="none" w:pos="420" w:val="left"/>
        </w:tabs>
        <w:numPr>
          <w:ilvl w:val="0"/>
          <w:numId w:val="4"/>
        </w:numPr>
        <w:rPr>
          <w:rFonts w:ascii="Arial" w:cs="Arial" w:eastAsia="Arial" w:hAnsi="Arial"/>
          <w:sz w:val="22"/>
          <w:szCs w:val="22"/>
          <w:color w:val="auto"/>
          <w:vertAlign w:val="subscript"/>
        </w:rPr>
      </w:pPr>
      <w:r>
        <w:rPr>
          <w:rFonts w:ascii="Arial" w:cs="Arial" w:eastAsia="Arial" w:hAnsi="Arial"/>
          <w:sz w:val="12"/>
          <w:szCs w:val="12"/>
          <w:color w:val="auto"/>
        </w:rPr>
        <w:t>Includes $193.6 million of costs related to leases associated with revenue contracts with customers. These costs represent the rent the Company pays its clients to operate at their locations, typically based on a percentage of sales.</w:t>
      </w:r>
    </w:p>
    <w:p>
      <w:pPr>
        <w:spacing w:after="0" w:line="110" w:lineRule="exact"/>
        <w:rPr>
          <w:rFonts w:ascii="Arial" w:cs="Arial" w:eastAsia="Arial" w:hAnsi="Arial"/>
          <w:sz w:val="22"/>
          <w:szCs w:val="22"/>
          <w:color w:val="auto"/>
          <w:vertAlign w:val="subscript"/>
        </w:rPr>
      </w:pPr>
    </w:p>
    <w:p>
      <w:pPr>
        <w:ind w:left="420" w:hanging="351"/>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Excludes variable lease costs, which are immaterial.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7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period reported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Three Months Ended</w:t>
            </w:r>
          </w:p>
        </w:tc>
      </w:tr>
      <w:tr>
        <w:trPr>
          <w:trHeight w:val="250"/>
        </w:trPr>
        <w:tc>
          <w:tcPr>
            <w:tcW w:w="55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December 27, 2019</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245,284</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8,613</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Right-of-use lease assets obtained in exchange for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23,768</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w:t>
            </w:r>
          </w:p>
        </w:tc>
      </w:tr>
      <w:tr>
        <w:trPr>
          <w:trHeight w:val="567"/>
        </w:trPr>
        <w:tc>
          <w:tcPr>
            <w:tcW w:w="9600" w:type="dxa"/>
            <w:vAlign w:val="bottom"/>
            <w:gridSpan w:val="7"/>
          </w:tcPr>
          <w:p>
            <w:pPr>
              <w:spacing w:after="0"/>
              <w:rPr>
                <w:sz w:val="20"/>
                <w:szCs w:val="20"/>
                <w:color w:val="auto"/>
              </w:rPr>
            </w:pPr>
            <w:r>
              <w:rPr>
                <w:rFonts w:ascii="Arial" w:cs="Arial" w:eastAsia="Arial" w:hAnsi="Arial"/>
                <w:sz w:val="18"/>
                <w:szCs w:val="18"/>
                <w:color w:val="auto"/>
              </w:rPr>
              <w:t>Future minimum lease payments under non-cancelable leases as of December 27, 2019 are as follows (in thousands):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34"/>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tcPr>
          <w:p>
            <w:pPr>
              <w:spacing w:after="0"/>
              <w:rPr>
                <w:sz w:val="24"/>
                <w:szCs w:val="2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Finance leases</w:t>
            </w:r>
          </w:p>
        </w:tc>
        <w:tc>
          <w:tcPr>
            <w:tcW w:w="180" w:type="dxa"/>
            <w:vAlign w:val="bottom"/>
          </w:tcPr>
          <w:p>
            <w:pPr>
              <w:spacing w:after="0"/>
              <w:rPr>
                <w:sz w:val="24"/>
                <w:szCs w:val="24"/>
                <w:color w:val="auto"/>
              </w:rPr>
            </w:pPr>
          </w:p>
        </w:tc>
        <w:tc>
          <w:tcPr>
            <w:tcW w:w="164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Total</w:t>
            </w:r>
          </w:p>
        </w:tc>
      </w:tr>
      <w:tr>
        <w:trPr>
          <w:trHeight w:val="250"/>
        </w:trPr>
        <w:tc>
          <w:tcPr>
            <w:tcW w:w="5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Remainder of 2020</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87,802</w:t>
            </w: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76,092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35,769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111,861</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78,415</w:t>
            </w: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46,282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16,558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62,840</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52,609</w:t>
            </w: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213,448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52,396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265,844</w:t>
            </w:r>
          </w:p>
        </w:tc>
      </w:tr>
      <w:tr>
        <w:trPr>
          <w:trHeight w:val="27"/>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659,371</w:t>
            </w: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Less: Interest</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(80,710)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(95,568)</w:t>
            </w:r>
          </w:p>
        </w:tc>
      </w:tr>
      <w:tr>
        <w:trPr>
          <w:trHeight w:val="27"/>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421,251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142,552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563,803</w:t>
            </w: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Following is a schedule of the future minimum rental and similar commitments under all non-cancelable operating leases as of September 27, 2019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10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101,061</w:t>
            </w:r>
          </w:p>
        </w:tc>
      </w:tr>
      <w:tr>
        <w:trPr>
          <w:trHeight w:val="243"/>
        </w:trPr>
        <w:tc>
          <w:tcPr>
            <w:tcW w:w="10120" w:type="dxa"/>
            <w:vAlign w:val="bottom"/>
          </w:tcPr>
          <w:p>
            <w:pPr>
              <w:ind w:left="38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74,908</w:t>
            </w:r>
          </w:p>
        </w:tc>
      </w:tr>
      <w:tr>
        <w:trPr>
          <w:trHeight w:val="27"/>
        </w:trPr>
        <w:tc>
          <w:tcPr>
            <w:tcW w:w="10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56,765</w:t>
            </w:r>
          </w:p>
        </w:tc>
      </w:tr>
      <w:tr>
        <w:trPr>
          <w:trHeight w:val="243"/>
        </w:trPr>
        <w:tc>
          <w:tcPr>
            <w:tcW w:w="10120" w:type="dxa"/>
            <w:vAlign w:val="bottom"/>
          </w:tcPr>
          <w:p>
            <w:pPr>
              <w:ind w:left="38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43,795</w:t>
            </w:r>
          </w:p>
        </w:tc>
      </w:tr>
      <w:tr>
        <w:trPr>
          <w:trHeight w:val="27"/>
        </w:trPr>
        <w:tc>
          <w:tcPr>
            <w:tcW w:w="10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36,215</w:t>
            </w:r>
          </w:p>
        </w:tc>
      </w:tr>
      <w:tr>
        <w:trPr>
          <w:trHeight w:val="243"/>
        </w:trPr>
        <w:tc>
          <w:tcPr>
            <w:tcW w:w="10120" w:type="dxa"/>
            <w:vAlign w:val="bottom"/>
          </w:tcPr>
          <w:p>
            <w:pPr>
              <w:ind w:left="380"/>
              <w:spacing w:after="0"/>
              <w:rPr>
                <w:sz w:val="20"/>
                <w:szCs w:val="20"/>
                <w:color w:val="auto"/>
              </w:rPr>
            </w:pPr>
            <w:r>
              <w:rPr>
                <w:rFonts w:ascii="Arial" w:cs="Arial" w:eastAsia="Arial" w:hAnsi="Arial"/>
                <w:sz w:val="18"/>
                <w:szCs w:val="18"/>
                <w:color w:val="auto"/>
              </w:rPr>
              <w:t>2025-Thereafter</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214,818</w:t>
            </w:r>
          </w:p>
        </w:tc>
      </w:tr>
      <w:tr>
        <w:trPr>
          <w:trHeight w:val="27"/>
        </w:trPr>
        <w:tc>
          <w:tcPr>
            <w:tcW w:w="10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rental obligations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527,562</w:t>
            </w:r>
          </w:p>
        </w:tc>
      </w:tr>
      <w:tr>
        <w:trPr>
          <w:trHeight w:val="20"/>
        </w:trPr>
        <w:tc>
          <w:tcPr>
            <w:tcW w:w="10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4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three months ended December 27, 2019 and December 28, 2018, the Company paid cash dividends of approximately $27.5 million and $27.2 million to its stockholders, respectively. On January 28, 2020, the Company's Board declared a $0.110 dividend per share of common stock, payable on February 27, 2020, to shareholders of record on the close of business on February 13, 2020. During the first quarter of fiscal 2019, the Company completed a repurchase of 1.6 million shares of its common stock for $50.0 million under the fiscal 2017 share repurchase program, which expired on February 1, 2019.</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January 29, 2020, the Company's stockholders approved the Second Amended and Restated 2013 Stock Incentive Plan, which replaces the Company's 2013 Incentive Plan. The Second Amended and Restated 2013 Stock Incentive Plan provides for up to 7.5 million of new shares authorized for issuance to participants, in addition to the shares that remained available for issuance under the 2013 Incentive Plan as of January 29, 2020 that are not subject to outstanding awards under the 2013 Incentive Plan.</w:t>
      </w:r>
    </w:p>
    <w:p>
      <w:pPr>
        <w:sectPr>
          <w:pgSz w:w="11900" w:h="16838" w:orient="portrait"/>
          <w:cols w:equalWidth="0" w:num="1">
            <w:col w:w="11420"/>
          </w:cols>
          <w:pgMar w:left="240" w:top="179"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79"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summarizes the share-based compensation expense and related information for Time-Based Options ("TBOs"), Time-Based Restricted Stock Units ("RSUs"), Performance Stock Units ("PSUs"), and Deferred Stock Units classified as "Selling and general corporate expenses" in the Condensed Consolidated Statements of Income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27, 2019</w:t>
            </w:r>
          </w:p>
        </w:tc>
        <w:tc>
          <w:tcPr>
            <w:tcW w:w="240" w:type="dxa"/>
            <w:vAlign w:val="bottom"/>
          </w:tcPr>
          <w:p>
            <w:pPr>
              <w:spacing w:after="0"/>
              <w:rPr>
                <w:sz w:val="22"/>
                <w:szCs w:val="22"/>
                <w:color w:val="auto"/>
              </w:rPr>
            </w:pP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28,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TBOs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PSUs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Stock Units</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related to 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Received from Option Exercises</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 on Share Deliveries</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summarizes the number of shares granted and the weighted-average grant-date fair value per unit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Shares Granted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 (dollars per</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TBOs</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RSUs</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PSUs</w:t>
            </w:r>
            <w:r>
              <w:rPr>
                <w:rFonts w:ascii="Arial" w:cs="Arial" w:eastAsia="Arial" w:hAnsi="Arial"/>
                <w:sz w:val="12"/>
                <w:szCs w:val="12"/>
                <w:color w:val="auto"/>
              </w:rPr>
              <w:t>(1)(2)</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0" w:hanging="351"/>
        <w:spacing w:after="0"/>
        <w:tabs>
          <w:tab w:leader="none" w:pos="400" w:val="left"/>
        </w:tabs>
        <w:numPr>
          <w:ilvl w:val="0"/>
          <w:numId w:val="5"/>
        </w:numPr>
        <w:rPr>
          <w:rFonts w:ascii="Arial" w:cs="Arial" w:eastAsia="Arial" w:hAnsi="Arial"/>
          <w:sz w:val="25"/>
          <w:szCs w:val="25"/>
          <w:color w:val="auto"/>
          <w:vertAlign w:val="superscript"/>
        </w:rPr>
      </w:pPr>
      <w:r>
        <w:rPr>
          <w:rFonts w:ascii="Arial" w:cs="Arial" w:eastAsia="Arial" w:hAnsi="Arial"/>
          <w:sz w:val="13"/>
          <w:szCs w:val="13"/>
          <w:color w:val="auto"/>
        </w:rPr>
        <w:t>Includes approximately 0.3 million shares resulting from the payout of the 2017 PSU grants due to exceeding the adjusted earnings per share target.</w:t>
      </w:r>
    </w:p>
    <w:p>
      <w:pPr>
        <w:spacing w:after="0" w:line="109" w:lineRule="exact"/>
        <w:rPr>
          <w:rFonts w:ascii="Arial" w:cs="Arial" w:eastAsia="Arial" w:hAnsi="Arial"/>
          <w:sz w:val="25"/>
          <w:szCs w:val="25"/>
          <w:color w:val="auto"/>
          <w:vertAlign w:val="superscript"/>
        </w:rPr>
      </w:pPr>
    </w:p>
    <w:p>
      <w:pPr>
        <w:ind w:left="400" w:right="80" w:hanging="351"/>
        <w:spacing w:after="0" w:line="187" w:lineRule="auto"/>
        <w:tabs>
          <w:tab w:leader="none" w:pos="400" w:val="left"/>
        </w:tabs>
        <w:numPr>
          <w:ilvl w:val="0"/>
          <w:numId w:val="5"/>
        </w:numPr>
        <w:rPr>
          <w:rFonts w:ascii="Arial" w:cs="Arial" w:eastAsia="Arial" w:hAnsi="Arial"/>
          <w:sz w:val="24"/>
          <w:szCs w:val="24"/>
          <w:color w:val="auto"/>
          <w:vertAlign w:val="superscript"/>
        </w:rPr>
      </w:pPr>
      <w:r>
        <w:rPr>
          <w:rFonts w:ascii="Arial" w:cs="Arial" w:eastAsia="Arial" w:hAnsi="Arial"/>
          <w:sz w:val="12"/>
          <w:szCs w:val="12"/>
          <w:color w:val="auto"/>
        </w:rPr>
        <w:t>During the first quarter of fiscal 2020, the Company granted PSUs subject to the level of achievement of adjusted revenue growth, adjusted operating income growth, return on invested capital and a total shareholder return multiplier for the cumulative three year performance period and the participant's continued employment with the Company. The Company is accounting for this award as a market-based award which was valued utilizing the Monte Carlo Simulation pricing model, which calculates multiple potential outcomes for an award and establishes fair value based on the most likely outcome.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4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attributable to the Company's stockholders (in thousands, except per share data):</w:t>
      </w:r>
    </w:p>
    <w:p>
      <w:pPr>
        <w:spacing w:after="0" w:line="31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2019</w:t>
            </w:r>
          </w:p>
        </w:tc>
        <w:tc>
          <w:tcPr>
            <w:tcW w:w="22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December 28,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250,682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248,731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246,887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6,769</w:t>
            </w:r>
          </w:p>
        </w:tc>
      </w:tr>
      <w:tr>
        <w:trPr>
          <w:trHeight w:val="297"/>
        </w:trPr>
        <w:tc>
          <w:tcPr>
            <w:tcW w:w="79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254,121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253,656</w:t>
            </w:r>
          </w:p>
        </w:tc>
      </w:tr>
      <w:tr>
        <w:trPr>
          <w:trHeight w:val="311"/>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0.99</w:t>
            </w:r>
          </w:p>
        </w:tc>
      </w:tr>
      <w:tr>
        <w:trPr>
          <w:trHeight w:val="27"/>
        </w:trPr>
        <w:tc>
          <w:tcPr>
            <w:tcW w:w="7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Share-based awards to purchase 1.6 million and 4.6 million shares were outstanding for the three months ended December 27, 2019 and December 28, 2018, respectively, but were not included in the computation of diluted earnings per common share, as their effect would have been antidilutive. In addition, PSUs related to 1.7 million shares and 1.7 million shares were outstanding for the three months ended December 27, 2019 and December 28, 2018, respectively, but were not included in the computation of diluted earnings per common share, as the performance targets were not yet met.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4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2019, Eric J. Foss, the Company's former Chairman, President and Chief Executive Officer, stepped down and $10.4 million of cash compensation related charges were recognized related to his separation from the Company. As of December 27, 2019, the Company had $8.8 million of remaining unpaid obligations related to his separation, which are recorded in "Accrued expenses and other current liabilities" in the Condensed Consolidated Balance Sheets. These remaining unpaid obligations are expected to be paid through fiscal 2021.</w:t>
      </w:r>
    </w:p>
    <w:p>
      <w:pPr>
        <w:spacing w:after="0" w:line="10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fiscal 2019, the Company was a defendant in two class action lawsuits alleging breach of contract, promissory estoppel, unjust enrichment and various state law claims for failure to pay employee annual incentive bonuses related to the 2018 fiscal year. In November 2019, the Company settled the lawsuits with the plaintiffs for approximately $21.0 million, which includes payments to the class members, attorneys' fees and other expenses. The Company recognized the settlement charge in "Accrued expenses and other current liabilities" in the Condensed Consolidated Balance Sheets as of December 27, 2019.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reported its operating results in three reportable segments: FSS United States, FSS International and Uniform. Corporate includes general expenses not specifically allocated to an individual segment and share-based compensation expense (see Note 10). In the Company's food and support services segments, approximately 78% of the global revenue is related to food services and 22% is related to facilities services. During the three months ended December 27, 2019 and December 28, 2018, the Company received proceeds of approximately $15.3 million and $16.2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in the Condensed Consolidated Statements of Income. Financial information by segment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w:t>
            </w:r>
          </w:p>
        </w:tc>
        <w:tc>
          <w:tcPr>
            <w:tcW w:w="1420" w:type="dxa"/>
            <w:vAlign w:val="bottom"/>
            <w:tcBorders>
              <w:bottom w:val="single" w:sz="8" w:color="auto"/>
            </w:tcBorders>
          </w:tcPr>
          <w:p>
            <w:pPr>
              <w:spacing w:after="0"/>
              <w:rPr>
                <w:sz w:val="16"/>
                <w:szCs w:val="16"/>
                <w:color w:val="auto"/>
              </w:rPr>
            </w:pPr>
          </w:p>
        </w:tc>
      </w:tr>
      <w:tr>
        <w:trPr>
          <w:trHeight w:val="250"/>
        </w:trPr>
        <w:tc>
          <w:tcPr>
            <w:tcW w:w="7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2019</w:t>
            </w:r>
          </w:p>
        </w:tc>
        <w:tc>
          <w:tcPr>
            <w:tcW w:w="2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28,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953.1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651.9</w:t>
            </w: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4,253.6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4,265.3</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15"/>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Operating Income</w:t>
            </w:r>
          </w:p>
        </w:tc>
      </w:tr>
      <w:tr>
        <w:trPr>
          <w:trHeight w:val="250"/>
        </w:trPr>
        <w:tc>
          <w:tcPr>
            <w:tcW w:w="7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2019</w:t>
            </w:r>
          </w:p>
        </w:tc>
        <w:tc>
          <w:tcPr>
            <w:tcW w:w="2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28,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w:t>
            </w: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427.9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373.4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290.4</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ASSETS AND FINANCIAL LIABILITIES: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8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44" w:lineRule="exact"/>
        <w:rPr>
          <w:rFonts w:ascii="Arial" w:cs="Arial" w:eastAsia="Arial" w:hAnsi="Arial"/>
          <w:sz w:val="18"/>
          <w:szCs w:val="18"/>
          <w:color w:val="auto"/>
        </w:rPr>
      </w:pPr>
    </w:p>
    <w:p>
      <w:pPr>
        <w:ind w:left="980" w:right="56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December 27, 2019 and September 27, 2019 was $7,374.1 million and $6,851.2 million, respectively. The carrying value of the Company's debt at December 27, 2019 and September 27, 2019 was $7,170.7 million and $6,682.2 million, respectively. The fair values were computed using market quotes, if available, or based</w:t>
      </w:r>
    </w:p>
    <w:p>
      <w:pPr>
        <w:sectPr>
          <w:pgSz w:w="11900" w:h="16838" w:orient="portrait"/>
          <w:cols w:equalWidth="0" w:num="1">
            <w:col w:w="11420"/>
          </w:cols>
          <w:pgMar w:left="240" w:top="179"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79"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discounted cash flows using market interest rates as of the end of the respective periods. The inputs utilized in estimating the fair value of the Company's debt has been classified as level 2 in the fair value hierarchy levels.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179"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STATEMENTS OF ARAMARK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consolidating financial statements of the Company have been prepared pursuant to Rule 3-10 of Regulation S-X.</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condensed consolidating financial statements are presented for: (i) Aramark (the "Parent"); (ii) ASI and Aramark International Finance S.à r.l. (the "Issuers"); (iii) the guarantors; (iv) the non guarantors; (v) elimination entries necessary to consolidate the Parent with the Issuers, the guarantors and non guarantors; and (vi) the Company on a consolidated basis. Each of the guarantors is wholly-owned, directly or indirectly, by the Company. The 5.125% Senior Notes due 2024 (the "2024 Notes"), 5.000% Senior Notes due April 1, 2025 (the "5.000% 2025 Notes"), 3.125% Senior Notes due April 1, 2025 (the "3.125% 2025 Notes" and, together with the 5.000% 2025 Notes, the "2025 Notes"), 4.75% Senior Notes due June 1, 2026 ("2026 Notes") and 5.000% Senior Notes due February 1, 2028 (the "2028 Notes") are obligations of the Company's wholly-owned subsidiary, ASI, (other than the 3.125% 2025 Notes, which are obligations of the Company's wholly owned subsidiary, Aramark International Finance S.a.r.l) and are each jointly and severally guaranteed on a senior unsecured basis by the Company and substantially all of the Company's existing and future domestic subsidiaries (excluding the Receivables Facility subsidiary) ("Guarantors"). All other subsidiaries of the Company, either direct or indirect, are non-guarantors and do not guarantee the 2024 Notes, 2025 Notes, 2026 Notes or 2028 Notes ("Non Guarantors"). The Guarantors also guarantee certain other debt. These condensed consolidating financial statements have been prepared from the Company's financial information on the same basis of accounting as the condensed consolidated financial statements. Interest expense and certain other costs are partially allocated to all of the subsidiaries of the Company. Goodwill and other intangible assets have been allocated to the subsidiaries based on management's estimates.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79"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Non</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264,618</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551,947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1,418,604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1,971,939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397,933</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46,536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79,609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194,417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938,461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1,791,782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2,828,907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43,896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1,763,268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350,998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2,158,162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5,537,025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9"/>
              </w:rPr>
              <w:t>Investment in and Advances to Subsidiaries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3,451,571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6,532,122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745,792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(10,729,485)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1,804,342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2,013,773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561,872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798,897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1,173,326</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3,451,576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6,908,447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10,457,869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4,186,660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(10,731,487)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14,273,065</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b w:val="1"/>
                <w:bCs w:val="1"/>
                <w:color w:val="auto"/>
              </w:rPr>
              <w:t>LIABILITIES AND</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maturities of long-term</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borrowings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82,981</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18,815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75,751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855,214</w:t>
            </w:r>
          </w:p>
        </w:tc>
        <w:tc>
          <w:tcPr>
            <w:tcW w:w="0" w:type="dxa"/>
            <w:vAlign w:val="bottom"/>
          </w:tcPr>
          <w:p>
            <w:pPr>
              <w:spacing w:after="0"/>
              <w:rPr>
                <w:sz w:val="1"/>
                <w:szCs w:val="1"/>
                <w:color w:val="auto"/>
              </w:rPr>
            </w:pPr>
          </w:p>
        </w:tc>
      </w:tr>
      <w:tr>
        <w:trPr>
          <w:trHeight w:val="229"/>
        </w:trPr>
        <w:tc>
          <w:tcPr>
            <w:tcW w:w="35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208,474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710,173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364,812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1,283,547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345,732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1,213,677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737,996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2,297,493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6,076,564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76,619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934,537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7,087,720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345,500</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4"/>
              </w:rPr>
              <w:t>Deferred Income Taxes and Other Noncurrent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366,329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549,167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165,272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1,080,768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4,411,209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3,451,576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3,933,945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1,898,097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(5,934,516)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3,451,576</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3,451,576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6,908,447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10,457,869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4,186,660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(10,731,487)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14,273,065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27,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 Guarantors</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246,643</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522,627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1,282,371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1,806,964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411,319</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w w:val="96"/>
              </w:rPr>
              <w:t>Prepayments and other current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83,631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193,461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946,928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1,633,010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2,658,387</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1,784,410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354,023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2,181,762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4,694,549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5,518,800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w w:val="96"/>
              </w:rPr>
              <w:t>Investment in and Advances to Subsidiaries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3,320,042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6,649,119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717,228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(10,686,389)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2,033,566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979,350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346,076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1,343,806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3,320,047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6,994,062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10,224,552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3,886,051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940"/>
              <w:spacing w:after="0"/>
              <w:rPr>
                <w:sz w:val="20"/>
                <w:szCs w:val="20"/>
                <w:color w:val="auto"/>
              </w:rPr>
            </w:pPr>
            <w:r>
              <w:rPr>
                <w:rFonts w:ascii="Arial" w:cs="Arial" w:eastAsia="Arial" w:hAnsi="Arial"/>
                <w:sz w:val="18"/>
                <w:szCs w:val="18"/>
                <w:b w:val="1"/>
                <w:bCs w:val="1"/>
                <w:color w:val="auto"/>
              </w:rPr>
              <w:t>LIABILITIES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Current maturities of long-term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borrowings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27,924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35,748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999,517</w:t>
            </w: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241,523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1,030,074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364,168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1,635,853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1,565,901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763,890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2,705,298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6,090,487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439,358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6,612,239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Deferred Income Taxes and Other Noncurrent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380,453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569,409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1,088,822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Intercompany Payable</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4,187,591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726,464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(4,914,055)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3,320,047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147,703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3,809,342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1,817,379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(5,774,424)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3,320,047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3,320,047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6,994,062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10,224,552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3,886,051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13,736,321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27,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20" w:type="dxa"/>
            <w:vAlign w:val="bottom"/>
          </w:tcPr>
          <w:p>
            <w:pPr>
              <w:spacing w:after="0"/>
              <w:rPr>
                <w:sz w:val="14"/>
                <w:szCs w:val="14"/>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2,840,056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1,145,106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4,253,597</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2,473,177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1,048,628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3,768,113</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147,936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83,255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74,769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79,585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293,601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2,694,677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1,090,611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4,078,889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174,708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28,825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123,170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40,527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145,883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Less: Net income attributable to noncontrolling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4000" w:type="dxa"/>
            <w:vAlign w:val="bottom"/>
          </w:tcPr>
          <w:p>
            <w:pPr>
              <w:ind w:left="46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123,048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40,527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145,761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209"/>
        </w:trPr>
        <w:tc>
          <w:tcPr>
            <w:tcW w:w="4000" w:type="dxa"/>
            <w:vAlign w:val="bottom"/>
          </w:tcPr>
          <w:p>
            <w:pPr>
              <w:ind w:left="46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166,961</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(9,796)</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124,534</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77,071</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(191,809)</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166,961</w:t>
            </w:r>
          </w:p>
        </w:tc>
        <w:tc>
          <w:tcPr>
            <w:tcW w:w="0" w:type="dxa"/>
            <w:vAlign w:val="bottom"/>
          </w:tcPr>
          <w:p>
            <w:pPr>
              <w:spacing w:after="0"/>
              <w:rPr>
                <w:sz w:val="1"/>
                <w:szCs w:val="1"/>
                <w:color w:val="auto"/>
              </w:rPr>
            </w:pPr>
          </w:p>
        </w:tc>
      </w:tr>
      <w:tr>
        <w:trPr>
          <w:trHeight w:val="242"/>
        </w:trPr>
        <w:tc>
          <w:tcPr>
            <w:tcW w:w="4000" w:type="dxa"/>
            <w:vAlign w:val="bottom"/>
          </w:tcPr>
          <w:p>
            <w:pPr>
              <w:ind w:left="68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268,522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2,848,927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4,265,349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2,464,602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3,794,445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4,472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150,721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104,130</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Gain on sale of Healthcare Technologies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(157,309)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82,978</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(230,589)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2,696,599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3,974,965</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113,728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152,328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290,384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250,682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250,676</w:t>
            </w:r>
          </w:p>
        </w:tc>
        <w:tc>
          <w:tcPr>
            <w:tcW w:w="0" w:type="dxa"/>
            <w:vAlign w:val="bottom"/>
          </w:tcPr>
          <w:p>
            <w:pPr>
              <w:spacing w:after="0"/>
              <w:rPr>
                <w:sz w:val="1"/>
                <w:szCs w:val="1"/>
                <w:color w:val="auto"/>
              </w:rPr>
            </w:pPr>
          </w:p>
        </w:tc>
      </w:tr>
      <w:tr>
        <w:trPr>
          <w:trHeight w:val="229"/>
        </w:trPr>
        <w:tc>
          <w:tcPr>
            <w:tcW w:w="4000" w:type="dxa"/>
            <w:vAlign w:val="bottom"/>
          </w:tcPr>
          <w:p>
            <w:pPr>
              <w:ind w:left="500"/>
              <w:spacing w:after="0"/>
              <w:rPr>
                <w:sz w:val="20"/>
                <w:szCs w:val="20"/>
                <w:color w:val="auto"/>
              </w:rPr>
            </w:pPr>
            <w:r>
              <w:rPr>
                <w:rFonts w:ascii="Arial" w:cs="Arial" w:eastAsia="Arial" w:hAnsi="Arial"/>
                <w:sz w:val="18"/>
                <w:szCs w:val="18"/>
                <w:color w:val="auto"/>
              </w:rPr>
              <w:t>Less: Net loss attributable to noncontrolling</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income attributable to Aramark</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250,682</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72,302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(41,773)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208,909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77,636</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127,334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(26,590)</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(178,380)</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208,909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27,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40" w:type="dxa"/>
            <w:vAlign w:val="bottom"/>
          </w:tcPr>
          <w:p>
            <w:pPr>
              <w:spacing w:after="0"/>
              <w:rPr>
                <w:sz w:val="14"/>
                <w:szCs w:val="14"/>
                <w:color w:val="auto"/>
              </w:rPr>
            </w:pPr>
          </w:p>
        </w:tc>
        <w:tc>
          <w:tcPr>
            <w:tcW w:w="8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(309,484)</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(99,196)</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 of businesses, net of cash</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acquired</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w w:val="89"/>
              </w:rPr>
              <w:t>Proceeds from governmental agencies related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to property and equipment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(87,351)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Proceeds from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58,671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(38,385)</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w w:val="91"/>
              </w:rPr>
              <w:t>Net change in funding under the Receivables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dividends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(27,483)</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w w:val="98"/>
              </w:rPr>
              <w:t>Proceeds from issuance of common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26,089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26,089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Other financing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intercompany,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208,489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151,574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411,563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Effect of foreign exchange rates on cash and cash</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3"/>
              </w:rPr>
              <w:t>Increase (decrease) in cash and cash equivalents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17,975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172,584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246,643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195,901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264,618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4060" w:type="dxa"/>
        <w:tblCellMar>
          <w:top w:w="0" w:type="dxa"/>
          <w:left w:w="0" w:type="dxa"/>
          <w:bottom w:w="0" w:type="dxa"/>
          <w:right w:w="0" w:type="dxa"/>
        </w:tblCellMar>
      </w:tblPr>
      <w:tr>
        <w:trPr>
          <w:trHeight w:val="161"/>
        </w:trPr>
        <w:tc>
          <w:tcPr>
            <w:tcW w:w="940" w:type="dxa"/>
            <w:vAlign w:val="bottom"/>
          </w:tcPr>
          <w:p>
            <w:pPr>
              <w:jc w:val="center"/>
              <w:ind w:right="288"/>
              <w:spacing w:after="0"/>
              <w:rPr>
                <w:sz w:val="20"/>
                <w:szCs w:val="20"/>
                <w:color w:val="auto"/>
              </w:rPr>
            </w:pPr>
            <w:r>
              <w:rPr>
                <w:rFonts w:ascii="Arial" w:cs="Arial" w:eastAsia="Arial" w:hAnsi="Arial"/>
                <w:sz w:val="14"/>
                <w:szCs w:val="14"/>
                <w:b w:val="1"/>
                <w:bCs w:val="1"/>
                <w:color w:val="auto"/>
              </w:rPr>
              <w:t>Aramark</w:t>
            </w:r>
          </w:p>
        </w:tc>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Issuers</w:t>
            </w:r>
          </w:p>
        </w:tc>
        <w:tc>
          <w:tcPr>
            <w:tcW w:w="13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Guarantors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Non</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Eliminations</w:t>
            </w:r>
          </w:p>
        </w:tc>
        <w:tc>
          <w:tcPr>
            <w:tcW w:w="108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94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(Parent)</w:t>
            </w:r>
          </w:p>
        </w:tc>
        <w:tc>
          <w:tcPr>
            <w:tcW w:w="11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3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3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8"/>
                <w:szCs w:val="18"/>
                <w:color w:val="auto"/>
                <w:w w:val="99"/>
              </w:rPr>
              <w:t>Net cash provided by (used in) operating activities  $</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   $</w:t>
            </w:r>
          </w:p>
        </w:tc>
      </w:tr>
      <w:tr>
        <w:trPr>
          <w:trHeight w:val="27"/>
        </w:trPr>
        <w:tc>
          <w:tcPr>
            <w:tcW w:w="4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69"/>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 and</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30"/>
        </w:trPr>
        <w:tc>
          <w:tcPr>
            <w:tcW w:w="418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Disposals of property and equipment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Proceeds from divestiture</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56"/>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Acquisitions of businesses, net of cash</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4180" w:type="dxa"/>
            <w:vAlign w:val="bottom"/>
            <w:gridSpan w:val="2"/>
          </w:tcPr>
          <w:p>
            <w:pPr>
              <w:ind w:left="640"/>
              <w:spacing w:after="0"/>
              <w:rPr>
                <w:sz w:val="20"/>
                <w:szCs w:val="20"/>
                <w:color w:val="auto"/>
              </w:rPr>
            </w:pPr>
            <w:r>
              <w:rPr>
                <w:rFonts w:ascii="Arial" w:cs="Arial" w:eastAsia="Arial" w:hAnsi="Arial"/>
                <w:sz w:val="18"/>
                <w:szCs w:val="18"/>
                <w:color w:val="auto"/>
              </w:rPr>
              <w:t>acquired</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56"/>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Proceeds from governmental agencies related</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4180" w:type="dxa"/>
            <w:vAlign w:val="bottom"/>
            <w:gridSpan w:val="2"/>
          </w:tcPr>
          <w:p>
            <w:pPr>
              <w:ind w:left="640"/>
              <w:spacing w:after="0"/>
              <w:rPr>
                <w:sz w:val="20"/>
                <w:szCs w:val="20"/>
                <w:color w:val="auto"/>
              </w:rPr>
            </w:pPr>
            <w:r>
              <w:rPr>
                <w:rFonts w:ascii="Arial" w:cs="Arial" w:eastAsia="Arial" w:hAnsi="Arial"/>
                <w:sz w:val="18"/>
                <w:szCs w:val="18"/>
                <w:color w:val="auto"/>
              </w:rPr>
              <w:t>to property and equipment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w w:val="94"/>
              </w:rPr>
              <w:t>Net cash (used in) provided by investing activities</w:t>
            </w:r>
          </w:p>
        </w:tc>
        <w:tc>
          <w:tcPr>
            <w:tcW w:w="44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84"/>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Proceeds from long-term borrowings</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Payments of long-term borrowings</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56"/>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Net change in funding under the Receivables</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4180" w:type="dxa"/>
            <w:vAlign w:val="bottom"/>
            <w:gridSpan w:val="2"/>
          </w:tcPr>
          <w:p>
            <w:pPr>
              <w:ind w:left="640"/>
              <w:spacing w:after="0"/>
              <w:rPr>
                <w:sz w:val="20"/>
                <w:szCs w:val="20"/>
                <w:color w:val="auto"/>
              </w:rPr>
            </w:pPr>
            <w:r>
              <w:rPr>
                <w:rFonts w:ascii="Arial" w:cs="Arial" w:eastAsia="Arial" w:hAnsi="Arial"/>
                <w:sz w:val="18"/>
                <w:szCs w:val="18"/>
                <w:color w:val="auto"/>
              </w:rPr>
              <w:t>Facility</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Payments of dividends</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Repurchase of common stock</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2"/>
          </w:tcPr>
          <w:p>
            <w:pPr>
              <w:ind w:left="420"/>
              <w:spacing w:after="0"/>
              <w:rPr>
                <w:sz w:val="20"/>
                <w:szCs w:val="20"/>
                <w:color w:val="auto"/>
              </w:rPr>
            </w:pPr>
            <w:r>
              <w:rPr>
                <w:rFonts w:ascii="Arial" w:cs="Arial" w:eastAsia="Arial" w:hAnsi="Arial"/>
                <w:sz w:val="18"/>
                <w:szCs w:val="18"/>
                <w:color w:val="auto"/>
              </w:rPr>
              <w:t>Change in intercompany, net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172,881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(328,363)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(43,680)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(203,662)</w:t>
            </w:r>
          </w:p>
        </w:tc>
      </w:tr>
      <w:tr>
        <w:trPr>
          <w:trHeight w:val="27"/>
        </w:trPr>
        <w:tc>
          <w:tcPr>
            <w:tcW w:w="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723"/>
        </w:trPr>
        <w:tc>
          <w:tcPr>
            <w:tcW w:w="860" w:type="dxa"/>
            <w:vAlign w:val="bottom"/>
          </w:tcPr>
          <w:p>
            <w:pPr>
              <w:jc w:val="right"/>
              <w:ind w:right="70"/>
              <w:spacing w:after="0"/>
              <w:rPr>
                <w:sz w:val="20"/>
                <w:szCs w:val="20"/>
                <w:color w:val="auto"/>
              </w:rPr>
            </w:pPr>
            <w:r>
              <w:rPr>
                <w:rFonts w:ascii="Arial" w:cs="Arial" w:eastAsia="Arial" w:hAnsi="Arial"/>
                <w:sz w:val="18"/>
                <w:szCs w:val="18"/>
                <w:color w:val="auto"/>
              </w:rPr>
              <w:t>(4,454)</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(89,443)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(20,503)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(114,400)</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954</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293,711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293,711</w:t>
            </w:r>
          </w:p>
        </w:tc>
      </w:tr>
      <w:tr>
        <w:trPr>
          <w:trHeight w:val="486"/>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(5,257)</w:t>
            </w:r>
          </w:p>
        </w:tc>
      </w:tr>
      <w:tr>
        <w:trPr>
          <w:trHeight w:val="486"/>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16,200</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862</w:t>
            </w:r>
          </w:p>
        </w:tc>
        <w:tc>
          <w:tcPr>
            <w:tcW w:w="3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2,943</w:t>
            </w:r>
          </w:p>
        </w:tc>
      </w:tr>
      <w:tr>
        <w:trPr>
          <w:trHeight w:val="27"/>
        </w:trPr>
        <w:tc>
          <w:tcPr>
            <w:tcW w:w="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ind w:right="70"/>
              <w:spacing w:after="0"/>
              <w:rPr>
                <w:sz w:val="20"/>
                <w:szCs w:val="20"/>
                <w:color w:val="auto"/>
              </w:rPr>
            </w:pPr>
            <w:r>
              <w:rPr>
                <w:rFonts w:ascii="Arial" w:cs="Arial" w:eastAsia="Arial" w:hAnsi="Arial"/>
                <w:sz w:val="18"/>
                <w:szCs w:val="18"/>
                <w:color w:val="auto"/>
              </w:rPr>
              <w:t>(3,542)</w:t>
            </w: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217,743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194,151</w:t>
            </w:r>
          </w:p>
        </w:tc>
      </w:tr>
      <w:tr>
        <w:trPr>
          <w:trHeight w:val="27"/>
        </w:trPr>
        <w:tc>
          <w:tcPr>
            <w:tcW w:w="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7"/>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72,723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72,723</w:t>
            </w:r>
          </w:p>
        </w:tc>
      </w:tr>
      <w:tr>
        <w:trPr>
          <w:trHeight w:val="270"/>
        </w:trPr>
        <w:tc>
          <w:tcPr>
            <w:tcW w:w="860" w:type="dxa"/>
            <w:vAlign w:val="bottom"/>
          </w:tcPr>
          <w:p>
            <w:pPr>
              <w:jc w:val="right"/>
              <w:ind w:right="70"/>
              <w:spacing w:after="0"/>
              <w:rPr>
                <w:sz w:val="20"/>
                <w:szCs w:val="20"/>
                <w:color w:val="auto"/>
              </w:rPr>
            </w:pPr>
            <w:r>
              <w:rPr>
                <w:rFonts w:ascii="Arial" w:cs="Arial" w:eastAsia="Arial" w:hAnsi="Arial"/>
                <w:sz w:val="18"/>
                <w:szCs w:val="18"/>
                <w:color w:val="auto"/>
                <w:w w:val="88"/>
              </w:rPr>
              <w:t>(278,339)</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(26,911)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(314,031)</w:t>
            </w:r>
          </w:p>
        </w:tc>
      </w:tr>
      <w:tr>
        <w:trPr>
          <w:trHeight w:val="486"/>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390,000</w:t>
            </w:r>
          </w:p>
        </w:tc>
      </w:tr>
      <w:tr>
        <w:trPr>
          <w:trHeight w:val="270"/>
        </w:trPr>
        <w:tc>
          <w:tcPr>
            <w:tcW w:w="860" w:type="dxa"/>
            <w:vAlign w:val="bottom"/>
          </w:tcPr>
          <w:p>
            <w:pPr>
              <w:jc w:val="right"/>
              <w:ind w:right="70"/>
              <w:spacing w:after="0"/>
              <w:rPr>
                <w:sz w:val="20"/>
                <w:szCs w:val="20"/>
                <w:color w:val="auto"/>
              </w:rPr>
            </w:pPr>
            <w:r>
              <w:rPr>
                <w:rFonts w:ascii="Arial" w:cs="Arial" w:eastAsia="Arial" w:hAnsi="Arial"/>
                <w:sz w:val="18"/>
                <w:szCs w:val="18"/>
                <w:color w:val="auto"/>
              </w:rPr>
              <w:t>(27,161)</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(27,161)</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1,077</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1,077</w:t>
            </w:r>
          </w:p>
        </w:tc>
      </w:tr>
      <w:tr>
        <w:trPr>
          <w:trHeight w:val="270"/>
        </w:trPr>
        <w:tc>
          <w:tcPr>
            <w:tcW w:w="86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0"/>
        </w:trPr>
        <w:tc>
          <w:tcPr>
            <w:tcW w:w="860" w:type="dxa"/>
            <w:vAlign w:val="bottom"/>
          </w:tcPr>
          <w:p>
            <w:pPr>
              <w:jc w:val="right"/>
              <w:ind w:right="70"/>
              <w:spacing w:after="0"/>
              <w:rPr>
                <w:sz w:val="20"/>
                <w:szCs w:val="20"/>
                <w:color w:val="auto"/>
              </w:rPr>
            </w:pPr>
            <w:r>
              <w:rPr>
                <w:rFonts w:ascii="Arial" w:cs="Arial" w:eastAsia="Arial" w:hAnsi="Arial"/>
                <w:sz w:val="18"/>
                <w:szCs w:val="18"/>
                <w:color w:val="auto"/>
              </w:rPr>
              <w:t>(23,447)</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(24,489)</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203,883</w:t>
            </w:r>
          </w:p>
        </w:tc>
        <w:tc>
          <w:tcPr>
            <w:tcW w:w="3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121,522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(329,905)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-3292475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-2812415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-2331720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-1491615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-1148715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-668020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-325120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-1851660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-3472815</wp:posOffset>
            </wp:positionV>
            <wp:extent cx="7200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060" w:space="280"/>
            <w:col w:w="6080"/>
          </w:cols>
          <w:pgMar w:left="240" w:top="179" w:right="2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(used in) provided by financing activities</w:t>
            </w:r>
          </w:p>
        </w:tc>
        <w:tc>
          <w:tcPr>
            <w:tcW w:w="440" w:type="dxa"/>
            <w:vAlign w:val="bottom"/>
            <w:tcBorders>
              <w:top w:val="single" w:sz="8" w:color="auto"/>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(173,987)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111,812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105,794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48,119</w:t>
            </w: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2"/>
              </w:rPr>
              <w:t>Effect of foreign exchange rates on cash and cash</w:t>
            </w: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equivalents</w:t>
            </w:r>
          </w:p>
        </w:tc>
        <w:tc>
          <w:tcPr>
            <w:tcW w:w="44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(3,752)</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(Decrease) increase in 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34,856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4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50,716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29,844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134,460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215,025</w:t>
            </w: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249,881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months ended December 27, 2019 and December 28, 2018 should be read in conjunction with our audited consolidated financial statements, and the notes to those statements for the fiscal year ended September 27, 2019 included in the Company's Annual Report on Form 10-K, filed with the Securities and Exchange Commission ("SEC") on November 26, 2019.</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7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During fiscal 2018, we acquired Avendra, LLC ("Avendra") and AmeriPride Services, Inc. ("AmeriPride") in separate transactions. Our earnings have been impacted and we expect to continue to be impacted for some period following the closings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have incurred $102 million of charges and expect to incur approximately $20 million to $25 million of additional charges over the next nine months.</w:t>
      </w:r>
    </w:p>
    <w:p>
      <w:pPr>
        <w:spacing w:after="0" w:line="9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fiscal 2019, Eric J. Foss, our former Chairman, President and Chief Executive Officer, stepped down and $12.1 million of charges related to his separation from us were recognized during the quarter ended September 27, 2019, of which $10.4 million were cash compensation related charges. As of December 27, 2019, we had $8.8 million of remaining unpaid obligations related to his separation, which are recorded in "Accrued expenses and other current liabilities" in the Condensed Consolidated Balance Sheets. These remaining unpaid obligations are expected to be paid through fiscal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6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November 9, 2018, we completed the sale of our wholly-owned Healthcare Technologies ("HCT") business for $293.7 million in cash. The transaction resulted in a pretax gain of $157.3 million (tax effected gain of $140.2 million) in the Condensed Consolidated Statements of Income for the three months ended December 28, 2018.</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4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w:t>
      </w:r>
    </w:p>
    <w:p>
      <w:pPr>
        <w:ind w:right="660"/>
        <w:spacing w:after="0" w:line="290" w:lineRule="auto"/>
        <w:rPr>
          <w:sz w:val="20"/>
          <w:szCs w:val="20"/>
          <w:color w:val="auto"/>
        </w:rPr>
      </w:pPr>
      <w:r>
        <w:rPr>
          <w:rFonts w:ascii="Arial" w:cs="Arial" w:eastAsia="Arial" w:hAnsi="Arial"/>
          <w:sz w:val="17"/>
          <w:szCs w:val="17"/>
          <w:color w:val="auto"/>
        </w:rPr>
        <w:t>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 ended October 2, 2020 is a fifty-three week period and the fiscal year ended September 27, 2019 is a fifty-two week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months ended December 27, 2019 and December 28, 2018 (dollars in millions).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4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27, 2019</w:t>
            </w:r>
          </w:p>
        </w:tc>
        <w:tc>
          <w:tcPr>
            <w:tcW w:w="240" w:type="dxa"/>
            <w:vAlign w:val="bottom"/>
          </w:tcPr>
          <w:p>
            <w:pPr>
              <w:spacing w:after="0"/>
              <w:rPr>
                <w:sz w:val="22"/>
                <w:szCs w:val="22"/>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28, 2018</w:t>
            </w:r>
          </w:p>
        </w:tc>
        <w:tc>
          <w:tcPr>
            <w:tcW w:w="360" w:type="dxa"/>
            <w:vAlign w:val="bottom"/>
          </w:tcPr>
          <w:p>
            <w:pPr>
              <w:spacing w:after="0"/>
              <w:rPr>
                <w:sz w:val="22"/>
                <w:szCs w:val="22"/>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7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4,253.6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4,265.3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820" w:type="dxa"/>
            <w:vAlign w:val="bottom"/>
          </w:tcPr>
          <w:p>
            <w:pPr>
              <w:ind w:left="46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4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3,999.3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3,891.9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27"/>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77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December 27, 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28, 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953.1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57"/>
        </w:trPr>
        <w:tc>
          <w:tcPr>
            <w:tcW w:w="4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4,253.6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4,265.3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27"/>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24"/>
                <w:szCs w:val="24"/>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by Segment</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December 27, 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28, 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281 %</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89" w:lineRule="exact"/>
        <w:rPr>
          <w:sz w:val="20"/>
          <w:szCs w:val="20"/>
          <w:color w:val="auto"/>
        </w:rPr>
      </w:pPr>
    </w:p>
    <w:p>
      <w:pPr>
        <w:ind w:right="140" w:firstLine="8"/>
        <w:spacing w:after="0" w:line="273" w:lineRule="auto"/>
        <w:tabs>
          <w:tab w:leader="none" w:pos="204"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62% and 63%, FSS International represented 22% and 22% and Uniform represented 16% and 15% for the three month periods ended December 27, 2019 and December 28, 2018,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Revenue was slightly lower during the three month period of fiscal 2020 compared to the prior year period. The slight decrease was attributable to:</w:t>
      </w:r>
    </w:p>
    <w:p>
      <w:pPr>
        <w:spacing w:after="0" w:line="15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-1%); and</w:t>
      </w:r>
    </w:p>
    <w:p>
      <w:pPr>
        <w:spacing w:after="0" w:line="14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the divestiture of HCT in the prior year (approximately -1%) and a decline in the Education sector in our FSS United States segment; which more than offset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our Sports, Leisure &amp; Corrections and Facilities &amp; Other sectors in our FSS United States segment (approximately 1%);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South America in our FSS International segment (approximately 1%).</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cost of services provided by segment and as a percent of revenue for the three month periods ended December 27, 2019 and December 28,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December 27, 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December 28, 2018</w:t>
            </w: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 of services provided</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of Revenue</w:t>
            </w:r>
          </w:p>
        </w:tc>
      </w:tr>
      <w:tr>
        <w:trPr>
          <w:trHeight w:val="250"/>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2,331.6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2,332.2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FSS International</w:t>
            </w:r>
          </w:p>
        </w:tc>
        <w:tc>
          <w:tcPr>
            <w:tcW w:w="3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880.5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920.4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556.0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57"/>
        </w:trPr>
        <w:tc>
          <w:tcPr>
            <w:tcW w:w="5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3,768.1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3,794.4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for the three month periods ended December 27, 2019 and December 28,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107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 of services provided components</w:t>
            </w:r>
          </w:p>
        </w:tc>
        <w:tc>
          <w:tcPr>
            <w:tcW w:w="1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27, 2019</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December 28, 2018</w:t>
            </w: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support service costs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Personnel costs</w:t>
            </w: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direct costs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income decreased by approximately $119.1 million during the three month period of fiscal 2020 compared to the prior year period. The decrease was attributable to:</w:t>
      </w:r>
    </w:p>
    <w:p>
      <w:pPr>
        <w:spacing w:after="0" w:line="8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prior year gain from the divestiture of the HCT business (approximately $157.3 million); and</w:t>
      </w:r>
    </w:p>
    <w:p>
      <w:pPr>
        <w:sectPr>
          <w:pgSz w:w="11900" w:h="16838" w:orient="portrait"/>
          <w:cols w:equalWidth="0" w:num="1">
            <w:col w:w="11420"/>
          </w:cols>
          <w:pgMar w:left="240" w:top="17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79"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profit decline in our FSS United States segment, reflecting our investment in actions to accelerate growth, the impact of negative net new business within the Education sector, an increase in medical insurance claims and lower income from possessory interest compared to the prior year;</w:t>
      </w:r>
    </w:p>
    <w:p>
      <w:pPr>
        <w:spacing w:after="0" w:line="4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 costs and consulting costs related to sales growth initiatives (approximately $8.7 million); which more than offset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profit growth from revenue increases in our Uniform segment;</w:t>
      </w:r>
    </w:p>
    <w:p>
      <w:pPr>
        <w:spacing w:after="0" w:line="144" w:lineRule="exact"/>
        <w:rPr>
          <w:rFonts w:ascii="Arial" w:cs="Arial" w:eastAsia="Arial" w:hAnsi="Arial"/>
          <w:sz w:val="18"/>
          <w:szCs w:val="18"/>
          <w:color w:val="auto"/>
        </w:rPr>
      </w:pPr>
    </w:p>
    <w:p>
      <w:pPr>
        <w:ind w:left="660" w:right="9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profit growth in our FSS International segment, mainly from strong unit level cost containment and timing of annual employee incentive compensation;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severance and consulting costs related to streamlining initiatives (approximately $26.2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from the change in fair value of certain gasoline and diesel agreements (approximately $12.2 million).</w:t>
      </w:r>
    </w:p>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and Other Financing Costs, net, decreased 4% during the three month period of fiscal 2020 compared to the prior year period. The decrease was primarily due to lower outstanding term loan borrowings resulting from optional prepayments made during fiscal 2019.</w:t>
      </w:r>
    </w:p>
    <w:p>
      <w:pPr>
        <w:spacing w:after="0" w:line="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effective income tax rate for the three month period of fiscal 2020 was 16.5% compared to 13.7% in the prior year period. The lower effective tax rate in fiscal 2019 was driven by a tax benefit of approximately $11.3 million as a result of U.S tax reform and a lower effective tax rate on the gain on sale of HCT, which resulted in a $17 million provision for income taxes (see Note 2 to the condensed consolidated financial statements). The effective tax rate for the three months ended December 27, 2019 also includes a tax benefit of approximately $18.6 million as a result of an excess tax benefit recognized in relation to equity awards exercised during the first quarter of fiscal 2020, including by the former Chairman, President and Chief Executive Officer.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r>
      <w:tr>
        <w:trPr>
          <w:trHeight w:val="264"/>
        </w:trPr>
        <w:tc>
          <w:tcPr>
            <w:tcW w:w="68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27, 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28, 2018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&amp; Industry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1,001.1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1,016.3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Sports, Leisure &amp; Corrections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594.3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&amp; Other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68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2,660.3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FSS United States segment revenue decreased by approximately 1% during the three month period of fiscal 2020 compared to the prior year period. The decrease was attributable to:</w:t>
      </w:r>
    </w:p>
    <w:p>
      <w:pPr>
        <w:spacing w:after="0" w:line="89" w:lineRule="exact"/>
        <w:rPr>
          <w:sz w:val="20"/>
          <w:szCs w:val="20"/>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Healthcare sector revenue resulting from the divestiture of HCT (approximately -17% of Healthcare sector), partially offset by base business growth;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Education sector revenue resulting from negative net new business; which more than offset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Facilities &amp; Other, Sports, Leisure &amp; Corrections and Business &amp; Industry sector revenue resulting from base business growth.</w:t>
      </w:r>
    </w:p>
    <w:p>
      <w:pPr>
        <w:spacing w:after="0" w:line="1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income decreased by approximately $177.8 million during the three month period of fiscal 2020 compared to the prior year period. The decrease was attributable to:</w:t>
      </w:r>
    </w:p>
    <w:p>
      <w:pPr>
        <w:spacing w:after="0" w:line="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prior year gain from the divestiture of the HCT business (approximately $157.3 million);</w:t>
      </w:r>
    </w:p>
    <w:p>
      <w:pPr>
        <w:spacing w:after="0" w:line="14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the divestiture of HCT in the prior year (approximately $3.8 million) and profit decline in the Education and Facilities &amp; Other sectors; and</w:t>
      </w:r>
    </w:p>
    <w:p>
      <w:pPr>
        <w:sectPr>
          <w:pgSz w:w="11900" w:h="16838" w:orient="portrait"/>
          <w:cols w:equalWidth="0" w:num="1">
            <w:col w:w="11420"/>
          </w:cols>
          <w:pgMar w:left="240" w:top="179"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79"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personnel costs and consulting costs related to sales growth initiatives (approximately $5.0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medical insurance claims and lower income from possessory interest compared to the prior year; which more than offset</w:t>
      </w:r>
    </w:p>
    <w:p>
      <w:pPr>
        <w:spacing w:after="0" w:line="155"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prior year duplicate rent charges to build out and ready our new headquarters while occupying our previous headquarters, impairment costs while exiting our previous headquarters and moving costs associated with the relocation to the new headquarters (approximately $5.0 million); and</w:t>
      </w:r>
    </w:p>
    <w:p>
      <w:pPr>
        <w:spacing w:after="0" w:line="4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severance charges related to streamlining initiatives (approximately $3.5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FSS International segment revenue decreased by approximately 1% during the three month period of fiscal 2020 compared to the prior year period. The decrease was attributable to:</w:t>
      </w:r>
    </w:p>
    <w:p>
      <w:pPr>
        <w:spacing w:after="0" w:line="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-4%);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revenue in Northern Europe related to strategic exit of non-core custodial accounts;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growth in South America, China and Spain.</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income increased by approximately $32.2 million during the three month period of fiscal 2020 compared to the prior year period. The increase was attributable to:</w:t>
      </w:r>
    </w:p>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profit growth from strong unit level cost containment and timing of annual employee incentive compensation;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severance costs related to streamlining initiatives (approximately $17.9 million);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$1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Uniform segment revenue increased by approximately 3% during the three month period of fiscal 2020 compared to the prior year period. The increase was primarily from new business and improved pricing.</w:t>
      </w:r>
    </w:p>
    <w:p>
      <w:pPr>
        <w:spacing w:after="0" w:line="8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Operating income increased by approximately $0.6 million during the three month period of fiscal 2020 compared to the prior year period from revenue increase and synergies from the AmeriPride acquisition, which more than offset personnel costs related to sales growth initiatives (approximately $3.7 million) and higher merger and integration charges from the AmeriPride acquisition (approximately $0.9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Corporate expenses, those administrative expenses not allocated to the business segments, decreased by approximately $25.9 million during the three month period of fiscal 2020 compared to the prior year period. The decrease was attributable to:</w:t>
      </w:r>
    </w:p>
    <w:p>
      <w:pPr>
        <w:spacing w:after="0" w:line="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from the change in fair value of certain gasoline and diesel agreements (approximately $12.2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year banker fees related to the divestiture of HCT (approximately $6.1 million);</w:t>
      </w:r>
    </w:p>
    <w:p>
      <w:pPr>
        <w:spacing w:after="0" w:line="144"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share-based compensation expense primarily related to forfeitures and the fourth quarter fiscal 2019 decrease in the expected attainment percentage related to the fiscal 2018 PSU grants (approximately $4.4 million);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year consulting costs relating to streamlining initiatives (approximately $4.2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December 27, 2019, we had $264.6 million of cash and cash equivalents and approximately $874.3 million of availability under our senior secured revolving credit facility. A significant portion of our cash and cash equivalents is held in mature, liquid geographies where we have operations. As of December 27, 2019, there was approximately $923.6 million of outstanding foreign currency borrowings.</w:t>
      </w:r>
    </w:p>
    <w:p>
      <w:pPr>
        <w:spacing w:after="0" w:line="10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believe that our cash and cash equivalents and the unused portion of our committed credit availability under the senior secured revolving credit facility will be adequate to meet anticipated cash requirements to fund working capital, capital spending, debt service obligations, refinancings, dividends and other cash needs. As part of our ongoing liquidity assessments, we routinely monitor our cash flow (including the mix of domestic and international inflows and outflows) and the condition of the capital markets in order to be prepared to respond to changing conditions.</w:t>
      </w:r>
    </w:p>
    <w:p>
      <w:pPr>
        <w:spacing w:after="0" w:line="6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February 5, 2019, we announced as a result of tax savings from U.S. tax reform that we would invest $90 million in our workforce through targeted wage adjustments, retirement contributions and special recognition awards, as well as employee training programs and scholarships. We funded a majority of these investments during fiscal 2019. Through December 27,</w:t>
      </w:r>
    </w:p>
    <w:p>
      <w:pPr>
        <w:sectPr>
          <w:pgSz w:w="11900" w:h="16838" w:orient="portrait"/>
          <w:cols w:equalWidth="0" w:num="1">
            <w:col w:w="11380"/>
          </w:cols>
          <w:pgMar w:left="240" w:top="179" w:right="279" w:bottom="1440" w:gutter="0" w:footer="0" w:header="0"/>
        </w:sect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179" w:right="27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2019, we have invested approximately $84 million in special recognition awards, employee training programs, retirement contributions and educational assistance. We expect to spend approximately $6 million during fiscal 2020 related to the tax reform funded investment in our workforce.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2019</w:t>
            </w:r>
          </w:p>
        </w:tc>
        <w:tc>
          <w:tcPr>
            <w:tcW w:w="200" w:type="dxa"/>
            <w:vAlign w:val="bottom"/>
          </w:tcPr>
          <w:p>
            <w:pPr>
              <w:spacing w:after="0"/>
              <w:rPr>
                <w:sz w:val="22"/>
                <w:szCs w:val="22"/>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28,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194.2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200"/>
        <w:spacing w:after="0" w:line="391"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Used in Operating Activities</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three month period of fiscal 2020, as discussed in "Results of Operations" above, net income decreased and non-cash charges increased compared to the three month period of fiscal 2019, which was impacted by the prior year gain from the divestiture of the HCT business of approximately $140.2 million. The increase in cash flows used in operating activities was primarily due to the unfavorable change in operating assets and liabilities ($208.3 million). The change in operating assets and liabilities compared to the prior year period was primarily due to the following:</w:t>
      </w:r>
    </w:p>
    <w:p>
      <w:pPr>
        <w:spacing w:after="0" w:line="90" w:lineRule="exact"/>
        <w:rPr>
          <w:sz w:val="20"/>
          <w:szCs w:val="20"/>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Accrued expenses were a greater use of cash primarily due to higher employer retirement matching contributions and the timing of payments related to the annual bonus, deferred income, insurance and interest;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Receivables were a greater use of cash due to timing of collections;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Accounts payable were a greater use of cash due to timing of disbursements;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Inventories were a source of cash in the three month period of fiscal 2020 compared to a use of cash in the three month period of fiscal 2019 due to less purchases in the Uniform segment.</w:t>
      </w:r>
    </w:p>
    <w:p>
      <w:pPr>
        <w:spacing w:after="0" w:line="6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During the three month periods of fiscal 2020 and fiscal 2019, we received income of approximately $12.5 million and $14.6 million, respectively, related to favorable loss experience in older insurance years under our general liability, automobile liability and workers' compensation programs. The "Other operating activities" caption in both periods reflects adjustments to net income related to non-operating gains and losses.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Investing Activities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decrease in net cash flows (used in) provided by investing activities during the three month period of fiscal 2020 compared to the three month period of fiscal 2019 relates primarily to the proceeds from the sale of Healthcare Technologies in the first quarter of fiscal 2019 of $293.7 million and lower levels of capital expenditures. The "Proceeds from governmental agencies related to property and equipment" caption includes $15.3 million and $16.2 million of proceeds relating to the recovery of our investment (possessory interest) at one of the National Park Service sites within our Sports, Leisure &amp; Corrections sector during each of the three month periods of fiscal 2020 and 2019,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 period of fiscal 2020, cash provided by financing activities was impacted by the following:</w:t>
      </w:r>
    </w:p>
    <w:p>
      <w:pPr>
        <w:spacing w:after="0" w:line="1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($450.0 million); and</w:t>
      </w:r>
    </w:p>
    <w:p>
      <w:pPr>
        <w:spacing w:after="0" w:line="144" w:lineRule="exact"/>
        <w:rPr>
          <w:rFonts w:ascii="Arial" w:cs="Arial" w:eastAsia="Arial" w:hAnsi="Arial"/>
          <w:sz w:val="18"/>
          <w:szCs w:val="18"/>
          <w:color w:val="auto"/>
        </w:rPr>
      </w:pPr>
    </w:p>
    <w:p>
      <w:pPr>
        <w:ind w:right="2460" w:firstLine="332"/>
        <w:spacing w:after="0" w:line="458" w:lineRule="auto"/>
        <w:tabs>
          <w:tab w:leader="none" w:pos="64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in proceeds from issuance of common stock as a result of higher stock option exercises ($26.1 million). During the three month period of fiscal 2019, cash provided by financing activities was impacted by the following:</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($390.0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repayment of borrowings on term loans and the revolving credit facility ($280.0 million, which includes $200.0 million of optional prepayments).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fiscal 2017, the Board of Directors authorized a share repurchase program providing for purchases of up to $250.0 million of Aramark common stock, which expired February 1, 2019. During the three month period of fiscal 2019, we completed a repurchase of 1.6 million shares of our common stock for $50.0 million under this program.</w:t>
      </w:r>
    </w:p>
    <w:p>
      <w:pPr>
        <w:spacing w:after="0" w:line="1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the three month periods of fiscal 2020 and fiscal 2019, primarily related to taxes paid by us when we withhold shares upon an employee's exercise or vesting of equity awards to cover income taxes.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4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December 27, 2019, we were in compliance with these covenants.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10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Aramark Services, Inc.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10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14"/>
              <w:spacing w:after="0"/>
              <w:rPr>
                <w:sz w:val="20"/>
                <w:szCs w:val="20"/>
                <w:color w:val="auto"/>
              </w:rPr>
            </w:pPr>
            <w:r>
              <w:rPr>
                <w:rFonts w:ascii="Arial" w:cs="Arial" w:eastAsia="Arial" w:hAnsi="Arial"/>
                <w:sz w:val="13"/>
                <w:szCs w:val="13"/>
                <w:b w:val="1"/>
                <w:bCs w:val="1"/>
                <w:color w:val="auto"/>
                <w:w w:val="89"/>
              </w:rPr>
              <w:t>Twelve Months Ended</w:t>
            </w:r>
          </w:p>
        </w:tc>
      </w:tr>
      <w:tr>
        <w:trPr>
          <w:trHeight w:val="28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w w:val="97"/>
              </w:rPr>
              <w:t>December 27, 2019</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ASI stockholder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Interest and other financing costs, net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331.6</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589.8</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Unusual or non-recurring (gains) and losses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 forma EBITDA for equity method investees</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r>
      <w:tr>
        <w:trPr>
          <w:trHeight w:val="262"/>
        </w:trPr>
        <w:tc>
          <w:tcPr>
            <w:tcW w:w="9820" w:type="dxa"/>
            <w:vAlign w:val="bottom"/>
          </w:tcPr>
          <w:p>
            <w:pPr>
              <w:ind w:left="4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18"/>
                <w:szCs w:val="18"/>
                <w:color w:val="auto"/>
                <w:vertAlign w:val="superscript"/>
              </w:rPr>
              <w:t>(3)</w:t>
            </w:r>
          </w:p>
        </w:tc>
        <w:tc>
          <w:tcPr>
            <w:tcW w:w="160" w:type="dxa"/>
            <w:vAlign w:val="bottom"/>
          </w:tcPr>
          <w:p>
            <w:pPr>
              <w:spacing w:after="0"/>
              <w:rPr>
                <w:sz w:val="22"/>
                <w:szCs w:val="22"/>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19.1</w:t>
            </w:r>
          </w:p>
        </w:tc>
      </w:tr>
      <w:tr>
        <w:trPr>
          <w:trHeight w:val="278"/>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(4)</w:t>
            </w: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208.5</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Covenant 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1,648.4</w:t>
            </w:r>
          </w:p>
        </w:tc>
      </w:tr>
      <w:tr>
        <w:trPr>
          <w:trHeight w:val="27"/>
        </w:trPr>
        <w:tc>
          <w:tcPr>
            <w:tcW w:w="9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00" w:right="10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share-based compensation expense resulting from the application of accounting for stock options, restricted stock units, performance stock units, and deferred stock unit awards (see Note 10 to the condensed consolidated financial statements).</w:t>
      </w:r>
    </w:p>
    <w:p>
      <w:pPr>
        <w:spacing w:after="0" w:line="89" w:lineRule="exact"/>
        <w:rPr>
          <w:rFonts w:ascii="Arial" w:cs="Arial" w:eastAsia="Arial" w:hAnsi="Arial"/>
          <w:sz w:val="18"/>
          <w:szCs w:val="18"/>
          <w:color w:val="auto"/>
        </w:rPr>
      </w:pPr>
    </w:p>
    <w:p>
      <w:pPr>
        <w:ind w:left="500" w:right="360" w:hanging="49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made during the period.</w:t>
      </w:r>
    </w:p>
    <w:p>
      <w:pPr>
        <w:spacing w:after="0" w:line="144" w:lineRule="exact"/>
        <w:rPr>
          <w:rFonts w:ascii="Arial" w:cs="Arial" w:eastAsia="Arial" w:hAnsi="Arial"/>
          <w:sz w:val="18"/>
          <w:szCs w:val="18"/>
          <w:color w:val="auto"/>
        </w:rPr>
      </w:pPr>
    </w:p>
    <w:p>
      <w:pPr>
        <w:ind w:left="500" w:hanging="492"/>
        <w:spacing w:after="0" w:line="290"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for the twelve months ended December 27, 2019 includes compensation expense for special recognition awards, employee training programs and retirement contributions funded by benefits from U.S. tax reform ($76.3 million), expenses related to merger and integration related charges ($37.5 million), charges related to certain legal settlements ($27.9 million), adjustments to remove the impact attributable to the adoption of certain new accounting standards in accordance with the Credit Agreement and indentures ($24.5 million), non cash impairment charges ($14.8 million), cash compensation charges associated with the retirement of the Company's former chief executive officer ($10.4 million), closing costs mainly related to customer contracts ($8.5 million), advisory fees related to shareholder matters ($7.7 million), the impact of hyperinflation in Argentina ($4.9 million), settlement charges related to exiting a joint venture arrangement ($4.5 million), organizational streamlining initiatives ($3.3 million reversal), the impact of the change in fair value related to certain gasoline and diesel agreements ($7.5 million gain) and other miscellaneous expenses.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requirements and actual ratios for the twelve months ended December 27, 2019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Covenant</w:t>
            </w: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Actual</w:t>
            </w: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Ratios</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Consolidated Secured Debt Ratio</w:t>
            </w:r>
            <w:r>
              <w:rPr>
                <w:rFonts w:ascii="Arial" w:cs="Arial" w:eastAsia="Arial" w:hAnsi="Arial"/>
                <w:sz w:val="25"/>
                <w:szCs w:val="25"/>
                <w:color w:val="auto"/>
                <w:vertAlign w:val="superscript"/>
              </w:rPr>
              <w:t>(1)</w:t>
            </w:r>
          </w:p>
        </w:tc>
        <w:tc>
          <w:tcPr>
            <w:tcW w:w="18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5.125x</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341"/>
        </w:trPr>
        <w:tc>
          <w:tcPr>
            <w:tcW w:w="7900" w:type="dxa"/>
            <w:vAlign w:val="bottom"/>
          </w:tcPr>
          <w:p>
            <w:pPr>
              <w:ind w:left="4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5"/>
                <w:szCs w:val="25"/>
                <w:color w:val="auto"/>
                <w:vertAlign w:val="superscript"/>
              </w:rPr>
              <w:t>(2)</w:t>
            </w:r>
          </w:p>
        </w:tc>
        <w:tc>
          <w:tcPr>
            <w:tcW w:w="1820" w:type="dxa"/>
            <w:vAlign w:val="bottom"/>
            <w:gridSpan w:val="2"/>
          </w:tcPr>
          <w:p>
            <w:pPr>
              <w:ind w:left="1180"/>
              <w:spacing w:after="0"/>
              <w:rPr>
                <w:sz w:val="20"/>
                <w:szCs w:val="20"/>
                <w:color w:val="auto"/>
              </w:rPr>
            </w:pPr>
            <w:r>
              <w:rPr>
                <w:rFonts w:ascii="Arial" w:cs="Arial" w:eastAsia="Arial" w:hAnsi="Arial"/>
                <w:sz w:val="18"/>
                <w:szCs w:val="18"/>
                <w:color w:val="auto"/>
              </w:rPr>
              <w:t>2.000x</w:t>
            </w:r>
          </w:p>
        </w:tc>
        <w:tc>
          <w:tcPr>
            <w:tcW w:w="1700" w:type="dxa"/>
            <w:vAlign w:val="bottom"/>
          </w:tcPr>
          <w:p>
            <w:pPr>
              <w:jc w:val="right"/>
              <w:spacing w:after="0"/>
              <w:rPr>
                <w:sz w:val="20"/>
                <w:szCs w:val="20"/>
                <w:color w:val="auto"/>
              </w:rPr>
            </w:pPr>
            <w:r>
              <w:rPr>
                <w:rFonts w:ascii="Arial" w:cs="Arial" w:eastAsia="Arial" w:hAnsi="Arial"/>
                <w:sz w:val="18"/>
                <w:szCs w:val="18"/>
                <w:color w:val="auto"/>
              </w:rPr>
              <w:t>4.94</w:t>
            </w:r>
          </w:p>
        </w:tc>
      </w:tr>
    </w:tbl>
    <w:p>
      <w:pPr>
        <w:spacing w:after="0" w:line="49" w:lineRule="exact"/>
        <w:rPr>
          <w:sz w:val="20"/>
          <w:szCs w:val="20"/>
          <w:color w:val="auto"/>
        </w:rPr>
      </w:pPr>
    </w:p>
    <w:p>
      <w:pPr>
        <w:ind w:left="500" w:right="60" w:hanging="492"/>
        <w:spacing w:after="0" w:line="290"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on the condensed consolidated balance sheet that is free and clear of any lien. Non-compliance with the maximum Consolidated Secured Debt Ratio could result in the requirement to immediately repay all amounts outstanding under our Credit Agreement, which, if ASI's lenders under our Credit Agreement (other than the lenders in respect of ASI's U.S. Term Loan B, which lenders do not benefit from the maximum Consolidated Secured Debt Ratio covenant) failed to waive any such default, would also constitute a default under the indentures governing our senior notes.</w:t>
      </w:r>
    </w:p>
    <w:p>
      <w:pPr>
        <w:spacing w:after="0" w:line="85" w:lineRule="exact"/>
        <w:rPr>
          <w:rFonts w:ascii="Arial" w:cs="Arial" w:eastAsia="Arial" w:hAnsi="Arial"/>
          <w:sz w:val="16"/>
          <w:szCs w:val="16"/>
          <w:color w:val="auto"/>
        </w:rPr>
      </w:pPr>
    </w:p>
    <w:p>
      <w:pPr>
        <w:ind w:left="500" w:right="20" w:hanging="492"/>
        <w:spacing w:after="0" w:line="270"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our Credit Agreement and pursuant to specified exceptions, and make certain restricted payments, other than pursuant to certain exceptions.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 cash or nonrecurring interest expense and our estimated share of interest expense from one equity method investee. The indentures governing our senior notes include a similar requirement which is referred to as a Fixed Charge Coverage Ratio.</w:t>
      </w:r>
    </w:p>
    <w:p>
      <w:pPr>
        <w:spacing w:after="0" w:line="7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activities do not include the use of unconsolidated special purpose entities and there are no significant business transactions that have not been reflected in the accompanying financial statements. Beginning in fiscal 2019, we began insuring portions of our general liability, automobile liability and workers’ compensation risks through a wholly owned captive insurance subsidiary (the "Captive") to enhance our risk financing strategies. The Captive is subject to the regulations within its domicile, including regulations relating to levels of liquidity and solvency as such concepts are defined by the regulator. The Captive was in compliance with these regulations as of December 27, 2019. These regulations may have the effect of limiting our ability to access certain cash and cash equivalents held by the Captive for uses other than for the payment of our general liability, automobile liability and workers’ compensation claims and related Captive costs. As of December 27, 2019, cash and cash equivalents at the Captive was $59.9 million. We are self-insured for a portion of the risk retained under our general liability, automobile liability and workers’ compensation insurance arrangements. Self-insurance reserves are recorded based on actuarial analyses.</w:t>
      </w:r>
    </w:p>
    <w:p>
      <w:pPr>
        <w:spacing w:after="0" w:line="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second quarter of fiscal 2020, we entered into a new U.S. dollar denominated term loan due January 15, 2027 (the "U.S. Term Loan B due 2027"), in an aggregate principal amount of $900.0 million. The U.S. Term Loan B due 2027 was borrowed with an original issue discount of 0.125%. The net proceeds from the U.S. Term Loan B due 2027 were used to</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redeem the aggregate $900.0 million principal amount outstanding on the 5.125% Senior Notes due 2024 (the "2024 Notes") at a redemption price of 102.563% of the aggregate principal amount and to pay accrued interest, certain fees and related expenses, including a $23.1 million call premium on the 2024 Notes and approximately $6.5 million of charges related to banker fees, rating agency fees and legal fees (see Note 5 to the condensed consolidated financial statements).</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29, 2020, our stockholders approved the Second Amended and Restated 2013 Stock Incentive Plan, which replaces our 2013 Incentive Plan. The Second Amended and Restated 2013 Stock Incentive Plan provides for up to 7.5 million of new shares authorized for issuance to participants, in addition to the shares that remained available for issuance under the 2013 Incentive Plan as of January 29, 2020 that are not subject to outstanding awards under the 2013 Incentive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significant accounting policies are described in the notes to the consolidated financial statements included in our Form 10-K filed with the SEC on November 26, 2019. As described in such notes, we recognize revenue in the period in which the performance obligation is satisfied.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26, 2019.</w:t>
      </w:r>
    </w:p>
    <w:p>
      <w:pPr>
        <w:spacing w:after="0" w:line="10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4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w:t>
      </w:r>
    </w:p>
    <w:p>
      <w:pPr>
        <w:ind w:right="20"/>
        <w:spacing w:after="0" w:line="254" w:lineRule="auto"/>
        <w:rPr>
          <w:sz w:val="20"/>
          <w:szCs w:val="20"/>
          <w:color w:val="auto"/>
        </w:rPr>
      </w:pPr>
      <w:r>
        <w:rPr>
          <w:rFonts w:ascii="Arial" w:cs="Arial" w:eastAsia="Arial" w:hAnsi="Arial"/>
          <w:sz w:val="18"/>
          <w:szCs w:val="18"/>
          <w:color w:val="auto"/>
        </w:rPr>
        <w:t>of December 27, 2019 has not materially changed from September 27, 2019 (see Item 7A "Quantitative and Qualitative Disclosure About Market Risk" in our Form 10-K for the fiscal year ended September 27, 2019 filed with the SEC on November 26, 2019). See Note 6 to the condensed consolidated financial statements for a discussion of our derivative instruments and Note 14 for the disclosure of the fair value and related carrying value of our debt obligations as of December 27, 2019.</w:t>
      </w:r>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that term is defined in Rules 13a-15(e) and 15d-15(e) under the Securities Exchange Act of 1934, as amended) as of the end of the period covered by this report. Based on that evaluation, management, with the participation of the Chief Executive Officer and Chief Financial Officer, concluded that the Company's disclosure controls and procedures, as of the end of the period covered by this report, are functioning effectively to provide reasonable assurance that the information required to be disclosed by the Company in reports filed under the Securities Exchange Act of 1934 is recorded, processed, summarized and reported within the time periods specified in the SEC's rules and forms and is accumulated and communicated to the Company's management, including its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During the first quarter of fiscal 2020, the Company implemented a lease accounting system and related controls to facilitate adoption of the new lease accounting standard effective September 28, 2019. There were no other changes in the Company's internal control over financial reporting during the Company's first quarter of fiscal 2020 that has materially affected, or is reasonably likely to materially affect, the Company's internal control over financial reporting.</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7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December 27, 2019.</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of the Form 10-K for the fiscal year ended September 27, 2019 and filed with the SEC on November 26, 2019.</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Company's share repurchase activity during the first fiscal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600"/>
              <w:spacing w:after="0"/>
              <w:rPr>
                <w:sz w:val="20"/>
                <w:szCs w:val="20"/>
                <w:color w:val="auto"/>
              </w:rPr>
            </w:pPr>
            <w:r>
              <w:rPr>
                <w:rFonts w:ascii="Arial" w:cs="Arial" w:eastAsia="Arial" w:hAnsi="Arial"/>
                <w:sz w:val="16"/>
                <w:szCs w:val="16"/>
                <w:b w:val="1"/>
                <w:bCs w:val="1"/>
                <w:color w:val="auto"/>
              </w:rPr>
              <w:t>(a)</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(b)</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w:t>
            </w:r>
          </w:p>
        </w:tc>
        <w:tc>
          <w:tcPr>
            <w:tcW w:w="120" w:type="dxa"/>
            <w:vAlign w:val="bottom"/>
          </w:tcPr>
          <w:p>
            <w:pPr>
              <w:spacing w:after="0"/>
              <w:rPr>
                <w:sz w:val="18"/>
                <w:szCs w:val="18"/>
                <w:color w:val="auto"/>
              </w:rPr>
            </w:pPr>
          </w:p>
        </w:tc>
        <w:tc>
          <w:tcPr>
            <w:tcW w:w="226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(d)</w:t>
            </w:r>
          </w:p>
        </w:tc>
      </w:tr>
      <w:tr>
        <w:trPr>
          <w:trHeight w:val="249"/>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21"/>
                <w:szCs w:val="21"/>
                <w:color w:val="auto"/>
              </w:rPr>
            </w:pPr>
          </w:p>
        </w:tc>
        <w:tc>
          <w:tcPr>
            <w:tcW w:w="22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 Price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22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7"/>
              </w:rPr>
              <w:t>Shares (or Units)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Paid per Share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Announced Plans or</w:t>
            </w:r>
          </w:p>
        </w:tc>
        <w:tc>
          <w:tcPr>
            <w:tcW w:w="2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 or</w:t>
            </w:r>
          </w:p>
        </w:tc>
      </w:tr>
      <w:tr>
        <w:trPr>
          <w:trHeight w:val="243"/>
        </w:trPr>
        <w:tc>
          <w:tcPr>
            <w:tcW w:w="400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6"/>
              </w:rPr>
              <w:t>(or Unit)</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Programs</w:t>
            </w:r>
            <w:r>
              <w:rPr>
                <w:rFonts w:ascii="Arial" w:cs="Arial" w:eastAsia="Arial" w:hAnsi="Arial"/>
                <w:sz w:val="21"/>
                <w:szCs w:val="21"/>
                <w:b w:val="1"/>
                <w:bCs w:val="1"/>
                <w:color w:val="auto"/>
                <w:w w:val="89"/>
                <w:vertAlign w:val="superscript"/>
              </w:rPr>
              <w:t>(1)</w:t>
            </w:r>
          </w:p>
        </w:tc>
      </w:tr>
      <w:tr>
        <w:trPr>
          <w:trHeight w:val="21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Month 1</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28, 2019 - October 25, 2019</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204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200,000,000</w:t>
            </w:r>
          </w:p>
        </w:tc>
      </w:tr>
      <w:tr>
        <w:trPr>
          <w:trHeight w:val="220"/>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Month 2</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9"/>
        </w:trPr>
        <w:tc>
          <w:tcPr>
            <w:tcW w:w="4120" w:type="dxa"/>
            <w:vAlign w:val="bottom"/>
            <w:gridSpan w:val="2"/>
          </w:tcPr>
          <w:p>
            <w:pPr>
              <w:ind w:left="40"/>
              <w:spacing w:after="0" w:line="239" w:lineRule="exact"/>
              <w:rPr>
                <w:sz w:val="20"/>
                <w:szCs w:val="20"/>
                <w:color w:val="auto"/>
              </w:rPr>
            </w:pPr>
            <w:r>
              <w:rPr>
                <w:rFonts w:ascii="Arial" w:cs="Arial" w:eastAsia="Arial" w:hAnsi="Arial"/>
                <w:sz w:val="16"/>
                <w:szCs w:val="16"/>
                <w:color w:val="auto"/>
              </w:rPr>
              <w:t>October 26, 2019 - November 22, 2019</w:t>
            </w:r>
            <w:r>
              <w:rPr>
                <w:rFonts w:ascii="Arial" w:cs="Arial" w:eastAsia="Arial" w:hAnsi="Arial"/>
                <w:sz w:val="21"/>
                <w:szCs w:val="21"/>
                <w:color w:val="auto"/>
                <w:vertAlign w:val="superscript"/>
              </w:rPr>
              <w:t>(2)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132,304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43.24</w:t>
            </w:r>
          </w:p>
        </w:tc>
        <w:tc>
          <w:tcPr>
            <w:tcW w:w="100" w:type="dxa"/>
            <w:vAlign w:val="bottom"/>
          </w:tcPr>
          <w:p>
            <w:pPr>
              <w:spacing w:after="0"/>
              <w:rPr>
                <w:sz w:val="20"/>
                <w:szCs w:val="20"/>
                <w:color w:val="auto"/>
              </w:rPr>
            </w:pPr>
          </w:p>
        </w:tc>
        <w:tc>
          <w:tcPr>
            <w:tcW w:w="2040" w:type="dxa"/>
            <w:vAlign w:val="bottom"/>
            <w:gridSpan w:val="2"/>
          </w:tcPr>
          <w:p>
            <w:pPr>
              <w:ind w:left="162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22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Month 3</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23, 2019 - December 27, 2019</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204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132,304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43.24</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200,000,000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August 6, 2019, we announced a share repurchase program allowing us to repurchase up to $200.0 million of our common stock through July 2022.</w:t>
      </w:r>
    </w:p>
    <w:p>
      <w:pPr>
        <w:spacing w:after="0" w:line="140" w:lineRule="exact"/>
        <w:rPr>
          <w:rFonts w:ascii="Arial" w:cs="Arial" w:eastAsia="Arial" w:hAnsi="Arial"/>
          <w:sz w:val="16"/>
          <w:szCs w:val="16"/>
          <w:color w:val="auto"/>
        </w:rPr>
      </w:pPr>
    </w:p>
    <w:p>
      <w:pPr>
        <w:ind w:left="340" w:right="48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shares withheld to pay taxes in connection with the vesting of performance restricted stock granted under the Company’s Amended and Restated 2013 Stock Incentive Plan.</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9"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4, 2020.</w:t>
      </w:r>
    </w:p>
    <w:p>
      <w:pPr>
        <w:spacing w:after="0" w:line="251"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Aramark</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/s/ THOMAS G. ONDROF</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00" w:type="dxa"/>
            <w:vAlign w:val="bottom"/>
            <w:vMerge w:val="continue"/>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Thomas G. Ondrof</w:t>
            </w:r>
          </w:p>
        </w:tc>
        <w:tc>
          <w:tcPr>
            <w:tcW w:w="0" w:type="dxa"/>
            <w:vAlign w:val="bottom"/>
          </w:tcPr>
          <w:p>
            <w:pPr>
              <w:spacing w:after="0"/>
              <w:rPr>
                <w:sz w:val="1"/>
                <w:szCs w:val="1"/>
                <w:color w:val="auto"/>
              </w:rPr>
            </w:pPr>
          </w:p>
        </w:tc>
      </w:tr>
      <w:tr>
        <w:trPr>
          <w:trHeight w:val="219"/>
        </w:trPr>
        <w:tc>
          <w:tcPr>
            <w:tcW w:w="10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Executive Vice President and Chief Financial Officer (Principal Financial</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Officer, Principal Accounting Officer and Authorized Signatory)</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1" w:right="239" w:bottom="1440" w:gutter="0" w:footer="0" w:header="0"/>
        </w:sectPr>
      </w:pPr>
    </w:p>
    <w:bookmarkStart w:id="41" w:name="page42"/>
    <w:bookmarkEnd w:id="41"/>
    <w:p>
      <w:pPr>
        <w:jc w:val="center"/>
        <w:ind w:right="20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60" w:lineRule="exact"/>
        <w:rPr>
          <w:sz w:val="20"/>
          <w:szCs w:val="20"/>
          <w:color w:val="auto"/>
        </w:rPr>
      </w:pPr>
    </w:p>
    <w:p>
      <w:pPr>
        <w:spacing w:after="0"/>
        <w:tabs>
          <w:tab w:leader="none" w:pos="55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19685</wp:posOffset>
            </wp:positionV>
            <wp:extent cx="7160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37" w:lineRule="exact"/>
        <w:rPr>
          <w:sz w:val="20"/>
          <w:szCs w:val="20"/>
          <w:color w:val="auto"/>
        </w:rPr>
      </w:pPr>
    </w:p>
    <w:p>
      <w:pPr>
        <w:ind w:left="780" w:right="460" w:hanging="400"/>
        <w:spacing w:after="0" w:line="298" w:lineRule="auto"/>
        <w:tabs>
          <w:tab w:leader="none" w:pos="760" w:val="left"/>
        </w:tabs>
        <w:rPr>
          <w:rFonts w:ascii="Arial" w:cs="Arial" w:eastAsia="Arial" w:hAnsi="Arial"/>
          <w:sz w:val="17"/>
          <w:szCs w:val="17"/>
          <w:u w:val="single" w:color="auto"/>
          <w:color w:val="0000FF"/>
        </w:rPr>
      </w:pPr>
      <w:hyperlink r:id="rId25">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25">
        <w:r>
          <w:rPr>
            <w:rFonts w:ascii="Arial" w:cs="Arial" w:eastAsia="Arial" w:hAnsi="Arial"/>
            <w:sz w:val="17"/>
            <w:szCs w:val="17"/>
            <w:u w:val="single" w:color="auto"/>
            <w:color w:val="0000FF"/>
          </w:rPr>
          <w:t>Second Amended and Restated Certificate of Incorporation of Aramark (incorporated by reference to Exhibit 3.1 to Aramark’s Current</w:t>
        </w:r>
      </w:hyperlink>
      <w:r>
        <w:rPr>
          <w:rFonts w:ascii="Arial" w:cs="Arial" w:eastAsia="Arial" w:hAnsi="Arial"/>
          <w:sz w:val="17"/>
          <w:szCs w:val="17"/>
          <w:u w:val="single" w:color="auto"/>
          <w:color w:val="0000FF"/>
        </w:rPr>
        <w:t xml:space="preserve"> </w:t>
      </w:r>
      <w:hyperlink r:id="rId25">
        <w:r>
          <w:rPr>
            <w:rFonts w:ascii="Arial" w:cs="Arial" w:eastAsia="Arial" w:hAnsi="Arial"/>
            <w:sz w:val="17"/>
            <w:szCs w:val="17"/>
            <w:u w:val="single" w:color="auto"/>
            <w:color w:val="0000FF"/>
          </w:rPr>
          <w:t>Report on Form 8-K filed with the SEC on January 31, 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780" w:hanging="489"/>
        <w:spacing w:after="0" w:line="287" w:lineRule="auto"/>
        <w:tabs>
          <w:tab w:leader="none" w:pos="760" w:val="left"/>
        </w:tabs>
        <w:rPr>
          <w:rFonts w:ascii="Arial" w:cs="Arial" w:eastAsia="Arial" w:hAnsi="Arial"/>
          <w:sz w:val="16"/>
          <w:szCs w:val="16"/>
          <w:u w:val="single" w:color="auto"/>
          <w:color w:val="0000FF"/>
        </w:rPr>
      </w:pPr>
      <w:hyperlink r:id="rId26">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26">
        <w:r>
          <w:rPr>
            <w:rFonts w:ascii="Arial" w:cs="Arial" w:eastAsia="Arial" w:hAnsi="Arial"/>
            <w:sz w:val="16"/>
            <w:szCs w:val="16"/>
            <w:u w:val="single" w:color="auto"/>
            <w:color w:val="0000FF"/>
          </w:rPr>
          <w:t>Incremental Amendment No. 8 (the “Incremental Amendment”), dated as of January 15, 2020, among Aramark Services, Inc. (the</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“Company”), Aramark Intermediate HoldCo Corporation (“Holdings”), certain wholly-owned subsidiaries of the Aramark Services, Inc., the</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U.S. Term B-4 Lenders (as defined therein) and JPMorgan Chase Bank, N.A. as administrative agent for the Lenders (as defined therein) and</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collateral agent for the secured parties thereunder amending that certain credit agreement, dated March 28, 2017, among the Aramark</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Services, Inc., Holdings, ARAMARK Canada Ltd., ARAMARK Investments Limited, ARAMARK Limited, ARAMARK Ireland Holdings</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Limited, ARAMARK Regional Treasury Europe, Designated Activity Company, ARAMARK Holdings Deutschland GMBH (as successor</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by merger to ARAMARK Holdings GmbH &amp; Co. KG), Aramark International Finance S.à r.l. and certain other wholly-owned domestic</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subsidiaries of the Company, the financial institutions from time to time party thereto (including the financial institutions party to the</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Incremental Amendment, the “Lenders”), the issuing banks named therein and JPMorgan Chase Bank, N.A., as administrative agent for the</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Lenders and collateral agent for the secured parties thereunder (incorporated by reference to Exhibit 10.1 to Aramark’s Current Report on</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Form 8-K filed with the SEC on January 16, 2020 pursuant to the Exchange Act (file number 001-36223)).</w:t>
        </w:r>
      </w:hyperlink>
    </w:p>
    <w:p>
      <w:pPr>
        <w:spacing w:after="0" w:line="11" w:lineRule="exact"/>
        <w:rPr>
          <w:rFonts w:ascii="Arial" w:cs="Arial" w:eastAsia="Arial" w:hAnsi="Arial"/>
          <w:sz w:val="16"/>
          <w:szCs w:val="16"/>
          <w:u w:val="single" w:color="auto"/>
          <w:color w:val="0000FF"/>
        </w:rPr>
      </w:pPr>
    </w:p>
    <w:p>
      <w:pPr>
        <w:ind w:left="780" w:right="260" w:hanging="489"/>
        <w:spacing w:after="0" w:line="277" w:lineRule="auto"/>
        <w:tabs>
          <w:tab w:leader="none" w:pos="760" w:val="left"/>
        </w:tabs>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7">
        <w:r>
          <w:rPr>
            <w:rFonts w:ascii="Arial" w:cs="Arial" w:eastAsia="Arial" w:hAnsi="Arial"/>
            <w:sz w:val="18"/>
            <w:szCs w:val="18"/>
            <w:u w:val="single" w:color="auto"/>
            <w:color w:val="0000FF"/>
          </w:rPr>
          <w:t>Second Amended and Restated 2013 Stock Incentive Plan of Aramark (incorporated by reference to Appendix A to the Company's Proxy</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Statement filed with the SEC on December 20, 2019 (file number 001-36223)).</w:t>
        </w:r>
      </w:hyperlink>
    </w:p>
    <w:p>
      <w:pPr>
        <w:spacing w:after="0" w:line="8" w:lineRule="exact"/>
        <w:rPr>
          <w:rFonts w:ascii="Arial" w:cs="Arial" w:eastAsia="Arial" w:hAnsi="Arial"/>
          <w:sz w:val="18"/>
          <w:szCs w:val="18"/>
          <w:u w:val="single" w:color="auto"/>
          <w:color w:val="0000FF"/>
        </w:rPr>
      </w:pPr>
    </w:p>
    <w:p>
      <w:pPr>
        <w:ind w:left="780" w:right="20" w:hanging="580"/>
        <w:spacing w:after="0" w:line="317" w:lineRule="auto"/>
        <w:tabs>
          <w:tab w:leader="none" w:pos="760" w:val="left"/>
        </w:tabs>
        <w:rPr>
          <w:rFonts w:ascii="Arial" w:cs="Arial" w:eastAsia="Arial" w:hAnsi="Arial"/>
          <w:sz w:val="16"/>
          <w:szCs w:val="16"/>
          <w:u w:val="single" w:color="auto"/>
          <w:color w:val="0000FF"/>
        </w:rPr>
      </w:pPr>
      <w:hyperlink r:id="rId28">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8">
        <w:r>
          <w:rPr>
            <w:rFonts w:ascii="Arial" w:cs="Arial" w:eastAsia="Arial" w:hAnsi="Arial"/>
            <w:sz w:val="16"/>
            <w:szCs w:val="16"/>
            <w:u w:val="single" w:color="auto"/>
            <w:color w:val="0000FF"/>
          </w:rPr>
          <w:t>Letter Agreement, dated as of January 4, 2020, by and between Stephen P. Bramlage and Aramark (incorporated by reference to Exhibit 10.1</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to Aramark’s Current Report on Form 8-K filed with the SEC on January 6, 2020, pursuant to the Exchange Act (file number 001-36223)).</w:t>
        </w:r>
      </w:hyperlink>
    </w:p>
    <w:p>
      <w:pPr>
        <w:ind w:left="780" w:right="360" w:hanging="580"/>
        <w:spacing w:after="0" w:line="317" w:lineRule="auto"/>
        <w:tabs>
          <w:tab w:leader="none" w:pos="760" w:val="left"/>
        </w:tabs>
        <w:rPr>
          <w:rFonts w:ascii="Arial" w:cs="Arial" w:eastAsia="Arial" w:hAnsi="Arial"/>
          <w:sz w:val="16"/>
          <w:szCs w:val="16"/>
          <w:u w:val="single" w:color="auto"/>
          <w:color w:val="0000FF"/>
        </w:rPr>
      </w:pPr>
      <w:hyperlink r:id="rId29">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9">
        <w:r>
          <w:rPr>
            <w:rFonts w:ascii="Arial" w:cs="Arial" w:eastAsia="Arial" w:hAnsi="Arial"/>
            <w:sz w:val="16"/>
            <w:szCs w:val="16"/>
            <w:u w:val="single" w:color="auto"/>
            <w:color w:val="0000FF"/>
          </w:rPr>
          <w:t>Offer Letter, dated as of January 5, 2020, by and between Thomas Ondrof and Aramark (incorporated by reference to Exhibit 10.2 to</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Aramark’s Current Report on Form 8-K filed with the SEC on January 6, 2020, pursuant to the Exchange Act (file number 001-36223)).</w:t>
        </w:r>
      </w:hyperlink>
    </w:p>
    <w:p>
      <w:pPr>
        <w:ind w:left="780" w:right="240" w:hanging="580"/>
        <w:spacing w:after="0" w:line="264" w:lineRule="auto"/>
        <w:tabs>
          <w:tab w:leader="none" w:pos="76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Agreement relating to Employment and Post-Employment Competition, dated as of January 5, 2020, by and between Thomas Ondrof and</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Aramark (incorporated by reference to Exhibit 10.3 to Aramark’s Current Report on Form 8-K filed with the SEC on January 6, 2020,</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pursuant to the Exchange Act (file number 001-36223)).</w:t>
        </w:r>
      </w:hyperlink>
    </w:p>
    <w:p>
      <w:pPr>
        <w:spacing w:after="0" w:line="19" w:lineRule="exact"/>
        <w:rPr>
          <w:rFonts w:ascii="Arial" w:cs="Arial" w:eastAsia="Arial" w:hAnsi="Arial"/>
          <w:sz w:val="18"/>
          <w:szCs w:val="18"/>
          <w:u w:val="single" w:color="auto"/>
          <w:color w:val="0000FF"/>
        </w:rPr>
      </w:pPr>
    </w:p>
    <w:p>
      <w:pPr>
        <w:ind w:left="200"/>
        <w:spacing w:after="0"/>
        <w:tabs>
          <w:tab w:leader="none" w:pos="760" w:val="left"/>
        </w:tabs>
        <w:rPr>
          <w:rFonts w:ascii="Arial" w:cs="Arial" w:eastAsia="Arial" w:hAnsi="Arial"/>
          <w:sz w:val="16"/>
          <w:szCs w:val="16"/>
          <w:u w:val="single" w:color="auto"/>
          <w:color w:val="0000FF"/>
        </w:rPr>
      </w:pPr>
      <w:hyperlink w:anchor="page43">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w:anchor="page43">
        <w:r>
          <w:rPr>
            <w:rFonts w:ascii="Arial" w:cs="Arial" w:eastAsia="Arial" w:hAnsi="Arial"/>
            <w:sz w:val="16"/>
            <w:szCs w:val="16"/>
            <w:u w:val="single" w:color="auto"/>
            <w:color w:val="0000FF"/>
          </w:rPr>
          <w:t>Amendment 2019-1 to the Second Amended and Restated Aramark Savings Incentive Retirement Plan.</w:t>
        </w:r>
      </w:hyperlink>
    </w:p>
    <w:p>
      <w:pPr>
        <w:spacing w:after="0" w:line="63" w:lineRule="exact"/>
        <w:rPr>
          <w:sz w:val="20"/>
          <w:szCs w:val="20"/>
          <w:color w:val="auto"/>
        </w:rPr>
      </w:pPr>
    </w:p>
    <w:p>
      <w:pPr>
        <w:ind w:left="200"/>
        <w:spacing w:after="0"/>
        <w:tabs>
          <w:tab w:leader="none" w:pos="760" w:val="left"/>
        </w:tabs>
        <w:rPr>
          <w:rFonts w:ascii="Arial" w:cs="Arial" w:eastAsia="Arial" w:hAnsi="Arial"/>
          <w:sz w:val="16"/>
          <w:szCs w:val="16"/>
          <w:u w:val="single" w:color="auto"/>
          <w:color w:val="0000FF"/>
        </w:rPr>
      </w:pPr>
      <w:hyperlink w:anchor="page47">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7">
        <w:r>
          <w:rPr>
            <w:rFonts w:ascii="Arial" w:cs="Arial" w:eastAsia="Arial" w:hAnsi="Arial"/>
            <w:sz w:val="16"/>
            <w:szCs w:val="16"/>
            <w:u w:val="single" w:color="auto"/>
            <w:color w:val="0000FF"/>
          </w:rPr>
          <w:t>Certification of John J. Zillmer, Chief Executive Officer, pursuant to Section 302 of the Sarbanes-Oxley Act of 2002.</w:t>
        </w:r>
      </w:hyperlink>
    </w:p>
    <w:p>
      <w:pPr>
        <w:spacing w:after="0" w:line="63" w:lineRule="exact"/>
        <w:rPr>
          <w:sz w:val="20"/>
          <w:szCs w:val="20"/>
          <w:color w:val="auto"/>
        </w:rPr>
      </w:pPr>
    </w:p>
    <w:p>
      <w:pPr>
        <w:ind w:left="200"/>
        <w:spacing w:after="0"/>
        <w:tabs>
          <w:tab w:leader="none" w:pos="760" w:val="left"/>
        </w:tabs>
        <w:rPr>
          <w:rFonts w:ascii="Arial" w:cs="Arial" w:eastAsia="Arial" w:hAnsi="Arial"/>
          <w:sz w:val="16"/>
          <w:szCs w:val="16"/>
          <w:u w:val="single" w:color="auto"/>
          <w:color w:val="0000FF"/>
        </w:rPr>
      </w:pPr>
      <w:hyperlink w:anchor="page48">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8">
        <w:r>
          <w:rPr>
            <w:rFonts w:ascii="Arial" w:cs="Arial" w:eastAsia="Arial" w:hAnsi="Arial"/>
            <w:sz w:val="16"/>
            <w:szCs w:val="16"/>
            <w:u w:val="single" w:color="auto"/>
            <w:color w:val="0000FF"/>
          </w:rPr>
          <w:t>Certification of Thomas G. Ondrof, Chief Financial Officer, pursuant to Section 302 of the Sarbanes-Oxley Act of 2002.</w:t>
        </w:r>
      </w:hyperlink>
    </w:p>
    <w:p>
      <w:pPr>
        <w:spacing w:after="0" w:line="63" w:lineRule="exact"/>
        <w:rPr>
          <w:sz w:val="20"/>
          <w:szCs w:val="20"/>
          <w:color w:val="auto"/>
        </w:rPr>
      </w:pPr>
    </w:p>
    <w:p>
      <w:pPr>
        <w:ind w:left="780" w:right="360" w:hanging="580"/>
        <w:spacing w:after="0" w:line="277" w:lineRule="auto"/>
        <w:tabs>
          <w:tab w:leader="none" w:pos="760" w:val="left"/>
        </w:tabs>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9">
        <w:r>
          <w:rPr>
            <w:rFonts w:ascii="Arial" w:cs="Arial" w:eastAsia="Arial" w:hAnsi="Arial"/>
            <w:sz w:val="18"/>
            <w:szCs w:val="18"/>
            <w:u w:val="single" w:color="auto"/>
            <w:color w:val="0000FF"/>
          </w:rPr>
          <w:t>Certification of John J. Zillmer, Chief Executive Officer, and Thomas G. Ondrof, Chief Financial Officer, pursuant to Section 906 of the</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Sarbanes-Oxley Act of 2002.</w:t>
        </w:r>
      </w:hyperlink>
    </w:p>
    <w:p>
      <w:pPr>
        <w:spacing w:after="0" w:line="8" w:lineRule="exact"/>
        <w:rPr>
          <w:rFonts w:ascii="Arial" w:cs="Arial" w:eastAsia="Arial" w:hAnsi="Arial"/>
          <w:sz w:val="18"/>
          <w:szCs w:val="18"/>
          <w:u w:val="single" w:color="auto"/>
          <w:color w:val="0000FF"/>
        </w:rPr>
      </w:pPr>
    </w:p>
    <w:p>
      <w:pPr>
        <w:ind w:left="780" w:right="40" w:hanging="436"/>
        <w:spacing w:after="0" w:line="255" w:lineRule="auto"/>
        <w:tabs>
          <w:tab w:leader="none" w:pos="780" w:val="left"/>
        </w:tabs>
        <w:numPr>
          <w:ilvl w:val="0"/>
          <w:numId w:val="2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 following financial information from Aramark's Quarterly Report on Form 10-Q for the period ended December 27, 2019 formatted in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inline XBRL: (i) Condensed Consolidated Balance Sheets as of December 27, 2019 and September 27, 2019; (ii) Condensed Consolidated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Statements of Income for the three months ended December 27, 2019 and December 28, 2018; (iii) Condensed Consolidated Statements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Comprehensive Income for the three months ended December 27, 2019 and December 28, 2018; (iv) Condensed Consolidated Statements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Cash Flows for the three months ended December 27, 2019 and December 28, 2018; (v) Condensed Consolidated Statements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Stockholders' Equity for the three months ended December 27, 2019 and December 28, 2018; and (vi) Notes to condensed consolidated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financial statements.</w:t>
        </w:r>
      </w:hyperlink>
    </w:p>
    <w:p>
      <w:pPr>
        <w:spacing w:after="0" w:line="27" w:lineRule="exact"/>
        <w:rPr>
          <w:rFonts w:ascii="Arial" w:cs="Arial" w:eastAsia="Arial" w:hAnsi="Arial"/>
          <w:sz w:val="18"/>
          <w:szCs w:val="18"/>
          <w:u w:val="single" w:color="auto"/>
          <w:color w:val="0000EE"/>
        </w:rPr>
      </w:pPr>
    </w:p>
    <w:p>
      <w:pPr>
        <w:ind w:right="1200" w:firstLine="344"/>
        <w:spacing w:after="0" w:line="391" w:lineRule="auto"/>
        <w:tabs>
          <w:tab w:leader="none" w:pos="7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Exhibit 101 Inline XBRL document set. * Filed herewith.</w:t>
      </w:r>
    </w:p>
    <w:p>
      <w:pPr>
        <w:spacing w:after="0" w:line="1" w:lineRule="exact"/>
        <w:rPr>
          <w:rFonts w:ascii="Arial" w:cs="Arial" w:eastAsia="Arial" w:hAnsi="Arial"/>
          <w:sz w:val="18"/>
          <w:szCs w:val="18"/>
          <w:u w:val="single" w:color="auto"/>
          <w:color w:val="0000EE"/>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Identifies exhibits that consist of management contract or compensatory arrangement.</w:t>
      </w:r>
    </w:p>
    <w:p>
      <w:pPr>
        <w:spacing w:after="0" w:line="117" w:lineRule="exact"/>
        <w:rPr>
          <w:rFonts w:ascii="Arial" w:cs="Arial" w:eastAsia="Arial" w:hAnsi="Arial"/>
          <w:sz w:val="18"/>
          <w:szCs w:val="18"/>
          <w:u w:val="single" w:color="auto"/>
          <w:color w:val="0000EE"/>
        </w:rPr>
      </w:pPr>
    </w:p>
    <w:p>
      <w:pPr>
        <w:ind w:right="20"/>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6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The XBRL instance document does not appear in the interactive data file because the XBRL tags are embedded within the inline XBRL document.</w:t>
      </w:r>
    </w:p>
    <w:p>
      <w:pPr>
        <w:spacing w:after="0" w:line="356" w:lineRule="exact"/>
        <w:rPr>
          <w:rFonts w:ascii="Arial" w:cs="Arial" w:eastAsia="Arial" w:hAnsi="Arial"/>
          <w:sz w:val="18"/>
          <w:szCs w:val="18"/>
          <w:u w:val="single" w:color="auto"/>
          <w:color w:val="0000EE"/>
        </w:rPr>
      </w:pPr>
    </w:p>
    <w:p>
      <w:pPr>
        <w:jc w:val="center"/>
        <w:ind w:right="2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580" w:top="391"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2019-1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ARAMARK SAVINGS INCENTIVE RETIREMENT PLAN</w:t>
      </w: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AMENDMENT 2019-1 to the Second Amended and Restated ARAMARK Savings Incentive Retirement Plan (the “Plan”) by Aramark Services, Inc. (the “Company”), a subsidiary of ARAMARK Corporation (the “Corporation”).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maintains the Plan for the benefit of its eligible employees;</w:t>
      </w:r>
    </w:p>
    <w:p>
      <w:pPr>
        <w:spacing w:after="0" w:line="220" w:lineRule="exact"/>
        <w:rPr>
          <w:sz w:val="20"/>
          <w:szCs w:val="20"/>
          <w:color w:val="auto"/>
        </w:rPr>
      </w:pPr>
    </w:p>
    <w:p>
      <w:pPr>
        <w:ind w:right="140"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Board of Directors of the Corporation (the “Board”) approved an amendment to the Plan in January 2019</w:t>
      </w:r>
      <w:r>
        <w:rPr>
          <w:rFonts w:ascii="Arial" w:cs="Arial" w:eastAsia="Arial" w:hAnsi="Arial"/>
          <w:sz w:val="22"/>
          <w:szCs w:val="22"/>
          <w:b w:val="1"/>
          <w:bCs w:val="1"/>
          <w:color w:val="auto"/>
        </w:rPr>
        <w:t xml:space="preserve"> </w:t>
      </w:r>
      <w:r>
        <w:rPr>
          <w:rFonts w:ascii="Arial" w:cs="Arial" w:eastAsia="Arial" w:hAnsi="Arial"/>
          <w:sz w:val="22"/>
          <w:szCs w:val="22"/>
          <w:color w:val="auto"/>
        </w:rPr>
        <w:t>for a special one-time discretionary contribution for the plan year ended September 30, 2019 to certain eligible employees and delegated authority to the Executive Vice President, Human Resources (the “EVP, HR”) to execute appropriate documentation evidencing the approval of the special one-time contribution; and</w:t>
      </w:r>
    </w:p>
    <w:p>
      <w:pPr>
        <w:spacing w:after="0" w:line="180" w:lineRule="exact"/>
        <w:rPr>
          <w:sz w:val="20"/>
          <w:szCs w:val="20"/>
          <w:color w:val="auto"/>
        </w:rPr>
      </w:pPr>
    </w:p>
    <w:p>
      <w:pPr>
        <w:ind w:right="260" w:firstLine="648"/>
        <w:spacing w:after="0" w:line="267"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Board approved an amendment to the Plan in November 2019 for a special one-time discretionary</w:t>
      </w:r>
      <w:r>
        <w:rPr>
          <w:rFonts w:ascii="Arial" w:cs="Arial" w:eastAsia="Arial" w:hAnsi="Arial"/>
          <w:sz w:val="21"/>
          <w:szCs w:val="21"/>
          <w:b w:val="1"/>
          <w:bCs w:val="1"/>
          <w:color w:val="auto"/>
        </w:rPr>
        <w:t xml:space="preserve"> </w:t>
      </w:r>
      <w:r>
        <w:rPr>
          <w:rFonts w:ascii="Arial" w:cs="Arial" w:eastAsia="Arial" w:hAnsi="Arial"/>
          <w:sz w:val="21"/>
          <w:szCs w:val="21"/>
          <w:color w:val="auto"/>
        </w:rPr>
        <w:t>contribution for the period beginning October 1, 2019 and ending December 31, 2019 to certain eligible employees that formerly participated in the Avendra, LLC 401(k) Retirement Plan and delegated authority to the EVP, HR to execute appropriate documentation evidencing the approval of the special one-time contribution.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hereby amended as follows (new text in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italics</w:t>
      </w:r>
      <w:r>
        <w:rPr>
          <w:rFonts w:ascii="Arial" w:cs="Arial" w:eastAsia="Arial" w:hAnsi="Arial"/>
          <w:sz w:val="22"/>
          <w:szCs w:val="22"/>
          <w:color w:val="auto"/>
        </w:rPr>
        <w:t>):</w:t>
      </w:r>
    </w:p>
    <w:p>
      <w:pPr>
        <w:spacing w:after="0" w:line="22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Article I is amended by adding the following new definition in alphabetical order:</w:t>
      </w:r>
    </w:p>
    <w:p>
      <w:pPr>
        <w:spacing w:after="0" w:line="21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i w:val="1"/>
          <w:iCs w:val="1"/>
          <w:color w:val="auto"/>
        </w:rPr>
        <w:t>“‘</w:t>
      </w:r>
      <w:r>
        <w:rPr>
          <w:rFonts w:ascii="Arial" w:cs="Arial" w:eastAsia="Arial" w:hAnsi="Arial"/>
          <w:sz w:val="21"/>
          <w:szCs w:val="21"/>
          <w:i w:val="1"/>
          <w:iCs w:val="1"/>
          <w:u w:val="single" w:color="auto"/>
          <w:color w:val="auto"/>
        </w:rPr>
        <w:t>Special Contributions</w:t>
      </w:r>
      <w:r>
        <w:rPr>
          <w:rFonts w:ascii="Arial" w:cs="Arial" w:eastAsia="Arial" w:hAnsi="Arial"/>
          <w:sz w:val="21"/>
          <w:szCs w:val="21"/>
          <w:i w:val="1"/>
          <w:iCs w:val="1"/>
          <w:color w:val="auto"/>
        </w:rPr>
        <w:t>’ means, for each Participant, the Company’s contributions made pursuant to Section 4.1(b).”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Article IV is retitled as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CONTRIBUTIONS</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 xml:space="preserve">Sections 4.1 and 4.2 are amended in their entirety to read as follows (new text in </w:t>
      </w:r>
      <w:r>
        <w:rPr>
          <w:rFonts w:ascii="Arial" w:cs="Arial" w:eastAsia="Arial" w:hAnsi="Arial"/>
          <w:sz w:val="22"/>
          <w:szCs w:val="22"/>
          <w:i w:val="1"/>
          <w:iCs w:val="1"/>
          <w:color w:val="auto"/>
        </w:rPr>
        <w:t>italics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i w:val="1"/>
          <w:iCs w:val="1"/>
          <w:u w:val="single" w:color="auto"/>
          <w:color w:val="auto"/>
        </w:rPr>
        <w:t>Company Contributions</w:t>
      </w:r>
      <w:r>
        <w:rPr>
          <w:rFonts w:ascii="Arial" w:cs="Arial" w:eastAsia="Arial" w:hAnsi="Arial"/>
          <w:sz w:val="19"/>
          <w:szCs w:val="19"/>
          <w:i w:val="1"/>
          <w:iCs w:val="1"/>
          <w:color w:val="auto"/>
        </w:rPr>
        <w:t>.</w:t>
      </w:r>
    </w:p>
    <w:p>
      <w:pPr>
        <w:spacing w:after="0" w:line="233" w:lineRule="exact"/>
        <w:rPr>
          <w:sz w:val="20"/>
          <w:szCs w:val="20"/>
          <w:color w:val="auto"/>
        </w:rPr>
      </w:pPr>
    </w:p>
    <w:p>
      <w:pPr>
        <w:ind w:left="660" w:right="340" w:firstLine="1293"/>
        <w:spacing w:after="0" w:line="250" w:lineRule="auto"/>
        <w:tabs>
          <w:tab w:leader="none" w:pos="225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Amount of</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Matching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Contributions</w:t>
      </w:r>
      <w:r>
        <w:rPr>
          <w:rFonts w:ascii="Arial" w:cs="Arial" w:eastAsia="Arial" w:hAnsi="Arial"/>
          <w:sz w:val="22"/>
          <w:szCs w:val="22"/>
          <w:color w:val="auto"/>
        </w:rPr>
        <w:t>. As soon as administratively practicable after the end of each Plan Year, ARAMARK may make a discretionary matching contribution (“Matching Contributions”) to the Matching Contributions Accounts of Sharing Participants of between a minimum of 25% and a maximum of 75% of such Sharing Participants’ Salary Deferrals for such Plan Year, excluding:</w:t>
      </w:r>
    </w:p>
    <w:p>
      <w:pPr>
        <w:spacing w:after="0" w:line="80" w:lineRule="exact"/>
        <w:rPr>
          <w:sz w:val="20"/>
          <w:szCs w:val="20"/>
          <w:color w:val="auto"/>
        </w:rPr>
      </w:pPr>
    </w:p>
    <w:p>
      <w:pPr>
        <w:ind w:left="1960" w:right="340" w:hanging="7"/>
        <w:spacing w:after="0" w:line="263" w:lineRule="auto"/>
        <w:tabs>
          <w:tab w:leader="none" w:pos="2218" w:val="left"/>
        </w:tabs>
        <w:numPr>
          <w:ilvl w:val="0"/>
          <w:numId w:val="27"/>
        </w:numPr>
        <w:rPr>
          <w:rFonts w:ascii="Arial" w:cs="Arial" w:eastAsia="Arial" w:hAnsi="Arial"/>
          <w:sz w:val="22"/>
          <w:szCs w:val="22"/>
          <w:i w:val="1"/>
          <w:iCs w:val="1"/>
          <w:color w:val="auto"/>
        </w:rPr>
      </w:pPr>
      <w:r>
        <w:rPr>
          <w:rFonts w:ascii="Arial" w:cs="Arial" w:eastAsia="Arial" w:hAnsi="Arial"/>
          <w:sz w:val="22"/>
          <w:szCs w:val="22"/>
          <w:color w:val="auto"/>
        </w:rPr>
        <w:t>Salary Deferrals made by the Sharing Participant prior to such Sharing Participant’s completion of one Year of Service;</w:t>
      </w:r>
    </w:p>
    <w:p>
      <w:pPr>
        <w:spacing w:after="0" w:line="66" w:lineRule="exact"/>
        <w:rPr>
          <w:rFonts w:ascii="Arial" w:cs="Arial" w:eastAsia="Arial" w:hAnsi="Arial"/>
          <w:sz w:val="22"/>
          <w:szCs w:val="22"/>
          <w:i w:val="1"/>
          <w:iCs w:val="1"/>
          <w:color w:val="auto"/>
        </w:rPr>
      </w:pPr>
    </w:p>
    <w:p>
      <w:pPr>
        <w:ind w:left="2280" w:hanging="327"/>
        <w:spacing w:after="0"/>
        <w:tabs>
          <w:tab w:leader="none" w:pos="2280" w:val="left"/>
        </w:tabs>
        <w:numPr>
          <w:ilvl w:val="0"/>
          <w:numId w:val="27"/>
        </w:numPr>
        <w:rPr>
          <w:rFonts w:ascii="Arial" w:cs="Arial" w:eastAsia="Arial" w:hAnsi="Arial"/>
          <w:sz w:val="19"/>
          <w:szCs w:val="19"/>
          <w:i w:val="1"/>
          <w:iCs w:val="1"/>
          <w:color w:val="auto"/>
        </w:rPr>
      </w:pPr>
      <w:r>
        <w:rPr>
          <w:rFonts w:ascii="Arial" w:cs="Arial" w:eastAsia="Arial" w:hAnsi="Arial"/>
          <w:sz w:val="19"/>
          <w:szCs w:val="19"/>
          <w:color w:val="auto"/>
        </w:rPr>
        <w:t>Salary Deferrals in excess of the first 6% of a Participant’s Compensation for any payroll period; 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8" w:right="239" w:bottom="1440" w:gutter="0" w:footer="0" w:header="0"/>
        </w:sectPr>
      </w:pPr>
    </w:p>
    <w:bookmarkStart w:id="43" w:name="page44"/>
    <w:bookmarkEnd w:id="43"/>
    <w:p>
      <w:pPr>
        <w:ind w:left="1300" w:right="560" w:hanging="7"/>
        <w:spacing w:after="0" w:line="343" w:lineRule="auto"/>
        <w:tabs>
          <w:tab w:leader="none" w:pos="1678" w:val="left"/>
        </w:tabs>
        <w:numPr>
          <w:ilvl w:val="0"/>
          <w:numId w:val="28"/>
        </w:numPr>
        <w:rPr>
          <w:rFonts w:ascii="Arial" w:cs="Arial" w:eastAsia="Arial" w:hAnsi="Arial"/>
          <w:sz w:val="19"/>
          <w:szCs w:val="19"/>
          <w:i w:val="1"/>
          <w:iCs w:val="1"/>
          <w:color w:val="auto"/>
        </w:rPr>
      </w:pPr>
      <w:r>
        <w:rPr>
          <w:rFonts w:ascii="Arial" w:cs="Arial" w:eastAsia="Arial" w:hAnsi="Arial"/>
          <w:sz w:val="19"/>
          <w:szCs w:val="19"/>
          <w:color w:val="auto"/>
        </w:rPr>
        <w:t>Salary Deferrals in excess of the maximum elective deferrals permitted under a qualified cash or deferred plan pursuant to Section 401(g) of the Code for the calendar year in which the Plan Year ends.</w:t>
      </w:r>
    </w:p>
    <w:p>
      <w:pPr>
        <w:spacing w:after="0" w:line="118" w:lineRule="exact"/>
        <w:rPr>
          <w:sz w:val="20"/>
          <w:szCs w:val="20"/>
          <w:color w:val="auto"/>
        </w:rPr>
      </w:pPr>
    </w:p>
    <w:p>
      <w:pPr>
        <w:ind w:right="380"/>
        <w:spacing w:after="0" w:line="287" w:lineRule="auto"/>
        <w:rPr>
          <w:sz w:val="20"/>
          <w:szCs w:val="20"/>
          <w:color w:val="auto"/>
        </w:rPr>
      </w:pPr>
      <w:r>
        <w:rPr>
          <w:rFonts w:ascii="Arial" w:cs="Arial" w:eastAsia="Arial" w:hAnsi="Arial"/>
          <w:sz w:val="21"/>
          <w:szCs w:val="21"/>
          <w:color w:val="auto"/>
        </w:rPr>
        <w:t>The percentage of Salary Deferrals on which the amount of Matching Contributions is to be based shall be the matching percentage contributed by ARAMARK to the Retirement Savings Plan for the same Fiscal Year.</w:t>
      </w:r>
    </w:p>
    <w:p>
      <w:pPr>
        <w:spacing w:after="0" w:line="165" w:lineRule="exact"/>
        <w:rPr>
          <w:sz w:val="20"/>
          <w:szCs w:val="20"/>
          <w:color w:val="auto"/>
        </w:rPr>
      </w:pPr>
    </w:p>
    <w:p>
      <w:pPr>
        <w:ind w:firstLine="1293"/>
        <w:spacing w:after="0" w:line="283" w:lineRule="auto"/>
        <w:tabs>
          <w:tab w:leader="none" w:pos="1729" w:val="left"/>
        </w:tabs>
        <w:numPr>
          <w:ilvl w:val="0"/>
          <w:numId w:val="29"/>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Amount of the Special Contributions</w:t>
      </w:r>
      <w:r>
        <w:rPr>
          <w:rFonts w:ascii="Arial" w:cs="Arial" w:eastAsia="Arial" w:hAnsi="Arial"/>
          <w:sz w:val="19"/>
          <w:szCs w:val="19"/>
          <w:i w:val="1"/>
          <w:iCs w:val="1"/>
          <w:color w:val="auto"/>
        </w:rPr>
        <w:t>. As soon as administratively practicable after the end of the Plan Year ended September 30, 2019, ARAMARK shall contribute to the Matching Contributions Accounts of eligible Sharing Participants (as described in Section 4.2(b)) a Special Contribution in an amount up to 50% of each Sharing Participant’s Salary Deferrals under Section 3.1(a) made for the Plan Year ended September 30, 2019, subject to the exclusions set forth in (i), (ii) and (iii) of Section 4.1(a) above, provided that the aggregate amount of the Special Contribution to all Eligible Employees in the Plan, the Aramark Retirement Savings Plan for Salaried Employees, the Aramark Hourly 401(k) Plan, the Aramark Uniform and Career Apparel Group Retirement Savings Plan and the Avendra, LLC 401(k) Retirement Plan shall not exceed an amount of up to $25 million or such lesser cap as is determined by the Chairman, President and CEO (the “Cap”) (where Special Contributions to Eligible Employees in the Avendra, LLC 401(k) Retirement Plan are determined for the purpose of this limit based on Salary Deferrals (i) for the 2019 Plan Year, (ii) as of September 30, 2019, (iii) with such amount projected to December 31, 2019 based on enrollment as of September 30, 2019), and each Eligible Employee’s Special Contribution will be reduced by a percentage of the dollar amount of such Eligible Employee’s Special Contribution equal to the percentage by which the Cap is exceeded, subject to any applicable non-discrimination testing requirements. In addition, as soon as administratively practicable in 2020, ARAMARK shall contribute to the Matching Contributions Accounts of eligible Sharing Participants who are former participants in the Avendra, LLC 401(k) Retirement Plan and became Participants in the Plan effective January 1, 2019, a Special Contribution in an amount up to 50% of each such Sharing Participant’s Salary Deferrals under Section 3.1(a) made for the period beginning October 1, 2019 and ending December 31, 2019, subject to the exclusions set forth in (i), (ii) and (iii) of Section 4.1(a) above and included in the formula above for purposes of applying the Cap described in the preceding sentence. Capitalized terms in this Section</w:t>
      </w:r>
    </w:p>
    <w:p>
      <w:pPr>
        <w:spacing w:after="0" w:line="11"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19"/>
          <w:szCs w:val="19"/>
          <w:i w:val="1"/>
          <w:iCs w:val="1"/>
          <w:color w:val="auto"/>
        </w:rPr>
        <w:t>4.1(b) shall have the meanings assigned to them in this Section 4.1(b) or in the applicable plan referenced in this Section</w:t>
      </w:r>
    </w:p>
    <w:p>
      <w:pPr>
        <w:spacing w:after="0" w:line="38"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i w:val="1"/>
          <w:iCs w:val="1"/>
          <w:color w:val="auto"/>
        </w:rPr>
        <w:t>4.1(b).</w:t>
      </w:r>
    </w:p>
    <w:p>
      <w:pPr>
        <w:spacing w:after="0" w:line="200" w:lineRule="exact"/>
        <w:rPr>
          <w:sz w:val="20"/>
          <w:szCs w:val="20"/>
          <w:color w:val="auto"/>
        </w:rPr>
      </w:pPr>
    </w:p>
    <w:p>
      <w:pPr>
        <w:spacing w:after="0" w:line="231"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Allocations to Participants</w:t>
      </w:r>
      <w:r>
        <w:rPr>
          <w:rFonts w:ascii="Arial" w:cs="Arial" w:eastAsia="Arial" w:hAnsi="Arial"/>
          <w:sz w:val="19"/>
          <w:szCs w:val="19"/>
          <w:color w:val="auto"/>
        </w:rPr>
        <w:t>.</w:t>
      </w:r>
    </w:p>
    <w:p>
      <w:pPr>
        <w:spacing w:after="0" w:line="233" w:lineRule="exact"/>
        <w:rPr>
          <w:sz w:val="20"/>
          <w:szCs w:val="20"/>
          <w:color w:val="auto"/>
        </w:rPr>
      </w:pPr>
    </w:p>
    <w:p>
      <w:pPr>
        <w:jc w:val="both"/>
        <w:ind w:right="180" w:firstLine="1293"/>
        <w:spacing w:after="0" w:line="260" w:lineRule="auto"/>
        <w:tabs>
          <w:tab w:leader="none" w:pos="1716" w:val="left"/>
        </w:tabs>
        <w:numPr>
          <w:ilvl w:val="0"/>
          <w:numId w:val="30"/>
        </w:numPr>
        <w:rPr>
          <w:rFonts w:ascii="Arial" w:cs="Arial" w:eastAsia="Arial" w:hAnsi="Arial"/>
          <w:sz w:val="22"/>
          <w:szCs w:val="22"/>
          <w:color w:val="auto"/>
        </w:rPr>
      </w:pPr>
      <w:r>
        <w:rPr>
          <w:rFonts w:ascii="Arial" w:cs="Arial" w:eastAsia="Arial" w:hAnsi="Arial"/>
          <w:sz w:val="22"/>
          <w:szCs w:val="22"/>
          <w:i w:val="1"/>
          <w:iCs w:val="1"/>
          <w:u w:val="single" w:color="auto"/>
          <w:color w:val="auto"/>
        </w:rPr>
        <w:t>Allocations of Matching Contributions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Matching Contributions made with respect to a Plan Year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credited only to the Matching Contributions Account of each Participant who is a Sharing Participant for the Plan Year based upon the Participant’s Salary Deferral for such Plan Year.</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672" w:right="239" w:bottom="1440" w:gutter="0" w:footer="0" w:header="0"/>
        </w:sectPr>
      </w:pPr>
    </w:p>
    <w:bookmarkStart w:id="44" w:name="page45"/>
    <w:bookmarkEnd w:id="44"/>
    <w:p>
      <w:pPr>
        <w:ind w:left="652" w:firstLine="1293"/>
        <w:spacing w:after="0" w:line="290" w:lineRule="auto"/>
        <w:tabs>
          <w:tab w:leader="none" w:pos="2381" w:val="left"/>
        </w:tabs>
        <w:numPr>
          <w:ilvl w:val="1"/>
          <w:numId w:val="31"/>
        </w:numPr>
        <w:rPr>
          <w:rFonts w:ascii="Arial" w:cs="Arial" w:eastAsia="Arial" w:hAnsi="Arial"/>
          <w:sz w:val="19"/>
          <w:szCs w:val="19"/>
          <w:i w:val="1"/>
          <w:iCs w:val="1"/>
          <w:color w:val="auto"/>
        </w:rPr>
      </w:pPr>
      <w:r>
        <w:rPr>
          <w:rFonts w:ascii="Arial" w:cs="Arial" w:eastAsia="Arial" w:hAnsi="Arial"/>
          <w:sz w:val="19"/>
          <w:szCs w:val="19"/>
          <w:i w:val="1"/>
          <w:iCs w:val="1"/>
          <w:u w:val="single" w:color="auto"/>
          <w:color w:val="auto"/>
        </w:rPr>
        <w:t>Allocations of the Special Contribution</w:t>
      </w:r>
      <w:r>
        <w:rPr>
          <w:rFonts w:ascii="Arial" w:cs="Arial" w:eastAsia="Arial" w:hAnsi="Arial"/>
          <w:sz w:val="19"/>
          <w:szCs w:val="19"/>
          <w:i w:val="1"/>
          <w:iCs w:val="1"/>
          <w:color w:val="auto"/>
        </w:rPr>
        <w:t>s. Special Contributions under Section 4.1(b) with respect to Salary Deferrals made for the Plan Year ended September 30, 2019 shall be credited only to the Matching Contributions Account of each Participant who participated in the Plan for the Plan Year ended September 30, 2019, is a Sharing Participant for the Plan Year ended September 30, 2019 and is eligible to receive a Matching Contribution under Section 4.1(a) for the Plan Year ended September 30, 2019 based upon the Participant’s Salary Deferrals for such Plan Year. In addition, Special Contributions under Section 4.1(b) with respect to Salary Deferrals made for the period beginning October 1, 2019 and ending December 31, 2019 (the “Period”) by former participants in the Avendra, LLC 401(k) Retirement Plan who became Participants in the Plan effective January 1, 2019 shall be credited only to the Matching Contributions Account of each such Participant who participated in the Plan for the Period, is a Sharing Participant for the Period, and is eligible to receive a Matching Contribution under Section 4.1(a) for the Plan Year ended September 30, 2019 based upon the Participant’s Salary Deferrals for such Plan Year.</w:t>
      </w:r>
    </w:p>
    <w:p>
      <w:pPr>
        <w:spacing w:after="0" w:line="200" w:lineRule="exact"/>
        <w:rPr>
          <w:rFonts w:ascii="Arial" w:cs="Arial" w:eastAsia="Arial" w:hAnsi="Arial"/>
          <w:sz w:val="19"/>
          <w:szCs w:val="19"/>
          <w:i w:val="1"/>
          <w:iCs w:val="1"/>
          <w:color w:val="auto"/>
        </w:rPr>
      </w:pPr>
    </w:p>
    <w:p>
      <w:pPr>
        <w:spacing w:after="0" w:line="212" w:lineRule="exact"/>
        <w:rPr>
          <w:rFonts w:ascii="Arial" w:cs="Arial" w:eastAsia="Arial" w:hAnsi="Arial"/>
          <w:sz w:val="19"/>
          <w:szCs w:val="19"/>
          <w:i w:val="1"/>
          <w:iCs w:val="1"/>
          <w:color w:val="auto"/>
        </w:rPr>
      </w:pPr>
    </w:p>
    <w:p>
      <w:pPr>
        <w:ind w:left="652" w:right="300" w:hanging="652"/>
        <w:spacing w:after="0" w:line="263"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22"/>
          <w:szCs w:val="22"/>
          <w:color w:val="auto"/>
        </w:rPr>
        <w:t>The reference to “Matching Contributions” in Section 5.1 shall be replaced with “Matching Contributions and/or Special Contributions.”</w:t>
      </w:r>
    </w:p>
    <w:p>
      <w:pPr>
        <w:spacing w:after="0" w:line="174" w:lineRule="exact"/>
        <w:rPr>
          <w:rFonts w:ascii="Arial" w:cs="Arial" w:eastAsia="Arial" w:hAnsi="Arial"/>
          <w:sz w:val="18"/>
          <w:szCs w:val="18"/>
          <w:color w:val="auto"/>
        </w:rPr>
      </w:pPr>
    </w:p>
    <w:p>
      <w:pPr>
        <w:ind w:left="652" w:hanging="652"/>
        <w:spacing w:after="0"/>
        <w:tabs>
          <w:tab w:leader="none" w:pos="652" w:val="left"/>
        </w:tabs>
        <w:numPr>
          <w:ilvl w:val="0"/>
          <w:numId w:val="32"/>
        </w:numPr>
        <w:rPr>
          <w:rFonts w:ascii="Arial" w:cs="Arial" w:eastAsia="Arial" w:hAnsi="Arial"/>
          <w:sz w:val="18"/>
          <w:szCs w:val="18"/>
          <w:color w:val="auto"/>
        </w:rPr>
      </w:pPr>
      <w:r>
        <w:rPr>
          <w:rFonts w:ascii="Arial" w:cs="Arial" w:eastAsia="Arial" w:hAnsi="Arial"/>
          <w:sz w:val="22"/>
          <w:szCs w:val="22"/>
          <w:color w:val="auto"/>
        </w:rPr>
        <w:t>In all respects not amended, the Plan is hereby ratified and affirmed.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[SIGNATURE PAGE FOLLOWS]</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564" w:right="259" w:bottom="1440" w:gutter="0" w:footer="0" w:header="0"/>
        </w:sectPr>
      </w:pPr>
    </w:p>
    <w:bookmarkStart w:id="45" w:name="page46"/>
    <w:bookmarkEnd w:id="45"/>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has executed this Amendment as of the date indicated below.</w:t>
      </w:r>
    </w:p>
    <w:p>
      <w:pPr>
        <w:sectPr>
          <w:pgSz w:w="11900" w:h="16838" w:orient="portrait"/>
          <w:cols w:equalWidth="0" w:num="1">
            <w:col w:w="9559"/>
          </w:cols>
          <w:pgMar w:left="900" w:top="990"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ARAMARK SERVICES, INC.</w:t>
      </w:r>
    </w:p>
    <w:p>
      <w:pPr>
        <w:spacing w:after="0" w:line="200" w:lineRule="exact"/>
        <w:rPr>
          <w:sz w:val="20"/>
          <w:szCs w:val="20"/>
          <w:color w:val="auto"/>
        </w:rPr>
      </w:pPr>
    </w:p>
    <w:p>
      <w:pPr>
        <w:spacing w:after="0" w:line="242" w:lineRule="exact"/>
        <w:rPr>
          <w:sz w:val="20"/>
          <w:szCs w:val="20"/>
          <w:color w:val="auto"/>
        </w:rPr>
      </w:pPr>
    </w:p>
    <w:p>
      <w:pPr>
        <w:ind w:left="2580"/>
        <w:spacing w:after="0"/>
        <w:tabs>
          <w:tab w:leader="none" w:pos="3120" w:val="left"/>
        </w:tabs>
        <w:rPr>
          <w:sz w:val="20"/>
          <w:szCs w:val="20"/>
          <w:color w:val="auto"/>
        </w:rPr>
      </w:pPr>
      <w:r>
        <w:rPr>
          <w:rFonts w:ascii="Arial" w:cs="Arial" w:eastAsia="Arial" w:hAnsi="Arial"/>
          <w:sz w:val="22"/>
          <w:szCs w:val="22"/>
          <w:color w:val="auto"/>
        </w:rPr>
        <w:t>By:</w:t>
        <w:tab/>
        <w:t>/s/ Lynn B. McKee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-17780</wp:posOffset>
            </wp:positionV>
            <wp:extent cx="14560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21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Title: Executive Vice President, Human Resources</w:t>
      </w:r>
    </w:p>
    <w:p>
      <w:pPr>
        <w:spacing w:after="0" w:line="254" w:lineRule="exact"/>
        <w:rPr>
          <w:sz w:val="20"/>
          <w:szCs w:val="20"/>
          <w:color w:val="auto"/>
        </w:rPr>
      </w:pPr>
    </w:p>
    <w:p>
      <w:pPr>
        <w:ind w:left="2580"/>
        <w:spacing w:after="0"/>
        <w:tabs>
          <w:tab w:leader="none" w:pos="3280" w:val="left"/>
        </w:tabs>
        <w:rPr>
          <w:sz w:val="20"/>
          <w:szCs w:val="20"/>
          <w:color w:val="auto"/>
        </w:rPr>
      </w:pPr>
      <w:r>
        <w:rPr>
          <w:rFonts w:ascii="Arial" w:cs="Arial" w:eastAsia="Arial" w:hAnsi="Arial"/>
          <w:sz w:val="22"/>
          <w:szCs w:val="22"/>
          <w:color w:val="auto"/>
        </w:rPr>
        <w:t>Date:</w:t>
        <w:tab/>
        <w:t>11/25/2019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-17780</wp:posOffset>
            </wp:positionV>
            <wp:extent cx="1306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06195" cy="8890"/>
                    </a:xfrm>
                    <a:prstGeom prst="rect">
                      <a:avLst/>
                    </a:prstGeom>
                    <a:noFill/>
                  </pic:spPr>
                </pic:pic>
              </a:graphicData>
            </a:graphic>
          </wp:anchor>
        </w:drawing>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559"/>
          </w:cols>
          <w:pgMar w:left="900" w:top="990" w:right="1440"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90"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December 27, 2019;</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71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December 27, 2019;</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53"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7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In connection with the Quarterly Report of Aramark (the “Company”) on Form 10-Q for the fiscal quarter ended December 27, 2019,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4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87" w:lineRule="exact"/>
        <w:rPr>
          <w:rFonts w:ascii="Arial" w:cs="Arial" w:eastAsia="Arial" w:hAnsi="Arial"/>
          <w:sz w:val="18"/>
          <w:szCs w:val="18"/>
          <w:color w:val="auto"/>
        </w:rPr>
      </w:pPr>
    </w:p>
    <w:p>
      <w:pPr>
        <w:ind w:right="320" w:firstLine="332"/>
        <w:spacing w:after="0" w:line="716"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4, 2020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John J. Zillmer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Thomas G. Ondrof</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amp;"/>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3"/>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01"/>
    </w:lvl>
  </w:abstractNum>
  <w:abstractNum w:abstractNumId="23">
    <w:nsid w:val="3A95F874"/>
    <w:multiLevelType w:val="hybridMultilevel"/>
    <w:lvl w:ilvl="0">
      <w:lvlJc w:val="left"/>
      <w:lvlText w:val="*"/>
      <w:numFmt w:val="bullet"/>
      <w:start w:val="1"/>
    </w:lvl>
    <w:lvl w:ilvl="1">
      <w:lvlJc w:val="left"/>
      <w:lvlText w:val="%2"/>
      <w:numFmt w:val="decimal"/>
      <w:start w:val="104"/>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Roman"/>
      <w:start w:val="1"/>
    </w:lvl>
  </w:abstractNum>
  <w:abstractNum w:abstractNumId="27">
    <w:nsid w:val="737B8DDC"/>
    <w:multiLevelType w:val="hybridMultilevel"/>
    <w:lvl w:ilvl="0">
      <w:lvlJc w:val="left"/>
      <w:lvlText w:val="(%1)"/>
      <w:numFmt w:val="lowerRoman"/>
      <w:start w:val="3"/>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2"/>
    </w:lvl>
  </w:abstractNum>
  <w:abstractNum w:abstractNumId="31">
    <w:nsid w:val="3006C83E"/>
    <w:multiLevelType w:val="hybridMultilevel"/>
    <w:lvl w:ilvl="0">
      <w:lvlJc w:val="left"/>
      <w:lvlText w:val="%1."/>
      <w:numFmt w:val="decimal"/>
      <w:start w:val="4"/>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25" Type="http://schemas.openxmlformats.org/officeDocument/2006/relationships/hyperlink" Target="http://www.sec.gov/Archives/edgar/data/1584509/000158450920000014/secondamendedandrestat.htm" TargetMode="External"/><Relationship Id="rId26" Type="http://schemas.openxmlformats.org/officeDocument/2006/relationships/hyperlink" Target="http://www.sec.gov/Archives/edgar/data/1584509/000158450920000012/a8kexhibit.htm" TargetMode="External"/><Relationship Id="rId27" Type="http://schemas.openxmlformats.org/officeDocument/2006/relationships/hyperlink" Target="http://www.sec.gov/Archives/edgar/data/1584509/000119312519320893/d754382ddef14a.htm#toc754382_28" TargetMode="External"/><Relationship Id="rId28" Type="http://schemas.openxmlformats.org/officeDocument/2006/relationships/hyperlink" Target="http://www.sec.gov/Archives/edgar/data/1584509/000119312520001803/d831164dex101.htm" TargetMode="External"/><Relationship Id="rId29" Type="http://schemas.openxmlformats.org/officeDocument/2006/relationships/hyperlink" Target="http://www.sec.gov/Archives/edgar/data/1584509/000119312520001803/d831164dex102.htm" TargetMode="External"/><Relationship Id="rId30" Type="http://schemas.openxmlformats.org/officeDocument/2006/relationships/hyperlink" Target="http://www.sec.gov/Archives/edgar/data/1584509/000119312520001803/d83116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2020-02-04T16:22:49Z</dcterms:created>
  <dcterms:modified xsi:type="dcterms:W3CDTF">2020-02-04T16:22:49Z</dcterms:modified>
</cp:coreProperties>
</file>