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60"/>
        <w:jc w:val="left"/>
        <w:rPr/>
      </w:pPr>
      <w:r>
        <w:rPr/>
      </w:r>
    </w:p>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SECURITIES AND EXCHANGE COMMISSION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0" w:after="60"/>
        <w:jc w:val="center"/>
        <w:rPr/>
      </w:pPr>
      <w:r>
        <w:rPr>
          <w:rFonts w:ascii="Wingdings;sans-serif" w:hAnsi="Wingdings;sans-serif"/>
          <w:b w:val="false"/>
          <w:color w:val="000000"/>
          <w:sz w:val="20"/>
        </w:rPr>
        <w:t>x</w:t>
      </w: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60" w:after="60"/>
        <w:ind w:left="0" w:right="0" w:hanging="45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60" w:after="60"/>
        <w:jc w:val="center"/>
        <w:rPr/>
      </w:pPr>
      <w:r>
        <w:rPr>
          <w:rFonts w:ascii="Wingdings;sans-serif" w:hAnsi="Wingdings;sans-serif"/>
          <w:b w:val="false"/>
          <w:color w:val="000000"/>
          <w:sz w:val="20"/>
        </w:rPr>
        <w:t>o</w:t>
      </w: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September 29, 2023 Commission File Number: 001-36223 </w:t>
      </w:r>
    </w:p>
    <w:p>
      <w:pPr>
        <w:pStyle w:val="TextBody"/>
        <w:bidi w:val="0"/>
        <w:spacing w:before="60" w:after="60"/>
        <w:jc w:val="center"/>
        <w:rPr/>
      </w:pPr>
      <w:r>
        <w:rPr/>
      </w:r>
    </w:p>
    <w:p>
      <w:pPr>
        <w:pStyle w:val="TextBody"/>
        <w:bidi w:val="0"/>
        <w:spacing w:before="60" w:after="60"/>
        <w:jc w:val="center"/>
        <w:rPr/>
      </w:pPr>
      <w:r>
        <w:rPr/>
        <w:drawing>
          <wp:inline distT="0" distB="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p>
    <w:tbl>
      <w:tblPr>
        <w:tblW w:w="4617" w:type="dxa"/>
        <w:jc w:val="center"/>
        <w:tblInd w:w="0" w:type="dxa"/>
        <w:tblLayout w:type="fixed"/>
        <w:tblCellMar>
          <w:top w:w="28" w:type="dxa"/>
          <w:left w:w="28" w:type="dxa"/>
          <w:bottom w:w="28" w:type="dxa"/>
          <w:right w:w="28" w:type="dxa"/>
        </w:tblCellMar>
      </w:tblPr>
      <w:tblGrid>
        <w:gridCol w:w="520"/>
        <w:gridCol w:w="455"/>
        <w:gridCol w:w="455"/>
        <w:gridCol w:w="477"/>
        <w:gridCol w:w="477"/>
        <w:gridCol w:w="478"/>
        <w:gridCol w:w="511"/>
        <w:gridCol w:w="511"/>
        <w:gridCol w:w="733"/>
      </w:tblGrid>
      <w:tr>
        <w:trPr/>
        <w:tc>
          <w:tcPr>
            <w:tcW w:w="5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Aramark</w:t>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20-8236097</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2400 Market Street</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19103</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Philadelphia,</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Pennsylvania</w:t>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(215) 238-3000 </w:t>
      </w:r>
    </w:p>
    <w:p>
      <w:pPr>
        <w:pStyle w:val="TextBody"/>
        <w:bidi w:val="0"/>
        <w:spacing w:lineRule="auto" w:line="288" w:before="6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254" w:type="dxa"/>
        <w:jc w:val="center"/>
        <w:tblInd w:w="0" w:type="dxa"/>
        <w:tblLayout w:type="fixed"/>
        <w:tblCellMar>
          <w:top w:w="28" w:type="dxa"/>
          <w:left w:w="28" w:type="dxa"/>
          <w:bottom w:w="28" w:type="dxa"/>
          <w:right w:w="28" w:type="dxa"/>
        </w:tblCellMar>
      </w:tblPr>
      <w:tblGrid>
        <w:gridCol w:w="534"/>
        <w:gridCol w:w="468"/>
        <w:gridCol w:w="468"/>
        <w:gridCol w:w="710"/>
        <w:gridCol w:w="710"/>
        <w:gridCol w:w="710"/>
        <w:gridCol w:w="564"/>
        <w:gridCol w:w="564"/>
        <w:gridCol w:w="566"/>
        <w:gridCol w:w="1157"/>
        <w:gridCol w:w="1157"/>
        <w:gridCol w:w="1646"/>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6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bidi w:val="0"/>
        <w:spacing w:lineRule="auto" w:line="288" w:before="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15(d) of the Act.</w:t>
      </w:r>
    </w:p>
    <w:p>
      <w:pPr>
        <w:pStyle w:val="TextBody"/>
        <w:bidi w:val="0"/>
        <w:spacing w:lineRule="auto" w:line="288" w:before="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544"/>
        <w:gridCol w:w="478"/>
        <w:gridCol w:w="480"/>
        <w:gridCol w:w="109"/>
        <w:gridCol w:w="109"/>
        <w:gridCol w:w="109"/>
        <w:gridCol w:w="480"/>
        <w:gridCol w:w="480"/>
        <w:gridCol w:w="481"/>
        <w:gridCol w:w="109"/>
        <w:gridCol w:w="109"/>
        <w:gridCol w:w="109"/>
        <w:gridCol w:w="540"/>
        <w:gridCol w:w="540"/>
        <w:gridCol w:w="542"/>
        <w:gridCol w:w="109"/>
        <w:gridCol w:w="109"/>
        <w:gridCol w:w="109"/>
        <w:gridCol w:w="770"/>
        <w:gridCol w:w="770"/>
        <w:gridCol w:w="771"/>
        <w:gridCol w:w="109"/>
        <w:gridCol w:w="109"/>
        <w:gridCol w:w="109"/>
        <w:gridCol w:w="548"/>
        <w:gridCol w:w="548"/>
        <w:gridCol w:w="550"/>
        <w:gridCol w:w="109"/>
        <w:gridCol w:w="109"/>
        <w:gridCol w:w="157"/>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pStyle w:val="TextBody"/>
        <w:bidi w:val="0"/>
        <w:spacing w:lineRule="auto" w:line="288" w:before="0" w:after="60"/>
        <w:ind w:left="0" w:right="0" w:firstLine="45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60"/>
        <w:ind w:left="0" w:right="0" w:firstLine="450"/>
        <w:jc w:val="left"/>
        <w:rPr/>
      </w:pPr>
      <w:r>
        <w:rPr>
          <w:rFonts w:ascii="Times New Roman;sans-serif" w:hAnsi="Times New Roman;sans-serif"/>
          <w:b w:val="false"/>
          <w:color w:val="000000"/>
          <w:sz w:val="20"/>
        </w:rPr>
        <w:t>If securities are registered pursuant to Section 12(b) of the Act, indicate by checkmark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r>
        <w:rPr>
          <w:color w:val="000000"/>
        </w:rPr>
        <w:t>  </w:t>
      </w:r>
    </w:p>
    <w:p>
      <w:pPr>
        <w:pStyle w:val="TextBody"/>
        <w:bidi w:val="0"/>
        <w:spacing w:lineRule="auto" w:line="288" w:before="0" w:after="60"/>
        <w:ind w:left="0" w:right="0" w:firstLine="450"/>
        <w:jc w:val="left"/>
        <w:rPr/>
      </w:pPr>
      <w:r>
        <w:rPr>
          <w:rFonts w:ascii="Times New Roman;sans-serif" w:hAnsi="Times New Roman;sans-serif"/>
          <w:b w:val="false"/>
          <w:color w:val="000000"/>
          <w:sz w:val="20"/>
        </w:rPr>
        <w:t>Indicate by check mark whether any of those error corrections are restatements that require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r>
        <w:rPr>
          <w:color w:val="000000"/>
        </w:rPr>
        <w:t>  </w:t>
      </w:r>
    </w:p>
    <w:p>
      <w:pPr>
        <w:pStyle w:val="TextBody"/>
        <w:bidi w:val="0"/>
        <w:spacing w:lineRule="auto" w:line="288" w:before="0" w:after="60"/>
        <w:ind w:left="0" w:right="0" w:firstLine="45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4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aggregate market value of the common stock of the registrant held by non-affiliates of the registrant was approximately $9,449.8 million.</w:t>
      </w:r>
    </w:p>
    <w:p>
      <w:pPr>
        <w:pStyle w:val="TextBody"/>
        <w:bidi w:val="0"/>
        <w:spacing w:lineRule="auto" w:line="288" w:before="4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27, 2023, the number of shares of the registrant's common stock outstanding is 261,508,489.</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40" w:after="6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definitive proxy statement to be filed with the Securities and Exchange Commission pursuant to Regulation 14A relating to the registrant's 2024 Annual Meeting of Stockholders, to be held on January 30, 2024, will be incorporated by reference in this Form 10-K in response to portions of Part III. The definitive proxy statement will be filed with the Securities and Exchange Commission not later than 120 days after the registrant's fiscal year ended September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tbl>
      <w:tblPr>
        <w:tblW w:w="10205" w:type="dxa"/>
        <w:jc w:val="center"/>
        <w:tblInd w:w="0" w:type="dxa"/>
        <w:tblLayout w:type="fixed"/>
        <w:tblCellMar>
          <w:top w:w="28" w:type="dxa"/>
          <w:left w:w="28" w:type="dxa"/>
          <w:bottom w:w="28" w:type="dxa"/>
          <w:right w:w="28" w:type="dxa"/>
        </w:tblCellMar>
      </w:tblPr>
      <w:tblGrid>
        <w:gridCol w:w="302"/>
        <w:gridCol w:w="264"/>
        <w:gridCol w:w="251"/>
        <w:gridCol w:w="258"/>
        <w:gridCol w:w="243"/>
        <w:gridCol w:w="242"/>
        <w:gridCol w:w="2663"/>
        <w:gridCol w:w="2617"/>
        <w:gridCol w:w="2623"/>
        <w:gridCol w:w="222"/>
        <w:gridCol w:w="209"/>
        <w:gridCol w:w="311"/>
      </w:tblGrid>
      <w:tr>
        <w:trPr/>
        <w:tc>
          <w:tcPr>
            <w:tcW w:w="3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
              <w:r>
                <w:rPr>
                  <w:rStyle w:val="InternetLink"/>
                  <w:rFonts w:ascii="Times New Roman;sans-serif" w:hAnsi="Times New Roman;sans-serif"/>
                  <w:b w:val="false"/>
                  <w:color w:val="0000FF"/>
                  <w:sz w:val="20"/>
                  <w:u w:val="single"/>
                </w:rPr>
                <w:t>PART I</w:t>
              </w:r>
            </w:hyperlink>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221248fc5fb4b43a889cc3dabb8d38a_16">
              <w:r>
                <w:rPr>
                  <w:rStyle w:val="InternetLink"/>
                  <w:rFonts w:ascii="Times New Roman;sans-serif" w:hAnsi="Times New Roman;sans-serif"/>
                  <w:b w:val="false"/>
                  <w:color w:val="0000FF"/>
                  <w:sz w:val="20"/>
                  <w:u w:val="single"/>
                </w:rPr>
                <w:t>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6">
              <w:r>
                <w:rPr>
                  <w:rStyle w:val="InternetLink"/>
                  <w:rFonts w:ascii="Times New Roman;sans-serif" w:hAnsi="Times New Roman;sans-serif"/>
                  <w:b w:val="false"/>
                  <w:color w:val="0000FF"/>
                  <w:sz w:val="20"/>
                  <w:u w:val="single"/>
                </w:rPr>
                <w:t>Item 1.</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0221248fc5fb4b43a889cc3dabb8d38a_16">
              <w:r>
                <w:rPr>
                  <w:rStyle w:val="InternetLink"/>
                  <w:rFonts w:ascii="Times New Roman;sans-serif" w:hAnsi="Times New Roman;sans-serif"/>
                  <w:b w:val="false"/>
                  <w:color w:val="0000FF"/>
                  <w:sz w:val="20"/>
                  <w:u w:val="single"/>
                </w:rPr>
                <w:t>Business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6">
              <w:r>
                <w:rPr>
                  <w:rStyle w:val="InternetLink"/>
                  <w:rFonts w:ascii="Times New Roman;sans-serif" w:hAnsi="Times New Roman;sans-serif"/>
                  <w:b w:val="false"/>
                  <w:color w:val="0000FF"/>
                  <w:sz w:val="20"/>
                  <w:u w:val="single"/>
                </w:rPr>
                <w:t>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9">
              <w:r>
                <w:rPr>
                  <w:rStyle w:val="InternetLink"/>
                  <w:rFonts w:ascii="Times New Roman;sans-serif" w:hAnsi="Times New Roman;sans-serif"/>
                  <w:b w:val="false"/>
                  <w:color w:val="0000FF"/>
                  <w:sz w:val="20"/>
                  <w:u w:val="single"/>
                </w:rPr>
                <w:t>Item 1A.</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9">
              <w:r>
                <w:rPr>
                  <w:rStyle w:val="InternetLink"/>
                  <w:rFonts w:ascii="Times New Roman;sans-serif" w:hAnsi="Times New Roman;sans-serif"/>
                  <w:b w:val="false"/>
                  <w:color w:val="0000FF"/>
                  <w:sz w:val="20"/>
                  <w:u w:val="single"/>
                </w:rPr>
                <w:t>Risk Factors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9">
              <w:r>
                <w:rPr>
                  <w:rStyle w:val="InternetLink"/>
                  <w:rFonts w:ascii="Times New Roman;sans-serif" w:hAnsi="Times New Roman;sans-serif"/>
                  <w:b w:val="false"/>
                  <w:color w:val="0000FF"/>
                  <w:sz w:val="20"/>
                  <w:u w:val="single"/>
                </w:rPr>
                <w:t>9</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22">
              <w:r>
                <w:rPr>
                  <w:rStyle w:val="InternetLink"/>
                  <w:rFonts w:ascii="Times New Roman;sans-serif" w:hAnsi="Times New Roman;sans-serif"/>
                  <w:b w:val="false"/>
                  <w:color w:val="0000FF"/>
                  <w:sz w:val="20"/>
                  <w:u w:val="single"/>
                </w:rPr>
                <w:t>Item 1B.</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22">
              <w:r>
                <w:rPr>
                  <w:rStyle w:val="InternetLink"/>
                  <w:rFonts w:ascii="Times New Roman;sans-serif" w:hAnsi="Times New Roman;sans-serif"/>
                  <w:b w:val="false"/>
                  <w:color w:val="0000FF"/>
                  <w:sz w:val="20"/>
                  <w:u w:val="single"/>
                </w:rPr>
                <w:t>Unresolved Staff Comments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22">
              <w:r>
                <w:rPr>
                  <w:rStyle w:val="InternetLink"/>
                  <w:rFonts w:ascii="Times New Roman;sans-serif" w:hAnsi="Times New Roman;sans-serif"/>
                  <w:b w:val="false"/>
                  <w:color w:val="0000FF"/>
                  <w:sz w:val="20"/>
                  <w:u w:val="single"/>
                </w:rPr>
                <w:t>21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99511629351">
              <w:r>
                <w:rPr>
                  <w:rStyle w:val="InternetLink"/>
                  <w:rFonts w:ascii="Times New Roman;sans-serif" w:hAnsi="Times New Roman;sans-serif"/>
                  <w:b w:val="false"/>
                  <w:color w:val="0000FF"/>
                  <w:sz w:val="20"/>
                  <w:u w:val="single"/>
                </w:rPr>
                <w:t>Item 1C.</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99511629351">
              <w:r>
                <w:rPr>
                  <w:rStyle w:val="InternetLink"/>
                  <w:rFonts w:ascii="Times New Roman;sans-serif" w:hAnsi="Times New Roman;sans-serif"/>
                  <w:b w:val="false"/>
                  <w:color w:val="0000FF"/>
                  <w:sz w:val="20"/>
                  <w:u w:val="single"/>
                </w:rPr>
                <w:t>Cybersecurity</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099511629351">
              <w:r>
                <w:rPr>
                  <w:rStyle w:val="InternetLink"/>
                  <w:rFonts w:ascii="Times New Roman;sans-serif" w:hAnsi="Times New Roman;sans-serif"/>
                  <w:b w:val="false"/>
                  <w:color w:val="0000FF"/>
                  <w:sz w:val="20"/>
                  <w:u w:val="single"/>
                </w:rPr>
                <w:t>21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25">
              <w:r>
                <w:rPr>
                  <w:rStyle w:val="InternetLink"/>
                  <w:rFonts w:ascii="Times New Roman;sans-serif" w:hAnsi="Times New Roman;sans-serif"/>
                  <w:b w:val="false"/>
                  <w:color w:val="0000FF"/>
                  <w:sz w:val="20"/>
                  <w:u w:val="single"/>
                </w:rPr>
                <w:t>Item 2.</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25">
              <w:r>
                <w:rPr>
                  <w:rStyle w:val="InternetLink"/>
                  <w:rFonts w:ascii="Times New Roman;sans-serif" w:hAnsi="Times New Roman;sans-serif"/>
                  <w:b w:val="false"/>
                  <w:color w:val="0000FF"/>
                  <w:sz w:val="20"/>
                  <w:u w:val="single"/>
                </w:rPr>
                <w:t>Properties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25">
              <w:r>
                <w:rPr>
                  <w:rStyle w:val="InternetLink"/>
                  <w:rFonts w:ascii="Times New Roman;sans-serif" w:hAnsi="Times New Roman;sans-serif"/>
                  <w:b w:val="false"/>
                  <w:color w:val="0000FF"/>
                  <w:sz w:val="20"/>
                  <w:u w:val="single"/>
                </w:rPr>
                <w:t>21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28">
              <w:r>
                <w:rPr>
                  <w:rStyle w:val="InternetLink"/>
                  <w:rFonts w:ascii="Times New Roman;sans-serif" w:hAnsi="Times New Roman;sans-serif"/>
                  <w:b w:val="false"/>
                  <w:color w:val="0000FF"/>
                  <w:sz w:val="20"/>
                  <w:u w:val="single"/>
                </w:rPr>
                <w:t>Item 3.</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28">
              <w:r>
                <w:rPr>
                  <w:rStyle w:val="InternetLink"/>
                  <w:rFonts w:ascii="Times New Roman;sans-serif" w:hAnsi="Times New Roman;sans-serif"/>
                  <w:b w:val="false"/>
                  <w:color w:val="0000FF"/>
                  <w:sz w:val="20"/>
                  <w:u w:val="single"/>
                </w:rPr>
                <w:t>Legal Proceedings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28">
              <w:r>
                <w:rPr>
                  <w:rStyle w:val="InternetLink"/>
                  <w:rFonts w:ascii="Times New Roman;sans-serif" w:hAnsi="Times New Roman;sans-serif"/>
                  <w:b w:val="false"/>
                  <w:color w:val="0000FF"/>
                  <w:sz w:val="20"/>
                  <w:u w:val="single"/>
                </w:rPr>
                <w:t>22</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31">
              <w:r>
                <w:rPr>
                  <w:rStyle w:val="InternetLink"/>
                  <w:rFonts w:ascii="Times New Roman;sans-serif" w:hAnsi="Times New Roman;sans-serif"/>
                  <w:b w:val="false"/>
                  <w:color w:val="0000FF"/>
                  <w:sz w:val="20"/>
                  <w:u w:val="single"/>
                </w:rPr>
                <w:t>Item 4.</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31">
              <w:r>
                <w:rPr>
                  <w:rStyle w:val="InternetLink"/>
                  <w:rFonts w:ascii="Times New Roman;sans-serif" w:hAnsi="Times New Roman;sans-serif"/>
                  <w:b w:val="false"/>
                  <w:color w:val="0000FF"/>
                  <w:sz w:val="20"/>
                  <w:u w:val="single"/>
                </w:rPr>
                <w:t>Mine Safety Disclosures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31">
              <w:r>
                <w:rPr>
                  <w:rStyle w:val="InternetLink"/>
                  <w:rFonts w:ascii="Times New Roman;sans-serif" w:hAnsi="Times New Roman;sans-serif"/>
                  <w:b w:val="false"/>
                  <w:color w:val="0000FF"/>
                  <w:sz w:val="20"/>
                  <w:u w:val="single"/>
                </w:rPr>
                <w:t>22</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34">
              <w:r>
                <w:rPr>
                  <w:rStyle w:val="InternetLink"/>
                  <w:rFonts w:ascii="Times New Roman;sans-serif" w:hAnsi="Times New Roman;sans-serif"/>
                  <w:b w:val="false"/>
                  <w:color w:val="0000FF"/>
                  <w:sz w:val="20"/>
                  <w:u w:val="single"/>
                </w:rPr>
                <w:t>PART II</w:t>
              </w:r>
            </w:hyperlink>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34">
              <w:r>
                <w:rPr>
                  <w:rStyle w:val="InternetLink"/>
                  <w:rFonts w:ascii="Times New Roman;sans-serif" w:hAnsi="Times New Roman;sans-serif"/>
                  <w:b w:val="false"/>
                  <w:color w:val="0000FF"/>
                  <w:sz w:val="20"/>
                  <w:u w:val="single"/>
                </w:rPr>
                <w:t>24</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37">
              <w:r>
                <w:rPr>
                  <w:rStyle w:val="InternetLink"/>
                  <w:rFonts w:ascii="Times New Roman;sans-serif" w:hAnsi="Times New Roman;sans-serif"/>
                  <w:b w:val="false"/>
                  <w:color w:val="0000FF"/>
                  <w:sz w:val="20"/>
                  <w:u w:val="single"/>
                </w:rPr>
                <w:t>Item 5.</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37">
              <w:r>
                <w:rPr>
                  <w:rStyle w:val="InternetLink"/>
                  <w:rFonts w:ascii="Times New Roman;sans-serif" w:hAnsi="Times New Roman;sans-serif"/>
                  <w:b w:val="false"/>
                  <w:color w:val="0000FF"/>
                  <w:sz w:val="20"/>
                  <w:u w:val="single"/>
                </w:rPr>
                <w:t>24</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40">
              <w:r>
                <w:rPr>
                  <w:rStyle w:val="InternetLink"/>
                  <w:rFonts w:ascii="Times New Roman;sans-serif" w:hAnsi="Times New Roman;sans-serif"/>
                  <w:b w:val="false"/>
                  <w:color w:val="0000FF"/>
                  <w:sz w:val="20"/>
                  <w:u w:val="single"/>
                </w:rPr>
                <w:t>Item 6.</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40">
              <w:r>
                <w:rPr>
                  <w:rStyle w:val="InternetLink"/>
                  <w:rFonts w:ascii="Times New Roman;sans-serif" w:hAnsi="Times New Roman;sans-serif"/>
                  <w:b w:val="false"/>
                  <w:color w:val="0000FF"/>
                  <w:sz w:val="20"/>
                  <w:u w:val="single"/>
                </w:rPr>
                <w:t>[Reserved]</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40">
              <w:r>
                <w:rPr>
                  <w:rStyle w:val="InternetLink"/>
                  <w:rFonts w:ascii="Times New Roman;sans-serif" w:hAnsi="Times New Roman;sans-serif"/>
                  <w:b w:val="false"/>
                  <w:color w:val="0000FF"/>
                  <w:sz w:val="20"/>
                  <w:u w:val="single"/>
                </w:rPr>
                <w:t>24</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43">
              <w:r>
                <w:rPr>
                  <w:rStyle w:val="InternetLink"/>
                  <w:rFonts w:ascii="Times New Roman;sans-serif" w:hAnsi="Times New Roman;sans-serif"/>
                  <w:b w:val="false"/>
                  <w:color w:val="0000FF"/>
                  <w:sz w:val="20"/>
                  <w:u w:val="single"/>
                </w:rPr>
                <w:t>Item 7.</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43">
              <w:r>
                <w:rPr>
                  <w:rStyle w:val="InternetLink"/>
                  <w:rFonts w:ascii="Times New Roman;sans-serif" w:hAnsi="Times New Roman;sans-serif"/>
                  <w:b w:val="false"/>
                  <w:color w:val="0000FF"/>
                  <w:sz w:val="20"/>
                  <w:u w:val="single"/>
                </w:rPr>
                <w:t>25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61">
              <w:r>
                <w:rPr>
                  <w:rStyle w:val="InternetLink"/>
                  <w:rFonts w:ascii="Times New Roman;sans-serif" w:hAnsi="Times New Roman;sans-serif"/>
                  <w:b w:val="false"/>
                  <w:color w:val="0000FF"/>
                  <w:sz w:val="20"/>
                  <w:u w:val="single"/>
                </w:rPr>
                <w:t>Item 7A.</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61">
              <w:r>
                <w:rPr>
                  <w:rStyle w:val="InternetLink"/>
                  <w:rFonts w:ascii="Times New Roman;sans-serif" w:hAnsi="Times New Roman;sans-serif"/>
                  <w:b w:val="false"/>
                  <w:color w:val="0000FF"/>
                  <w:sz w:val="20"/>
                  <w:u w:val="single"/>
                </w:rPr>
                <w:t>Quantitative and Qualitative Disclosures About Market Risk</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61">
              <w:r>
                <w:rPr>
                  <w:rStyle w:val="InternetLink"/>
                  <w:rFonts w:ascii="Times New Roman;sans-serif" w:hAnsi="Times New Roman;sans-serif"/>
                  <w:b w:val="false"/>
                  <w:color w:val="0000FF"/>
                  <w:sz w:val="20"/>
                  <w:u w:val="single"/>
                </w:rPr>
                <w:t>41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64">
              <w:r>
                <w:rPr>
                  <w:rStyle w:val="InternetLink"/>
                  <w:rFonts w:ascii="Times New Roman;sans-serif" w:hAnsi="Times New Roman;sans-serif"/>
                  <w:b w:val="false"/>
                  <w:color w:val="0000FF"/>
                  <w:sz w:val="20"/>
                  <w:u w:val="single"/>
                </w:rPr>
                <w:t>Item 8.</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64">
              <w:r>
                <w:rPr>
                  <w:rStyle w:val="InternetLink"/>
                  <w:rFonts w:ascii="Times New Roman;sans-serif" w:hAnsi="Times New Roman;sans-serif"/>
                  <w:b w:val="false"/>
                  <w:color w:val="0000FF"/>
                  <w:sz w:val="20"/>
                  <w:u w:val="single"/>
                </w:rPr>
                <w:t>Financial Statements and Supplementary Data</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64">
              <w:r>
                <w:rPr>
                  <w:rStyle w:val="InternetLink"/>
                  <w:rFonts w:ascii="Times New Roman;sans-serif" w:hAnsi="Times New Roman;sans-serif"/>
                  <w:b w:val="false"/>
                  <w:color w:val="0000FF"/>
                  <w:sz w:val="20"/>
                  <w:u w:val="single"/>
                </w:rPr>
                <w:t>41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67">
              <w:r>
                <w:rPr>
                  <w:rStyle w:val="InternetLink"/>
                  <w:rFonts w:ascii="Times New Roman;sans-serif" w:hAnsi="Times New Roman;sans-serif"/>
                  <w:b w:val="false"/>
                  <w:color w:val="0000FF"/>
                  <w:sz w:val="20"/>
                  <w:u w:val="single"/>
                </w:rPr>
                <w:t>Item 9.</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6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67">
              <w:r>
                <w:rPr>
                  <w:rStyle w:val="InternetLink"/>
                  <w:rFonts w:ascii="Times New Roman;sans-serif" w:hAnsi="Times New Roman;sans-serif"/>
                  <w:b w:val="false"/>
                  <w:color w:val="0000FF"/>
                  <w:sz w:val="20"/>
                  <w:u w:val="single"/>
                </w:rPr>
                <w:t>41</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0">
              <w:r>
                <w:rPr>
                  <w:rStyle w:val="InternetLink"/>
                  <w:rFonts w:ascii="Times New Roman;sans-serif" w:hAnsi="Times New Roman;sans-serif"/>
                  <w:b w:val="false"/>
                  <w:color w:val="0000FF"/>
                  <w:sz w:val="20"/>
                  <w:u w:val="single"/>
                </w:rPr>
                <w:t>Item 9A.</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0">
              <w:r>
                <w:rPr>
                  <w:rStyle w:val="InternetLink"/>
                  <w:rFonts w:ascii="Times New Roman;sans-serif" w:hAnsi="Times New Roman;sans-serif"/>
                  <w:b w:val="false"/>
                  <w:color w:val="0000FF"/>
                  <w:sz w:val="20"/>
                  <w:u w:val="single"/>
                </w:rPr>
                <w:t>Controls and Procedures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70">
              <w:r>
                <w:rPr>
                  <w:rStyle w:val="InternetLink"/>
                  <w:rFonts w:ascii="Times New Roman;sans-serif" w:hAnsi="Times New Roman;sans-serif"/>
                  <w:b w:val="false"/>
                  <w:color w:val="0000FF"/>
                  <w:sz w:val="20"/>
                  <w:u w:val="single"/>
                </w:rPr>
                <w:t>42</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3">
              <w:r>
                <w:rPr>
                  <w:rStyle w:val="InternetLink"/>
                  <w:rFonts w:ascii="Times New Roman;sans-serif" w:hAnsi="Times New Roman;sans-serif"/>
                  <w:b w:val="false"/>
                  <w:color w:val="0000FF"/>
                  <w:sz w:val="20"/>
                  <w:u w:val="single"/>
                </w:rPr>
                <w:t>Item 9B.</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3">
              <w:r>
                <w:rPr>
                  <w:rStyle w:val="InternetLink"/>
                  <w:rFonts w:ascii="Times New Roman;sans-serif" w:hAnsi="Times New Roman;sans-serif"/>
                  <w:b w:val="false"/>
                  <w:color w:val="0000FF"/>
                  <w:sz w:val="20"/>
                  <w:u w:val="single"/>
                </w:rPr>
                <w:t>Other Information</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73">
              <w:r>
                <w:rPr>
                  <w:rStyle w:val="InternetLink"/>
                  <w:rFonts w:ascii="Times New Roman;sans-serif" w:hAnsi="Times New Roman;sans-serif"/>
                  <w:b w:val="false"/>
                  <w:color w:val="0000FF"/>
                  <w:sz w:val="20"/>
                  <w:u w:val="single"/>
                </w:rPr>
                <w:t>44</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6">
              <w:r>
                <w:rPr>
                  <w:rStyle w:val="InternetLink"/>
                  <w:rFonts w:ascii="Times New Roman;sans-serif" w:hAnsi="Times New Roman;sans-serif"/>
                  <w:b w:val="false"/>
                  <w:color w:val="0000FF"/>
                  <w:sz w:val="20"/>
                  <w:u w:val="single"/>
                </w:rPr>
                <w:t>Item 9C.</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6">
              <w:r>
                <w:rPr>
                  <w:rStyle w:val="InternetLink"/>
                  <w:rFonts w:ascii="Times New Roman;sans-serif" w:hAnsi="Times New Roman;sans-serif"/>
                  <w:b w:val="false"/>
                  <w:color w:val="0000FF"/>
                  <w:sz w:val="20"/>
                  <w:u w:val="single"/>
                </w:rPr>
                <w:t>Disclosure Regarding Foreign Jurisdictions that Prevent Inspections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76">
              <w:r>
                <w:rPr>
                  <w:rStyle w:val="InternetLink"/>
                  <w:rFonts w:ascii="Times New Roman;sans-serif" w:hAnsi="Times New Roman;sans-serif"/>
                  <w:b w:val="false"/>
                  <w:color w:val="0000FF"/>
                  <w:sz w:val="20"/>
                  <w:u w:val="single"/>
                </w:rPr>
                <w:t>44</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79">
              <w:r>
                <w:rPr>
                  <w:rStyle w:val="InternetLink"/>
                  <w:rFonts w:ascii="Times New Roman;sans-serif" w:hAnsi="Times New Roman;sans-serif"/>
                  <w:b w:val="false"/>
                  <w:color w:val="0000FF"/>
                  <w:sz w:val="20"/>
                  <w:u w:val="single"/>
                </w:rPr>
                <w:t>PART III</w:t>
              </w:r>
            </w:hyperlink>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79">
              <w:r>
                <w:rPr>
                  <w:rStyle w:val="InternetLink"/>
                  <w:rFonts w:ascii="Times New Roman;sans-serif" w:hAnsi="Times New Roman;sans-serif"/>
                  <w:b w:val="false"/>
                  <w:color w:val="0000FF"/>
                  <w:sz w:val="20"/>
                  <w:u w:val="single"/>
                </w:rPr>
                <w:t>45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82">
              <w:r>
                <w:rPr>
                  <w:rStyle w:val="InternetLink"/>
                  <w:rFonts w:ascii="Times New Roman;sans-serif" w:hAnsi="Times New Roman;sans-serif"/>
                  <w:b w:val="false"/>
                  <w:color w:val="0000FF"/>
                  <w:sz w:val="20"/>
                  <w:u w:val="single"/>
                </w:rPr>
                <w:t>Item 10.</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82">
              <w:r>
                <w:rPr>
                  <w:rStyle w:val="InternetLink"/>
                  <w:rFonts w:ascii="Times New Roman;sans-serif" w:hAnsi="Times New Roman;sans-serif"/>
                  <w:b w:val="false"/>
                  <w:color w:val="0000FF"/>
                  <w:sz w:val="20"/>
                  <w:u w:val="single"/>
                </w:rPr>
                <w:t>Directors, Executive Officers and Corporate Governance</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79">
              <w:r>
                <w:rPr>
                  <w:rStyle w:val="InternetLink"/>
                  <w:rFonts w:ascii="Times New Roman;sans-serif" w:hAnsi="Times New Roman;sans-serif"/>
                  <w:b w:val="false"/>
                  <w:color w:val="0000FF"/>
                  <w:sz w:val="20"/>
                  <w:u w:val="single"/>
                </w:rPr>
                <w:t>45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85">
              <w:r>
                <w:rPr>
                  <w:rStyle w:val="InternetLink"/>
                  <w:rFonts w:ascii="Times New Roman;sans-serif" w:hAnsi="Times New Roman;sans-serif"/>
                  <w:b w:val="false"/>
                  <w:color w:val="0000FF"/>
                  <w:sz w:val="20"/>
                  <w:u w:val="single"/>
                </w:rPr>
                <w:t>Item 11.</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85">
              <w:r>
                <w:rPr>
                  <w:rStyle w:val="InternetLink"/>
                  <w:rFonts w:ascii="Times New Roman;sans-serif" w:hAnsi="Times New Roman;sans-serif"/>
                  <w:b w:val="false"/>
                  <w:color w:val="0000FF"/>
                  <w:sz w:val="20"/>
                  <w:u w:val="single"/>
                </w:rPr>
                <w:t>Executive Compensation</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85">
              <w:r>
                <w:rPr>
                  <w:rStyle w:val="InternetLink"/>
                  <w:rFonts w:ascii="Times New Roman;sans-serif" w:hAnsi="Times New Roman;sans-serif"/>
                  <w:b w:val="false"/>
                  <w:color w:val="0000FF"/>
                  <w:sz w:val="20"/>
                  <w:u w:val="single"/>
                </w:rPr>
                <w:t>45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88">
              <w:r>
                <w:rPr>
                  <w:rStyle w:val="InternetLink"/>
                  <w:rFonts w:ascii="Times New Roman;sans-serif" w:hAnsi="Times New Roman;sans-serif"/>
                  <w:b w:val="false"/>
                  <w:color w:val="0000FF"/>
                  <w:sz w:val="20"/>
                  <w:u w:val="single"/>
                </w:rPr>
                <w:t>Item 12.</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8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88">
              <w:r>
                <w:rPr>
                  <w:rStyle w:val="InternetLink"/>
                  <w:rFonts w:ascii="Times New Roman;sans-serif" w:hAnsi="Times New Roman;sans-serif"/>
                  <w:b w:val="false"/>
                  <w:color w:val="0000FF"/>
                  <w:sz w:val="20"/>
                  <w:u w:val="single"/>
                </w:rPr>
                <w:t>45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91">
              <w:r>
                <w:rPr>
                  <w:rStyle w:val="InternetLink"/>
                  <w:rFonts w:ascii="Times New Roman;sans-serif" w:hAnsi="Times New Roman;sans-serif"/>
                  <w:b w:val="false"/>
                  <w:color w:val="0000FF"/>
                  <w:sz w:val="20"/>
                  <w:u w:val="single"/>
                </w:rPr>
                <w:t>Item 13.</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9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91">
              <w:r>
                <w:rPr>
                  <w:rStyle w:val="InternetLink"/>
                  <w:rFonts w:ascii="Times New Roman;sans-serif" w:hAnsi="Times New Roman;sans-serif"/>
                  <w:b w:val="false"/>
                  <w:color w:val="0000FF"/>
                  <w:sz w:val="20"/>
                  <w:u w:val="single"/>
                </w:rPr>
                <w:t>45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94">
              <w:r>
                <w:rPr>
                  <w:rStyle w:val="InternetLink"/>
                  <w:rFonts w:ascii="Times New Roman;sans-serif" w:hAnsi="Times New Roman;sans-serif"/>
                  <w:b w:val="false"/>
                  <w:color w:val="0000FF"/>
                  <w:sz w:val="20"/>
                  <w:u w:val="single"/>
                </w:rPr>
                <w:t>Item 14.</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94">
              <w:r>
                <w:rPr>
                  <w:rStyle w:val="InternetLink"/>
                  <w:rFonts w:ascii="Times New Roman;sans-serif" w:hAnsi="Times New Roman;sans-serif"/>
                  <w:b w:val="false"/>
                  <w:color w:val="0000FF"/>
                  <w:sz w:val="20"/>
                  <w:u w:val="single"/>
                </w:rPr>
                <w:t>Principal Accountant Fees and Services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94">
              <w:r>
                <w:rPr>
                  <w:rStyle w:val="InternetLink"/>
                  <w:rFonts w:ascii="Times New Roman;sans-serif" w:hAnsi="Times New Roman;sans-serif"/>
                  <w:b w:val="false"/>
                  <w:color w:val="0000FF"/>
                  <w:sz w:val="20"/>
                  <w:u w:val="single"/>
                </w:rPr>
                <w:t>45</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97">
              <w:r>
                <w:rPr>
                  <w:rStyle w:val="InternetLink"/>
                  <w:rFonts w:ascii="Times New Roman;sans-serif" w:hAnsi="Times New Roman;sans-serif"/>
                  <w:b w:val="false"/>
                  <w:color w:val="0000FF"/>
                  <w:sz w:val="20"/>
                  <w:u w:val="single"/>
                </w:rPr>
                <w:t>PART IV</w:t>
              </w:r>
            </w:hyperlink>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97">
              <w:r>
                <w:rPr>
                  <w:rStyle w:val="InternetLink"/>
                  <w:rFonts w:ascii="Times New Roman;sans-serif" w:hAnsi="Times New Roman;sans-serif"/>
                  <w:b w:val="false"/>
                  <w:color w:val="0000FF"/>
                  <w:sz w:val="20"/>
                  <w:u w:val="single"/>
                </w:rPr>
                <w:t>46</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0">
              <w:r>
                <w:rPr>
                  <w:rStyle w:val="InternetLink"/>
                  <w:rFonts w:ascii="Times New Roman;sans-serif" w:hAnsi="Times New Roman;sans-serif"/>
                  <w:b w:val="false"/>
                  <w:color w:val="0000FF"/>
                  <w:sz w:val="20"/>
                  <w:u w:val="single"/>
                </w:rPr>
                <w:t>Item 15.</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0">
              <w:r>
                <w:rPr>
                  <w:rStyle w:val="InternetLink"/>
                  <w:rFonts w:ascii="Times New Roman;sans-serif" w:hAnsi="Times New Roman;sans-serif"/>
                  <w:b w:val="false"/>
                  <w:color w:val="0000FF"/>
                  <w:sz w:val="20"/>
                  <w:u w:val="single"/>
                </w:rPr>
                <w:t>Exhibits and Financial Statement Schedules</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00">
              <w:r>
                <w:rPr>
                  <w:rStyle w:val="InternetLink"/>
                  <w:rFonts w:ascii="Times New Roman;sans-serif" w:hAnsi="Times New Roman;sans-serif"/>
                  <w:b w:val="false"/>
                  <w:color w:val="0000FF"/>
                  <w:sz w:val="20"/>
                  <w:u w:val="single"/>
                </w:rPr>
                <w:t>46</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3">
              <w:r>
                <w:rPr>
                  <w:rStyle w:val="InternetLink"/>
                  <w:rFonts w:ascii="Times New Roman;sans-serif" w:hAnsi="Times New Roman;sans-serif"/>
                  <w:b w:val="false"/>
                  <w:color w:val="0000FF"/>
                  <w:sz w:val="20"/>
                  <w:u w:val="single"/>
                </w:rPr>
                <w:t>Item 16.</w:t>
              </w:r>
            </w:hyperlink>
          </w:p>
        </w:tc>
        <w:tc>
          <w:tcPr>
            <w:tcW w:w="7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3">
              <w:r>
                <w:rPr>
                  <w:rStyle w:val="InternetLink"/>
                  <w:rFonts w:ascii="Times New Roman;sans-serif" w:hAnsi="Times New Roman;sans-serif"/>
                  <w:b w:val="false"/>
                  <w:color w:val="0000FF"/>
                  <w:sz w:val="20"/>
                  <w:u w:val="single"/>
                </w:rPr>
                <w:t>Form 10-K Summary</w:t>
              </w:r>
            </w:hyperlink>
          </w:p>
        </w:tc>
        <w:tc>
          <w:tcPr>
            <w:tcW w:w="7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03">
              <w:r>
                <w:rPr>
                  <w:rStyle w:val="InternetLink"/>
                  <w:rFonts w:ascii="Times New Roman;sans-serif" w:hAnsi="Times New Roman;sans-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Special Note About Forward-Looking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we believe could affect or continue to affect our results include without limitation: unfavorable economic conditions; natural disasters, global calamities, climate change, pandemics, , energy shortages, sports strikes and other adverse incidents; geopolitical events including, but not limited to, the ongoing conflict between Russia and Ukraine and its effects on global supply chains,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recently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Item 1A "Risk Factors," Item 3 "Legal Proceedings" and Item 7 "Management's Discussion and Analysis of Financial Condition and Results of Operations" and other sections of this Annual Report on Form 10-K. These factors should not be construed as exhaustive and should be read in conjunction with the other cautionary statements that are included herein and in our other filings with the Securities and Exchange Commission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Aramark (the “Company”, “we” or “us”) is a leading global provider of food and facilities services to education, healthcare, business &amp; industry, and sports, leisure &amp; corrections clients. Our core market is the United States, which is supplemented by an additional 14-country footprint. We also provide our services on a more limited basis in several additional countries and in offshore locations. Based on total revenue in fiscal 2023, we hold a top 2 position in North America in food and facilities services and a top 3 position in food and facilities services internationally in most countries in which we have significant operations. Our approximately 262,550 employees, after considering the separation of our Uniform and Career Apparel ("Uniform") segment described below, partner with thousands of education, healthcare, business and sports, leisure &amp; corrections clients to serve millions of customers including students, patients, employees, sports fans and guests worldwide.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end of fiscal 2023, we completed the previously announced separation of our Uniform segment into an independent publicly traded company, Vestis Corporation (“Vestis”), on September 30, 2023. Going forward, we plan to operate our remaining Food and Support Services business in two geographic reportable segments split between our United States and International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we operated our business in three reportable segments that shared many of the same operating characteristics: Food and Support Services United States ("FSS United States"), Food and Support Services International ("FSS International") and Uniform and Career Apparel ("Uniform"). The following chart shows a breakdown of our revenue and operating income by these reportable segments:</w:t>
      </w:r>
    </w:p>
    <w:tbl>
      <w:tblPr>
        <w:tblW w:w="10205" w:type="dxa"/>
        <w:jc w:val="left"/>
        <w:tblInd w:w="0" w:type="dxa"/>
        <w:tblLayout w:type="fixed"/>
        <w:tblCellMar>
          <w:top w:w="28" w:type="dxa"/>
          <w:left w:w="28" w:type="dxa"/>
          <w:bottom w:w="28" w:type="dxa"/>
          <w:right w:w="28" w:type="dxa"/>
        </w:tblCellMar>
      </w:tblPr>
      <w:tblGrid>
        <w:gridCol w:w="473"/>
        <w:gridCol w:w="417"/>
        <w:gridCol w:w="418"/>
        <w:gridCol w:w="206"/>
        <w:gridCol w:w="206"/>
        <w:gridCol w:w="206"/>
        <w:gridCol w:w="371"/>
        <w:gridCol w:w="1482"/>
        <w:gridCol w:w="206"/>
        <w:gridCol w:w="109"/>
        <w:gridCol w:w="109"/>
        <w:gridCol w:w="109"/>
        <w:gridCol w:w="257"/>
        <w:gridCol w:w="257"/>
        <w:gridCol w:w="257"/>
        <w:gridCol w:w="464"/>
        <w:gridCol w:w="1637"/>
        <w:gridCol w:w="261"/>
        <w:gridCol w:w="109"/>
        <w:gridCol w:w="109"/>
        <w:gridCol w:w="109"/>
        <w:gridCol w:w="193"/>
        <w:gridCol w:w="193"/>
        <w:gridCol w:w="193"/>
        <w:gridCol w:w="347"/>
        <w:gridCol w:w="1226"/>
        <w:gridCol w:w="281"/>
      </w:tblGrid>
      <w:tr>
        <w:trPr/>
        <w:tc>
          <w:tcPr>
            <w:tcW w:w="47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6"/>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1219200" cy="304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219200" cy="304800"/>
                          </a:xfrm>
                          <a:prstGeom prst="rect">
                            <a:avLst/>
                          </a:prstGeom>
                        </pic:spPr>
                      </pic:pic>
                    </a:graphicData>
                  </a:graphic>
                </wp:inline>
              </w:drawing>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267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FSS United States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FSS 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ans-serif" w:hAnsi="Times New Roman;sans-serif"/>
                <w:b/>
                <w:color w:val="000000"/>
                <w:sz w:val="24"/>
                <w:u w:val="single"/>
              </w:rPr>
              <w:t>Uniform</w:t>
            </w:r>
            <w:r>
              <w:rPr>
                <w:rFonts w:ascii="Times New Roman;sans-serif" w:hAnsi="Times New Roman;sans-serif"/>
                <w:b/>
                <w:color w:val="000000"/>
                <w:sz w:val="16"/>
              </w:rPr>
              <w:t>(b)</w:t>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FY 2023 Revenue</w:t>
            </w:r>
            <w:r>
              <w:rPr>
                <w:rFonts w:ascii="Times New Roman;sans-serif" w:hAnsi="Times New Roman;sans-serif"/>
                <w:b/>
                <w:color w:val="000000"/>
                <w:sz w:val="12"/>
              </w:rPr>
              <w:t>(a)</w:t>
            </w:r>
            <w:r>
              <w:rPr>
                <w:rFonts w:ascii="Times New Roman;sans-serif" w:hAnsi="Times New Roman;sans-serif"/>
                <w:b/>
                <w:color w:val="000000"/>
                <w:sz w:val="18"/>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11,721.4 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4,361.8 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FY 2023 Operating Income</w:t>
            </w:r>
            <w:r>
              <w:rPr>
                <w:rFonts w:ascii="Times New Roman;sans-serif" w:hAnsi="Times New Roman;sans-serif"/>
                <w:b/>
                <w:color w:val="000000"/>
                <w:sz w:val="12"/>
              </w:rPr>
              <w:t>(a)</w:t>
            </w:r>
            <w:r>
              <w:rPr>
                <w:rFonts w:ascii="Times New Roman;sans-serif" w:hAnsi="Times New Roman;sans-serif"/>
                <w:b/>
                <w:color w:val="000000"/>
                <w:sz w:val="18"/>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Services:</w:t>
            </w:r>
          </w:p>
        </w:tc>
        <w:tc>
          <w:tcPr>
            <w:tcW w:w="26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hospitality and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hospitality and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 sale and maintenance of uniform apparel and other items</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Sectors:</w:t>
            </w:r>
          </w:p>
        </w:tc>
        <w:tc>
          <w:tcPr>
            <w:tcW w:w="26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&amp; industry; sports, leisure &amp; corrections; education; healthcare; and facilities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&amp; industry; sports, leisure &amp; corrections; education; healthcare; and facilities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public institutions; manufacturing; transportation; and service industries</w:t>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(a) Dollars in millions. Operating income excludes $148.4 million related to corporate expenses.</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(b) Subsequent to the end of fiscal 2023, we completed the previously announced separation of our Uniform segment into an independent publicly traded company, Vestis Corporation, on September 30,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2023, we generated $18.9 billion of revenue, $862.9 million of operating income and $674.1 million of net income attributable to Aramark stockholders.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founding in 1959, we have broadened our service offerings and expanded our client base through a combination of organic growth and acquisitions, with the goal of further developing our food, facilities and uniform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New York Stock Exchange (“NYSE”) in conjunction with a going-private transaction executed with certain private equity investment funds, as well as approximately 250 senior management personnel. On December 17, 2013, we completed an initial public offering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65455"/>
                <wp:effectExtent l="0" t="0" r="0" b="0"/>
                <wp:wrapNone/>
                <wp:docPr id="7" name="Frame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Aramark’s Spin-off of the 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separation of our Uniform segment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 With the completion of the separation and distribution, the historical results of the Uniform segment will be presented as discontinued operations in our consolidated financial statements beginning in the first quarter of fiscal 2024. Refer to Note 15 to the audited consolidated financial statements for Uniform reportable segment financial disclosures.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Food and Support Services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Food and Support Services segments manage a number of interrelated services, including food, hospitality, procurement and facility services, for school districts, colleges &amp; universities, healthcare &amp; senior living facilities, businesses, sports, entertainment &amp; recreational venues, conference &amp; convention centers, national &amp; state parks and correctional institutions.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 business, educational and healthcare facilities (for example, offices and industrial plants, schools and universities and hospitals and senior living), our clients provide us with a captive customer base through their on-site employees, students and patients. At sports, entertainment and recreational facilities, our clients attract patrons to their site, usually for specific events such as sporting events, concerts and conventions.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Food and Support Services business in two geographic reportable segments split between our United States and International operations. In fiscal 2023, our FSS United States segment generated $11,721.4 million in revenue, or 62% of our total revenue, and our FSS International segment generated $4,361.8 million in revenue, or 23% of our total revenue. No individual client represents more than 2% of our total revenue, other than, collectively, a number of United States government agencies.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Clients and Services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Food and Support Services segments serve a number of sectors across 15 countries around the world. Our Food and Support Services operations focus on serving clients in five principal sectors: Education, Healthcare, Business &amp; Industry, Sports, Leisure &amp; Corrections and Facilities &amp; 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the FSS United States segment, the range of services provided by sector are as follows:</w:t>
      </w:r>
    </w:p>
    <w:p>
      <w:pPr>
        <w:pStyle w:val="TextBody"/>
        <w:bidi w:val="0"/>
        <w:spacing w:lineRule="auto" w:line="288" w:before="100" w:after="60"/>
        <w:jc w:val="left"/>
        <w:rPr/>
      </w:pPr>
      <w:r>
        <w:rPr>
          <w:rFonts w:ascii="Times New Roman;sans-serif" w:hAnsi="Times New Roman;sans-serif"/>
          <w:b w:val="false"/>
          <w:i/>
          <w:color w:val="000000"/>
          <w:sz w:val="20"/>
        </w:rPr>
        <w:t>Education.</w:t>
      </w:r>
      <w:r>
        <w:rPr>
          <w:color w:val="000000"/>
        </w:rPr>
        <w:t xml:space="preserve"> </w:t>
      </w:r>
      <w:r>
        <w:rPr>
          <w:rFonts w:ascii="Times New Roman;sans-serif" w:hAnsi="Times New Roman;sans-serif"/>
          <w:b w:val="false"/>
          <w:color w:val="000000"/>
          <w:sz w:val="20"/>
        </w:rPr>
        <w:t>Within the Education sector, we serve Higher Education and K-12 clients. We deliver a wide range of food and food-related services, as well as procurement services, at more than 1,300 colleges, universities, school systems &amp; districts and private schools. We offer our education clients a single source provider for food-related managed service solutions, including dining, catering, food service management and convenience-oriented retail operations.</w:t>
      </w:r>
    </w:p>
    <w:p>
      <w:pPr>
        <w:pStyle w:val="TextBody"/>
        <w:bidi w:val="0"/>
        <w:spacing w:lineRule="auto" w:line="288" w:before="100" w:after="60"/>
        <w:jc w:val="left"/>
        <w:rPr/>
      </w:pPr>
      <w:r>
        <w:rPr>
          <w:rFonts w:ascii="Times New Roman;sans-serif" w:hAnsi="Times New Roman;sans-serif"/>
          <w:b w:val="false"/>
          <w:i/>
          <w:color w:val="000000"/>
          <w:sz w:val="20"/>
        </w:rPr>
        <w:t>Healthcare.</w:t>
      </w:r>
      <w:r>
        <w:rPr>
          <w:color w:val="000000"/>
        </w:rPr>
        <w:t xml:space="preserve"> </w:t>
      </w:r>
      <w:r>
        <w:rPr>
          <w:rFonts w:ascii="Times New Roman;sans-serif" w:hAnsi="Times New Roman;sans-serif"/>
          <w:b w:val="false"/>
          <w:color w:val="000000"/>
          <w:sz w:val="20"/>
        </w:rPr>
        <w:t>We provide a wide range of non-clinical food and food-related support services to approximately 725 healthcare and senior living clients, which comprise of approximately 130 client families, and more than 765 facilities. Our food and food-related services include patient food and nutrition, retail food, environmental services and procurement services.</w:t>
      </w:r>
    </w:p>
    <w:p>
      <w:pPr>
        <w:pStyle w:val="TextBody"/>
        <w:bidi w:val="0"/>
        <w:spacing w:lineRule="auto" w:line="288" w:before="100" w:after="60"/>
        <w:jc w:val="left"/>
        <w:rPr/>
      </w:pPr>
      <w:r>
        <w:rPr>
          <w:rFonts w:ascii="Times New Roman;sans-serif" w:hAnsi="Times New Roman;sans-serif"/>
          <w:b w:val="false"/>
          <w:i/>
          <w:color w:val="000000"/>
          <w:sz w:val="20"/>
        </w:rPr>
        <w:t>Business &amp; Industry</w:t>
      </w:r>
      <w:r>
        <w:rPr>
          <w:rFonts w:ascii="Times New Roman;sans-serif" w:hAnsi="Times New Roman;sans-serif"/>
          <w:b w:val="false"/>
          <w:color w:val="000000"/>
          <w:sz w:val="20"/>
        </w:rPr>
        <w:t>. We provide a comprehensive range of business dining services, including on-site restaurants, catering, convenience stores and executive dining.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beverage and vending services to business &amp; industry clients at thousands of locations. Our service and product offerings include a full range of coffee offerings, “grab and go” food operations, mailed gift boxes, convenience stores, micromarkets and a proprietary drinking water filtration system.</w:t>
      </w:r>
    </w:p>
    <w:p>
      <w:pPr>
        <w:pStyle w:val="TextBody"/>
        <w:bidi w:val="0"/>
        <w:spacing w:lineRule="auto" w:line="288" w:before="100" w:after="60"/>
        <w:jc w:val="left"/>
        <w:rPr/>
      </w:pPr>
      <w:r>
        <w:rPr>
          <w:rFonts w:ascii="Times New Roman;sans-serif" w:hAnsi="Times New Roman;sans-serif"/>
          <w:b w:val="false"/>
          <w:i/>
          <w:color w:val="000000"/>
          <w:sz w:val="20"/>
        </w:rPr>
        <w:t>Sports, Leisure &amp; Corrections</w:t>
      </w:r>
      <w:r>
        <w:rPr>
          <w:rFonts w:ascii="Times New Roman;sans-serif" w:hAnsi="Times New Roman;sans-serif"/>
          <w:b w:val="false"/>
          <w:color w:val="000000"/>
          <w:sz w:val="20"/>
        </w:rPr>
        <w:t>. We provide concessions, banquet and catering services, retail services and merchandise sales, recreational and lodging services and facility management services at sports, entertainment and recreational facilities. We serve hundreds of venues for professional (including minor league affiliates) and college sports teams, including 28 teams in Major League Baseball, the National Basketball Association, the National Football League and the National Hockey League and at more than 115 colleges and universities. We also serve convention and civic centers, national and state parks and other resort operations, plus other popular tourist attractions in the United States. Additionally, we provide correctional food services, operate commissaries, laundry facilities and property rooms.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65455"/>
                <wp:effectExtent l="0" t="0" r="0" b="0"/>
                <wp:wrapNone/>
                <wp:docPr id="8" name="Frame6"/>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pPr>
      <w:r>
        <w:rPr>
          <w:rFonts w:ascii="Times New Roman;sans-serif" w:hAnsi="Times New Roman;sans-serif"/>
          <w:b w:val="false"/>
          <w:i/>
          <w:color w:val="000000"/>
          <w:sz w:val="20"/>
        </w:rPr>
        <w:t>Facilities &amp; Other.</w:t>
      </w:r>
      <w:r>
        <w:rPr>
          <w:color w:val="000000"/>
        </w:rPr>
        <w:t xml:space="preserve"> </w:t>
      </w:r>
      <w:r>
        <w:rPr>
          <w:rFonts w:ascii="Times New Roman;sans-serif" w:hAnsi="Times New Roman;sans-serif"/>
          <w:b w:val="false"/>
          <w:color w:val="000000"/>
          <w:sz w:val="20"/>
        </w:rPr>
        <w:t xml:space="preserve">We provide a variety of support services to approximately 445 facility clients, which comprise of approximately 300 client families, and more than 800 locations. These services include the management of housekeeping, plant operations and maintenance, energy management, custodial, groundskeeping, landscaping, transportation, capital program management and payment services and other facility consulting services relating to building operations. We also provide procurement services for a number of clients in a variety of industries.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FSS International segment provides a similar range of services as those provided to our FSS United States segment clients and operates in each of the sectors. We have operations in 14 countries outside the United States. We also provide our services on a more limited basis in several additional countries and in offshore locations. Our largest international operations are in Canada, Chile, China, Germany, Spain and the United Kingdom. There are particular risks associated with our international operations. Please see Item 1A. “Risk Factors.”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Purchasing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negotiate the pricing and other terms for the majority of our purchases of food and related products in the United States and Canada directly with national manufacturers and suppliers. Due to our ability to negotiate favorable terms with our suppliers, we receive vendor consideration, including volume discounts, rebates and other applicable credits. See “Types of Contracts” below. We purchase most products and other items through food service distribution companies, including Sysco Corporation ("Sysco"), US Foods, Performance Food Group and other regional distributors. Sysco is our primary distributor with respect to our food and facilities business, while US Foods is our primary distributor with respect to our procurement services business. Our distributors are responsible for tracking our orders and delivering products to our specific locations. Our location managers also purchase a number of items, including bread, dairy products and alcoholic beverages from local suppliers, and we purchase certain items directly from manufacturers.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our agreements with our distributors vary. Some agreements are for an indefinite term, subject to termination by either party after a notice period, which is generally 60 to 120 days, while others are for a fixed term with termination rights only for cause. The pricing and other financial terms of these agreements are renegotiated periodically.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relationship with Sysco is important to our operations and we have had distribution agreements in place for over 40 years. We have a master distribution agreement with Sysco that covers a significant amount of our purchases of products and items in the United States and another distribution agreement with Sysco that covers our purchases of products in Canada. In fiscal 2023, Sysco distributed approximately 45% of our food and non-food products in the United States and Canada based on purchase dollars,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our FSS International segment (other than Canada), our approach to purchasing is substantially similar. On a country-by-country basis, we negotiate pricing and other terms for a majority of our purchases of food and related products with manufacturers and suppliers operating in the applicable country, and we purchase these products and other items through distributors in that country. Due to our ability to negotiate favorable terms with our suppliers, we receive vendor consideration, including volume discounts, rebates and other applicable credits. See “Types of Contracts” below. As in the United States and Canada, our location managers also purchase a number of items, including bread, dairy products and alcoholic beverages from local suppliers, and we purchase certain items directly from manufacturers. Generally, our agreements with our distributors in the FSS International segment are subject to termination by either party after a notice period, which is generally 60 days. The pricing and other financial terms of these agreements are renegotiated periodically.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selling and marketing excellence by focusing on optimizing resource allocation and deployment. We target growth by aligning our efforts directly with the sectors and services in which we operate to deliver differentiated and innovative solutions. We have established consistent tools, methodologies and trainings to efficiently support the development of our employees as they work within our individual businesses to help ensure a close connection to the business, their teammates and client partners. One key effort in our approach is identifying and matching individuals at various levels in our organization with individuals in a variety of roles at both existing and potential clients. We believe that these connections throughout various levels within the client organization allow us to develop strong relationships with the client and gain a better understanding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65455"/>
                <wp:effectExtent l="0" t="0" r="0" b="0"/>
                <wp:wrapNone/>
                <wp:docPr id="9" name="Frame7"/>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clients' requirements. Based on the knowledge of the clients' requirements and the sector, our goal is to develop solutions for the client that are unique and that help to differentiate us from our competitors.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Types of Contracts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fixed terms, usually from five to fifteen years.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Food and Support Services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two general contract types in our Food and Support Services segments: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 </w:t>
      </w:r>
    </w:p>
    <w:p>
      <w:pPr>
        <w:pStyle w:val="TextBody"/>
        <w:bidi w:val="0"/>
        <w:spacing w:lineRule="auto" w:line="288" w:before="100" w:after="60"/>
        <w:jc w:val="left"/>
        <w:rPr/>
      </w:pPr>
      <w:r>
        <w:rPr>
          <w:rFonts w:ascii="Times New Roman;sans-serif" w:hAnsi="Times New Roman;sans-serif"/>
          <w:b w:val="false"/>
          <w:i/>
          <w:color w:val="000000"/>
          <w:sz w:val="20"/>
        </w:rPr>
        <w:t>Profit and Loss Contracts.</w:t>
      </w:r>
      <w:r>
        <w:rPr>
          <w:color w:val="000000"/>
        </w:rPr>
        <w:t xml:space="preserve"> </w:t>
      </w:r>
      <w:r>
        <w:rPr>
          <w:rFonts w:ascii="Times New Roman;sans-serif" w:hAnsi="Times New Roman;sans-serif"/>
          <w:b w:val="false"/>
          <w:color w:val="000000"/>
          <w:sz w:val="20"/>
        </w:rPr>
        <w:t>Under profit and loss contracts, we receive all revenue from, and bear all expenses of, the provision of our services at a client 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2023, approximately two-thirds of our Food and Support Services revenue was derived from profit and loss contracts.</w:t>
      </w:r>
    </w:p>
    <w:p>
      <w:pPr>
        <w:pStyle w:val="TextBody"/>
        <w:bidi w:val="0"/>
        <w:spacing w:lineRule="auto" w:line="288" w:before="100" w:after="60"/>
        <w:jc w:val="left"/>
        <w:rPr/>
      </w:pPr>
      <w:r>
        <w:rPr>
          <w:rFonts w:ascii="Times New Roman;sans-serif" w:hAnsi="Times New Roman;sans-serif"/>
          <w:b w:val="false"/>
          <w:i/>
          <w:color w:val="000000"/>
          <w:sz w:val="20"/>
        </w:rPr>
        <w:t>Client Interest Contracts.</w:t>
      </w:r>
      <w:r>
        <w:rPr>
          <w:color w:val="000000"/>
        </w:rPr>
        <w:t xml:space="preserve"> </w:t>
      </w:r>
      <w:r>
        <w:rPr>
          <w:rFonts w:ascii="Times New Roman;sans-serif" w:hAnsi="Times New Roman;sans-serif"/>
          <w:b w:val="false"/>
          <w:color w:val="000000"/>
          <w:sz w:val="20"/>
        </w:rPr>
        <w:t>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 where the contract and/or applicable law requires us to credit these to our clients. For our client interest contracts, both our upside potential and downside risk are reduced compared to our profit and loss contracts. For fiscal 2023, approximately one-third of our Food and Support Services revenue was derived from client interest contracts.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competition in the Food and Support Services business from local, regional, national and international companies, as well as from the businesses, healthcare institutions, senior living facilities,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 In our FSS United States segment, our external competitors include other multi-regional food and support service providers, such as Compass Group plc, Delaware North Companies Inc. and Sodexo SA. Internationally, our external food service and support service competitors include Compass Group plc, Elior SA, ISS and Sodexo SA. We also face competition from many regional and local service providers.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competitive factors are the principal drivers of our success: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quality and breadth of services and management talent;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65455"/>
                <wp:effectExtent l="0" t="0" r="0" b="0"/>
                <wp:wrapNone/>
                <wp:docPr id="10" name="Frame8"/>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innovation;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reputation within the industry;</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pricing;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financial strength and stability;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purchasing scale.</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Uniform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Uniform segment, which was spun-off into its own public company on September 30, 2023, provided a full-service employee uniform solution. The customer base was serviced by a leading geographic footprint in the United States and Canada with programs focused on uniforms, floor mats, towels, linens, restroom supplies, first-aid supplies, safety products and other workplace supplies. Its customers operated in the United States and Canada in a wide range of industries, including manufacturing, hospitality, retail, food processing, pharmaceuticals, healthcare and automotive. In fiscal 2023, our Uniform segment generated $2,770.7 million in revenue, or 15% of our total revenue.</w:t>
      </w:r>
    </w:p>
    <w:p>
      <w:pPr>
        <w:pStyle w:val="TextBody"/>
        <w:bidi w:val="0"/>
        <w:spacing w:lineRule="auto" w:line="288" w:before="100" w:after="60"/>
        <w:jc w:val="left"/>
        <w:rPr/>
      </w:pPr>
      <w:r>
        <w:rPr>
          <w:rFonts w:ascii="Times New Roman;sans-serif" w:hAnsi="Times New Roman;sans-serif"/>
          <w:b/>
          <w:i/>
          <w:color w:val="000000"/>
          <w:sz w:val="20"/>
        </w:rPr>
        <w:t xml:space="preserve">Be Well. Do Well. </w:t>
      </w:r>
      <w:r>
        <w:rPr>
          <w:rFonts w:ascii="Times New Roman;sans-serif" w:hAnsi="Times New Roman;sans-serif"/>
          <w:b/>
          <w:color w:val="000000"/>
          <w:sz w:val="20"/>
        </w:rPr>
        <w:t>- Our Environmental, Social and Governance ("ESG") Platform</w:t>
      </w:r>
      <w:r>
        <w:rPr>
          <w:color w:val="000000"/>
        </w:rPr>
        <w:t xml:space="preserve"> </w:t>
      </w:r>
    </w:p>
    <w:p>
      <w:pPr>
        <w:pStyle w:val="TextBody"/>
        <w:bidi w:val="0"/>
        <w:spacing w:lineRule="auto" w:line="288" w:before="100" w:after="60"/>
        <w:jc w:val="left"/>
        <w:rPr/>
      </w:pPr>
      <w:r>
        <w:rPr>
          <w:rFonts w:ascii="Times New Roman;sans-serif" w:hAnsi="Times New Roman;sans-serif"/>
          <w:b w:val="false"/>
          <w:i/>
          <w:color w:val="000000"/>
          <w:sz w:val="20"/>
        </w:rPr>
        <w:t>Be Well. Do Well.</w:t>
      </w:r>
      <w:r>
        <w:rPr>
          <w:color w:val="000000"/>
        </w:rPr>
        <w:t xml:space="preserve"> </w:t>
      </w:r>
      <w:r>
        <w:rPr>
          <w:rFonts w:ascii="Times New Roman;sans-serif" w:hAnsi="Times New Roman;sans-serif"/>
          <w:b w:val="false"/>
          <w:color w:val="000000"/>
          <w:sz w:val="20"/>
        </w:rPr>
        <w:t xml:space="preserve">is Aramark’s ESG platform and directly connects to our mission: Because we’re rooted in service, we do great things for our people, our partners, our communities, and our planet. As part of this strategy, introduced in 2019, we identified priorities that align with our business objectives, with a focus on efforts to help people and our planet, as we serve our clients, employees, shareholders, and other stakeholders. Our strategic, interconnected people and planet goals convey our priorities and ambitions, focusing our efforts and inspiring our organization. Our people goal is to enable equity and well-being for millions of people, including our employees, customers, communities, and people in our supply chain. The "Human Capital" section below provides examples of this work. Our planet goal is to promote planetary health on our path to net zero greenhouse gas ("GHG") emissions. In 2023, Aramark secured science-based GHG reduction targets validated by the </w:t>
      </w:r>
      <w:r>
        <w:rPr>
          <w:rFonts w:ascii="Times New Roman;sans-serif" w:hAnsi="Times New Roman;sans-serif"/>
          <w:b w:val="false"/>
          <w:i/>
          <w:color w:val="000000"/>
          <w:sz w:val="20"/>
        </w:rPr>
        <w:t>Science Based Targets Initiative</w:t>
      </w:r>
      <w:r>
        <w:rPr>
          <w:color w:val="000000"/>
        </w:rPr>
        <w:t xml:space="preserve"> </w:t>
      </w:r>
      <w:r>
        <w:rPr>
          <w:rFonts w:ascii="Times New Roman;sans-serif" w:hAnsi="Times New Roman;sans-serif"/>
          <w:b w:val="false"/>
          <w:color w:val="000000"/>
          <w:sz w:val="20"/>
        </w:rPr>
        <w:t>("SBTi"). These targets include near-term targets to significantly reduce emissions in direct operations and supply chain and a commitment to reach net zero GHG emissions across the enterprise by fiscal 2050. The new science-based targets are aligned with our existing commitments and integrated priorities related to operational efficiency, waste management and responsible sourcing, and we are working actively to confirm and implement a pathway to net zero emissions.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reviews our ESG goals and objectives, supports implementation of our ESG priorities and commitments, and oversees progress which we report in our Be Well. Do Well. Progress Report, the update of which will be released in early calendar 2024. Our reporting aligns with multiple frameworks and standards including Sustainability Accounting Standards Board (SASB), the Global Reporting Initiative (GRI) and the Task Force on Climate-Related Financial Disclosures (TCFD). Aramark also submits a disclosure annually to CDP’s (formerly the Carbon Disclosure Project) climate and forest questionnaires, with responses available publicly. You can read more about Be Well. Do Well. and broader programs and initiatives on our website (www.aramark.com/environmental-social-governance). Nothing on our website shall be deemed incorporated by reference into this Annual Report on Form 10-K.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focused on delivering food and facilities services in thousands of client locations across 15 countries, our human capital is material to our operations and core to the long-term success of Aramark. </w:t>
      </w:r>
    </w:p>
    <w:p>
      <w:pPr>
        <w:pStyle w:val="TextBody"/>
        <w:bidi w:val="0"/>
        <w:spacing w:lineRule="auto" w:line="288" w:before="100" w:after="60"/>
        <w:jc w:val="left"/>
        <w:rPr/>
      </w:pPr>
      <w:r>
        <w:rPr>
          <w:rFonts w:ascii="Times New Roman;sans-serif" w:hAnsi="Times New Roman;sans-serif"/>
          <w:b/>
          <w:i/>
          <w:color w:val="000000"/>
          <w:sz w:val="20"/>
        </w:rPr>
        <w:t xml:space="preserve">Our People. </w:t>
      </w:r>
      <w:r>
        <w:rPr>
          <w:rFonts w:ascii="Times New Roman;sans-serif" w:hAnsi="Times New Roman;sans-serif"/>
          <w:b w:val="false"/>
          <w:color w:val="000000"/>
          <w:sz w:val="20"/>
        </w:rPr>
        <w:t xml:space="preserve">As of September 30, 2023, following the separation of our Uniform segment, we had a total of approximately 262,550 employees, including approximately 142,260 employees in FSS United States, 119,830 employees in FSS International and 460 employees in Aramark corporate staff. This total consists of approximately 27,700 management or salaried employees and approximately 234,850 frontline or hourly employees. The number of frontline or hourly employees fluctuates significantly through the course of the year due to the seasonal nature of some of our business and other operating requirements. We generally experience our highest level of employment during the fourth fiscal quarter. As of September 30, 2023,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65455"/>
                <wp:effectExtent l="0" t="0" r="0" b="0"/>
                <wp:wrapNone/>
                <wp:docPr id="11" name="Frame9"/>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33,700 employees in our United States and Canadian operations were covered by collective bargaining agreements. We have experienced no material interruptions of operations due to disputes with our employees.</w:t>
      </w:r>
    </w:p>
    <w:p>
      <w:pPr>
        <w:pStyle w:val="TextBody"/>
        <w:bidi w:val="0"/>
        <w:spacing w:lineRule="auto" w:line="288" w:before="100" w:after="60"/>
        <w:jc w:val="left"/>
        <w:rPr/>
      </w:pPr>
      <w:r>
        <w:rPr>
          <w:rFonts w:ascii="Times New Roman;sans-serif" w:hAnsi="Times New Roman;sans-serif"/>
          <w:b/>
          <w:i/>
          <w:color w:val="000000"/>
          <w:sz w:val="20"/>
        </w:rPr>
        <w:t xml:space="preserve">Diversity, Equity and Inclusion. </w:t>
      </w:r>
      <w:r>
        <w:rPr>
          <w:rFonts w:ascii="Times New Roman;sans-serif" w:hAnsi="Times New Roman;sans-serif"/>
          <w:b w:val="false"/>
          <w:color w:val="000000"/>
          <w:sz w:val="20"/>
        </w:rPr>
        <w:t>As a result of being rooted in service, we do great things for our people, our partners, our communities, and our planet. We believe that it is vital to align our diversity, equity and inclusion priorities with our business strategy. As of September 30, 2023, following the separation of our Uniform segment, our active United States employee base reflected the following gender, racial and ethnic demographic information:</w:t>
      </w:r>
    </w:p>
    <w:tbl>
      <w:tblPr>
        <w:tblW w:w="10689"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78"/>
        <w:gridCol w:w="278"/>
        <w:gridCol w:w="261"/>
        <w:gridCol w:w="278"/>
        <w:gridCol w:w="278"/>
        <w:gridCol w:w="350"/>
        <w:gridCol w:w="109"/>
        <w:gridCol w:w="109"/>
        <w:gridCol w:w="109"/>
        <w:gridCol w:w="278"/>
        <w:gridCol w:w="278"/>
        <w:gridCol w:w="309"/>
        <w:gridCol w:w="278"/>
        <w:gridCol w:w="278"/>
        <w:gridCol w:w="423"/>
        <w:gridCol w:w="109"/>
        <w:gridCol w:w="109"/>
        <w:gridCol w:w="109"/>
        <w:gridCol w:w="278"/>
        <w:gridCol w:w="278"/>
        <w:gridCol w:w="293"/>
        <w:gridCol w:w="278"/>
        <w:gridCol w:w="278"/>
        <w:gridCol w:w="423"/>
        <w:gridCol w:w="233"/>
        <w:gridCol w:w="233"/>
        <w:gridCol w:w="302"/>
        <w:gridCol w:w="270"/>
        <w:gridCol w:w="196"/>
        <w:gridCol w:w="464"/>
        <w:gridCol w:w="294"/>
        <w:gridCol w:w="172"/>
        <w:gridCol w:w="407"/>
        <w:gridCol w:w="275"/>
        <w:gridCol w:w="191"/>
        <w:gridCol w:w="315"/>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United States Employee Population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Male</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White</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Black</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Hispanic</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Asian</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American Indian</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Pacific Islander</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 or more races</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Hourly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41.17 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Salaried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40% of our Board of Directors and 57% of our CEO's direct reports were female. Continuing to increase diversity in executive and all levels of the leadership pipeline remains an organizational priority for the coming years. In fiscal 2023, consistent with fiscal 2022, we established ESG goals for our executive leadership team reflective of this priority and we continue to make advancements toward these goals. We have 11 active employee resource groups, supporting women, racially and ethnically diverse employees, the LGBTQ+ community, veterans, individuals with disabilities, interfaith community, and dietitians and other health and wellness professionals. These groups have 47 local hubs across the United States and international markets and play a key role in creating a culture of inclusion. For 2023, Aramark was recognized by DiversityInc as a Top Company for supplier diversity for the first time, and a Top 50 Company for Diversity for the seventh consecutive year. Aramark was also named one of the “Best Places to Work for Disability Inclusion,” for the seventh year in a row, by the 2023 Disability Equality Index®, earning a top score of 100%. Additionally, Aramark was recognized as a "Best Company for Diversity, Equity and Inclusion" by Black Enterprise.</w:t>
      </w:r>
    </w:p>
    <w:p>
      <w:pPr>
        <w:pStyle w:val="TextBody"/>
        <w:bidi w:val="0"/>
        <w:spacing w:lineRule="auto" w:line="288" w:before="100" w:after="60"/>
        <w:jc w:val="left"/>
        <w:rPr/>
      </w:pPr>
      <w:r>
        <w:rPr>
          <w:rFonts w:ascii="Times New Roman;sans-serif" w:hAnsi="Times New Roman;sans-serif"/>
          <w:b/>
          <w:i/>
          <w:color w:val="000000"/>
          <w:sz w:val="20"/>
        </w:rPr>
        <w:t>Talent Acquisition, Development and Retention.</w:t>
      </w:r>
      <w:r>
        <w:rPr>
          <w:color w:val="000000"/>
        </w:rPr>
        <w:t xml:space="preserve"> </w:t>
      </w:r>
      <w:r>
        <w:rPr>
          <w:rFonts w:ascii="Times New Roman;sans-serif" w:hAnsi="Times New Roman;sans-serif"/>
          <w:b w:val="false"/>
          <w:color w:val="000000"/>
          <w:sz w:val="20"/>
        </w:rPr>
        <w:t xml:space="preserve">Hiring, developing and retaining employees is critically important to our operations and we are focused on creating experiences and programs that foster growth, performance and retention. Acquiring the right talent at speed and scale is a core capability that we regularly monitor and manage, given the need to rapidly staff our frontline operations. As an example, in our FSS United States segment, in fiscal 2023, we hired 100,000 new employees, up from 79,000 in fiscal 2022, made up of 94% hourly employees and 6% salaried employees. We sponsor numerous training, education and leadership development programs for our employees, from hourly associates to upper levels of management, designed to enhance leadership and managerial capability, ensure quality execution of our programs, drive client satisfaction and increase return on investment. </w:t>
      </w:r>
    </w:p>
    <w:p>
      <w:pPr>
        <w:pStyle w:val="TextBody"/>
        <w:bidi w:val="0"/>
        <w:spacing w:lineRule="auto" w:line="288" w:before="60" w:after="60"/>
        <w:jc w:val="left"/>
        <w:rPr/>
      </w:pPr>
      <w:r>
        <w:rPr>
          <w:rFonts w:ascii="Times New Roman;sans-serif" w:hAnsi="Times New Roman;sans-serif"/>
          <w:b/>
          <w:i/>
          <w:color w:val="000000"/>
          <w:sz w:val="20"/>
        </w:rPr>
        <w:t xml:space="preserve">Community Engagement. </w:t>
      </w:r>
      <w:r>
        <w:rPr>
          <w:rFonts w:ascii="Times New Roman;sans-serif" w:hAnsi="Times New Roman;sans-serif"/>
          <w:b w:val="false"/>
          <w:color w:val="000000"/>
          <w:sz w:val="20"/>
        </w:rPr>
        <w:t>Through our Aramark Building Community initiative, we create opportunities for our employees to do more through volunteerism and engagement. In fiscal 2023, over 9,700 employees volunteered to host and participate in service projects supporting more than 1,000 nonprofits and benefiting nearly 1.8 million community members across 12 countries.</w:t>
      </w:r>
    </w:p>
    <w:p>
      <w:pPr>
        <w:pStyle w:val="TextBody"/>
        <w:bidi w:val="0"/>
        <w:spacing w:lineRule="auto" w:line="288" w:before="100" w:after="60"/>
        <w:jc w:val="left"/>
        <w:rPr/>
      </w:pPr>
      <w:r>
        <w:rPr>
          <w:rFonts w:ascii="Times New Roman;sans-serif" w:hAnsi="Times New Roman;sans-serif"/>
          <w:b/>
          <w:i/>
          <w:color w:val="000000"/>
          <w:sz w:val="20"/>
        </w:rPr>
        <w:t>Compensation, Benefits, Safety and Wellness.</w:t>
      </w:r>
      <w:r>
        <w:rPr>
          <w:color w:val="000000"/>
        </w:rPr>
        <w:t xml:space="preserve"> </w:t>
      </w:r>
      <w:r>
        <w:rPr>
          <w:rFonts w:ascii="Times New Roman;sans-serif" w:hAnsi="Times New Roman;sans-serif"/>
          <w:b w:val="false"/>
          <w:color w:val="000000"/>
          <w:sz w:val="20"/>
        </w:rPr>
        <w:t xml:space="preserve">In addition to offering market competitive salaries and wages, we offer comprehensive health and retirement benefits to eligible employees. Our core health and welfare benefits are supplemented with specific programs to manage or improve common health conditions, a variety of voluntary benefits and paid time away from work programs. We also provide a number of innovative programs designed to promote physical, emotional and financial well-being. Our commitment to the safety of our employees and a “zero harm” culture, continues to be a top priority, and through Aramark SAFE, our global safety management system, we empower our employees to identify, evaluate and manage risk throughout our locations.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Governmental Regulation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We have established, and periodically update, various internal controls and procedures designed to maintain compliance with applicable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inquiries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65455"/>
                <wp:effectExtent l="0" t="0" r="0" b="0"/>
                <wp:wrapNone/>
                <wp:docPr id="12" name="Frame10"/>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laws and regulations, including, but not limited to, those governing: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alcohol licensing and service;</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collection of sales and other taxes;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minimum wage, overtime, classification, wage payment and employment discrimination;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immigration;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governmental funded entitlement programs and cost and accounting principles;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false claims, whistleblowers and consumer protection;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environmental protection and environmental sustainability matters such as packaging and waste, greenhouse gas emissions, animal health and welfare, deforestation and land use;</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food safety, sanitation, labeling and human health and safety;</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customs and import and export controls;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the Foreign Corrupt Practices Act, the U.K. Bribery Act and other anti-corruption laws;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antitrust, competition, procurement and lobbying;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minority, women and disadvantaged business enterprise statutes;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motor carrier safety;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privacy and data security.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laws and regulations relating to each of our Food and Support Services segments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various government agencies impose nutritional guidelines and other requirements on us at certain of the healthcare, senior living, education and corrections facilities we serve. We may also be subject to laws and regulations that limit or restrict the use of trans fats in the food we serve or other requirements relating to ingredient or nutrient labeling. There can be no assurance that legislation, or changes in regulatory implementation or interpretation of government regulations, would not limit our activities in the future or significantly increase the cost of regulatory compliance.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serve alcoholic beverages at many sports, entertainment and recreational facilities, including convention centers and national and state parks, we also hold liquor licenses incidental to our food service operations and are subject to the liquor license requirements of the jurisdictions in which we hold a liquor license. As of September 29, 2023, our subsidiaries held liquor licenses in 44 states and the District of Columbia, 4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While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environmental protection laws and regulations, including the United States Federal Clean Water Act, Clean Air Act, Resource Conservation and Recovery Act, Comprehensive Environmental Response, Compensation, and Liability Act and similar federal, state, local and international statutes and regulations governing the use, management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65455"/>
                <wp:effectExtent l="0" t="0" r="0" b="0"/>
                <wp:wrapNone/>
                <wp:docPr id="13" name="Frame11"/>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disposal of chemicals and hazardous materials. We own or operate aboveground and underground storage tank systems at some locations to store petroleum products for use in our or our clients' 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 As of September 29, 2023, we do not anticipate any expenditures for environmental remediation that would have a material effect on our financial condition.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file annual, quarterly and current reports as well as other information with the SEC. These filings are available to the public over the internet at the SEC's website at www.sec.gov.</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You may request a copy of our SEC filings (excluding exhibits) and our Business Conduct Policy at no cost by writing or telephoning us at the following address or telephone number:</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Aramark</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2400 Market Street</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Philadelphia, PA 19103</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(215) 238-3000</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references to our website and the SEC's website are intended to be inactive textual references only and the contents of those websites are not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65455"/>
                <wp:effectExtent l="0" t="0" r="0" b="0"/>
                <wp:wrapNone/>
                <wp:docPr id="14" name="Frame12"/>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00" w:after="60"/>
        <w:jc w:val="left"/>
        <w:rPr>
          <w:rFonts w:ascii="Times New Roman;sans-serif" w:hAnsi="Times New Roman;sans-serif"/>
          <w:b/>
          <w:color w:val="000000"/>
          <w:sz w:val="20"/>
          <w:u w:val="single"/>
        </w:rPr>
      </w:pPr>
      <w:r>
        <w:rPr>
          <w:rFonts w:ascii="Times New Roman;sans-serif" w:hAnsi="Times New Roman;sans-serif"/>
          <w:b/>
          <w:color w:val="000000"/>
          <w:sz w:val="20"/>
          <w:u w:val="single"/>
        </w:rPr>
        <w:t>Economic and External Risks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Unfavorable economic conditions have, and in the future could, adversely affect our results of operations and financial condition.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National and international economic downturns have, and in the future could, reduce demand for our services in each of our reportable segments, resulting in the loss of business or increased pressure to contract for business on less favorable terms than our generally preferred terms. Economic downturns that impact our financial condition may be caused by inflation, supply chain disruptions, geopolitics, global energy shortages, major central bank policy actions including interest rate increases, public health crises, or other factors. Economic hardship in our client base has also impacted and may continue to impact our business. For example, in early stages of the COVID-19 pandemic, or in the period of economic distress following the financial crisis of 2008, certain of our businesses were negatively affected by reduced employment levels at our clients’ locations and declining levels of business and customer spending. In addition, financial distress and insolvency experienced by clients, especially larger clients, has in the past made it difficult and in the future could make it difficult for us to collect amounts we are owed and could result in the voiding or modification of existing contracts. For example, in response to the changed circumstances caused by shutdowns at the beginning of COVID-19 pandemic, we worked with clients to renegotiate contracts and financial structures in order to mitigate lost revenues caused by partial or full closure of client premises. Similarly, financial distress or insolvency, if experienced by our key vendors and service providers such as insurance carriers, could significantly increase our costs.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portion of our business that provides services in facilities such as convention centers and tourist and recreational attractions is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in, and in the future could result in, a reduction in our revenue. Further, because our exposure to the ultimate customer of what we provide is limited by our dependence on our clients to attract those customers to their facilities and events, our ability to respond to such a reduction in attendance, and therefore our revenue, is limited. There are many factors that could reduce the numbers of events in a facility or attendance at an event decreases in attendees’ discretionary income, including pandemics and other health crises, labor disruptions involving sports leagues, poor performance by the teams playing in a facility, number of playoff games, short-term weather conditions or more prolonged climate change, and adverse economic conditions which would adversely affect revenue and profits.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Natural disasters, global calamities, climate change, political unrest, geopolitical conflicts, energy shortages, sports strikes and other adverse incidents beyond our control could adversely affect our revenue and operating results.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including hurricanes, earthquakes and droughts, global calamities, such as the COVID-19 pandemic and other public health crises, or political unrest and global conflicts, have affected, and in the future could affect, our revenue and operating results. As noted, our revenue and operating results were materially impacted by the COVID-19 pandemic. In the past, due to more geographically isolated natural disasters, such as wildfires in the western United States and hurricanes and extreme cold conditions in the southern United States, we experienced lost and closed client locations, business disruptions and delays, the loss of inventory and other assets, asset impairments and the effect of the temporary conversion of a number of our client locations to provide food and shelter to those left homeless by storms. The acute and chronic effects of global climate change, including the increasing frequency and severity of extreme weather, changing precipitation patterns and rising mean temperatures may result in business disruptions. Climate change may also impact the availability and costs of water, food or other resources that could adversely affect our ability to deliver services.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political unrest and global conflicts have disrupted, and in the future may continue to disrupt, global supply chains and heighten volatility and disruption of global financial markets. While we do not have direct operations within Russia or Ukraine, the conflict involving these nations has heightened the disruption to our supply chain, triggered inflation in our food and labor costs and may increase our risk of cyberattacks. We also do not have direct operations in the Middle East, but the recent Israel-Hamas War and escalating tensions in the region may disrupt global markets and impact our supply chain. The impact of these global events on our longer-term operational and financial performance will depend on future developments, our response and governmental response to inflation, and the duration and severity of such conflicts. Any terrorist attacks or incidents prompted by political unrest, particularly at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or the occurrence of games with limited or no fans attending, has resulted in, and would in the future result in a loss of revenue and reduced profits at the venues we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65455"/>
                <wp:effectExtent l="0" t="0" r="0" b="0"/>
                <wp:wrapNone/>
                <wp:docPr id="15" name="Frame1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Operational Risks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Our failure to retain our current clients, renew our existing client contracts on comparable terms and obtain new client contracts on expected terms could adversely affect our business.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In addition, clients are increasingly focused on and requiring us to make commitments, set targets and meet standards related to environmental sustainability matters, such as waste management, greenhouse gas emissions, including lower-carbon food offerings, animal health and welfare, deforestation and land use. Our ability to retain clients may depend in part on the effectiveness of our response to these expectations. When we renew existing client contracts, it is often on terms that are less favorable or less profitable for us than the initial contract terms. In addition, we typically incur substantial start-up and operating costs and experience lower profit margin and operating cash flows in connection with the establishment of new business and in periods with higher rates of new business, we have experienced and expect to continue to experience negative impact to our profit margin and our cash flows. There can be no assurance that we will be able to obtain new business, renew existing client contracts at the same or higher levels of pricing or that our current clients will not turn to competitors, cease operations, elect to self-operate or terminate contracts with us. These risks may be exacerbated by the current economic environment, due to, among other things, increased cost pressure at our clients, tight labor markets and heightened competition. In addition, consolidation by our clients in the industries we serve could result in our losing business if the combined entity chooses a different provider. The failure to renew a significant number of our existing contracts, including on the same or more favorable terms, or the significant failure to recoup start-up expenses in expected amounts and timeframes for our new business contracts would have a material adverse effect on our business and results of operations and the failure to obtain new business could have an adverse impact on our growth and financial results.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We may be adversely affected if clients reduce their outsourcing or use of preferred vendors.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growth strategies depend in large part on the continuation of a movement toward outsourcing services. Clients will outsource if they perceive that outsourcing may provide quality services at a lower overall cost and permit them to focus on their core business activities. We cannot be certain this trend will continue or not be reversed or that clients that have outsourced functions will not decide to perform these functions themselves.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labor unions representing employees of some of our current and prospective clients have occasionally opposed the outsourcing trend as they believed that current union jobs for their memberships might be lost. In these cases, unions typically seek to prevent public sector entities from outsourcing and if that fails, ensure that jobs that are outsourced continue to be unionized, which can reduce our pricing and operational flexibility with respect to such businesses.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identified a preference among some of our clients towards the retention of a limited number of preferred vendors to provide all or a large part of their required services. We cannot be certain this dynamic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Competition in our industries could adversely affect our results of operations.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customers.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may also face increased competition from offsite food delivery at our clients as online restaurant aggregators and similar businesses, as well as other providers with potentially disruptive business models, have been successful at applying technology developments to local food service. While we have a significant international presence, certain competitors have more extensive portfolios of services and a broader geographic footprint than we do. Therefore, we may be placed at a competitive disadvantage for clients who require multiservice or multinational bids.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Increased operating costs and obstacles to cost recovery due to the pricing and cancellation terms of our contracts may constrain our ability to make a profit.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can be adversely affected to the extent we are faced with cost increases for food, wages, other labor related expenses (including workers' compensation, state unemployment insurance and federal or state mandated health benefits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65455"/>
                <wp:effectExtent l="0" t="0" r="0" b="0"/>
                <wp:wrapNone/>
                <wp:docPr id="16" name="Frame14"/>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pPr>
      <w:r>
        <w:rPr>
          <w:rFonts w:ascii="Times New Roman;sans-serif" w:hAnsi="Times New Roman;sans-serif"/>
          <w:b w:val="false"/>
          <w:color w:val="000000"/>
          <w:sz w:val="20"/>
        </w:rPr>
        <w:t>other healthcare costs), insurance, fuel, utilities, service and small wares, transportation, shipping, piece goods, clothing and equipment, especially to the extent we are unable to recover such increased costs through increases in prices for our products and services due to general economic conditions, inflationary pressures, supply chain disruptions,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pay transparency, employee eligibility for overtime and secure scheduling requirements, which often incorporate a premium pay mandate for scheduling deviations. Oil and natural gas prices have fluctuated significantly in the last several years, which has increased the cost of fuel and utilities. From time to time we have experienced increases in our food costs. Food prices can fluctuate as a result of permanent or temporary changes in supply, including as a result of incidences of severe weather such as droughts, heavy rains and late freezes or climate change, natural disasters or pandemics, geopolitical conflicts, or to the extent we are unable to negotiate favorable terms on volume discounts, rebates or other applicable credits with our suppliers. Increasing demands from clients, customers and other stakeholders relating to sustainability, including that we set reduced emissions, waste and other sustainability targets and take actions to meet them, also could result in increased costs for business.</w:t>
      </w:r>
      <w:r>
        <w:rPr>
          <w:color w:val="000000"/>
        </w:rPr>
        <w:t xml:space="preserve"> </w:t>
      </w:r>
      <w:r>
        <w:rPr>
          <w:rFonts w:ascii="Times New Roman;sans-serif" w:hAnsi="Times New Roman;sans-serif"/>
          <w:b w:val="false"/>
          <w:color w:val="000000"/>
          <w:sz w:val="20"/>
        </w:rPr>
        <w:t xml:space="preserve">We have two main types of contracts in our food and facilities business: profit and loss contracts in which we bear all of the expenses of the contract but gain the benefit of the revenue, and client interest contracts in which our clients share some or all of the expenses and gain some or all of the revenue. Approximately two-thirds of our Food and Support Services revenue in fiscal 2023 is from profit and loss contracts under which we have limited ability to pass on cost increases to our clients. Therefore, absent our ability to negotiate contractual changes, including pricing, we may have to absorb cost increases, which may adversely impact our operating results.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risk that we bear and our profit potential vary depending on the type of contract under which we provide food and support services. We may be unable to fully recover costs on contracts that limit our ability to increase prices. In addition, we provide many of our services under contracts of indefinite term, which are subject to termination on short notice by either party without cause. Some of our profit and loss and client interest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Generally, our contracts also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Our international business faces risks that could have an effect on our results of operations and financial condition.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derived from international business. During fiscal 2023, approximately 23% of our revenue was generated outside of the United States. We currently have a presence in 14 countries outside of the United States with approximately 119,830 personnel. We also provide our services on a more limited basis in several additional countries and in offshore locations. Our international operations are subject to risks, including the requirement to comply with changing, conflicting and unclear national and local regulatory requirements; compliance with the Foreign Corrupt Practices Act, U.K. Bribery Act and other anti-corruption law compliance matters, as well as cybersecurity, data protection, corporate sustainability reporting and supply chain laws; potential difficulties in staffing and labor disputes; differing local labor laws; managing and obtaining support and distribution for local operations; credit risk or financial condition of local clients; potential imposition of restrictions on investments; potentially adverse tax consequences, including imposition or increase of withholding, VAT and other taxes on remittances and other payments by subsidiaries; foreign exchange controls; energy shortages; local political and social conditions; geopolitical tensions, including, for example, tensions between the United States and China or overall global volatility; and the ability to comply with terms of government assistance programs. In addition, the operating results of our non-United States subsidiaries are translated into United States dollars and those results are affected by movements in foreign currencies relative to the United States dollar. Unfavorable fluctuations in foreign currency exchange rates have had, and could in the future continue to have, an adverse effect on our results of operations.</w:t>
      </w:r>
    </w:p>
    <w:p>
      <w:pPr>
        <w:pStyle w:val="TextBody"/>
        <w:bidi w:val="0"/>
        <w:spacing w:lineRule="auto" w:line="288" w:before="100" w:after="60"/>
        <w:jc w:val="left"/>
        <w:rPr/>
      </w:pPr>
      <w:r>
        <w:rPr>
          <w:rFonts w:ascii="Times New Roman;sans-serif" w:hAnsi="Times New Roman;sans-serif"/>
          <w:b w:val="false"/>
          <w:color w:val="000000"/>
          <w:sz w:val="20"/>
        </w:rPr>
        <w:t>Local labor and employment laws in countries outside of the United States can make it more difficult and costly to reduce labor costs in connection with decreases in demand for our services.</w:t>
      </w:r>
      <w:r>
        <w:rPr>
          <w:color w:val="000000"/>
        </w:rPr>
        <w:t xml:space="preserve"> </w:t>
      </w:r>
      <w:r>
        <w:rPr>
          <w:rFonts w:ascii="Times New Roman;sans-serif" w:hAnsi="Times New Roman;sans-serif"/>
          <w:b w:val="false"/>
          <w:color w:val="000000"/>
          <w:sz w:val="20"/>
        </w:rPr>
        <w:t xml:space="preserve">For example, during fiscal 2021, in certain countries we were unable to reduce our international labor costs to reflect the adverse impact of the COVID-19 pandemic to the same extent as we were able to in the United States and therefore the decrease in our international operating income as a percentage of the decrease in our revenues was higher than in our United States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65455"/>
                <wp:effectExtent l="0" t="0" r="0" b="0"/>
                <wp:wrapNone/>
                <wp:docPr id="17" name="Frame1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explore and consider opportunities to develop our business in emerging countries over the long term. Emerging international operations present several additional risks, including greater fluctuation in currencies relative to the United States dollar; economic and governmental instability; civil disturbances; volatility in gross domestic production; and nationalization and expropriation of private assets.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foregoing factors will not have a material adverse effect on our international operations or on our consolidated financial condition and results of operations.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Risks associated with suppliers, service providers and subcontractors could adversely affect our results of operations.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raw materials we use in our business and the finished products we sell are sourced from a wide variety of domestic and international suppliers. We seek to require our suppliers, service providers and subcontractors to comply with applicable laws and otherwise be certified as meeting our supplier standards of conduct. In addition, client, customer and other stakeholder expectations regarding environmental, social and governance considerations for suppliers are evolving. Our ability to find qualified suppliers who meet our standards, including with respect to requirements around sustainably-sourced food and other products; human rights; and to access raw materials and finished products in a timely and efficient manner is a challenge, especially with respect to suppliers located and goods sourced outside the United States and other countries in which we operate. Insolvency or business disruption experienced by suppliers could make it difficult for us to source the items we need to run our business. Political and economic stability in the countries in which foreign suppliers are located, the financial stability of suppliers, suppliers' failure to meet our standards, labor problems experienced by our suppliers, the availability of raw materials and labor to suppliers, cybersecurity issues, currency exchange rates, transport availability and cost, tariffs, inflation and other factors relating to the suppliers and the countries in which they are located are beyond our control. For example, global supply chain disruptions caused by global events, such as the COVID-19 pandemic and the Russian/Ukraine conflict have resulted, and may continue to result, in delivery delays as well as lower fill rates and higher substitution rates for a wide-range of products. While we have continued to modify our business model in response to the current environment, including proactively managing inflation and global supply chain disruption, through supply chain initiatives and by implementing pricing pass-throughs, as appropriate, to cover incremental costs, there is no guarantee that we will be able to continue to do so successfully or on comparable terms in the future if supply chain disruptions continue or worsen. In addition, domestic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are beyond our control. If one of our suppliers were to violate the law, or engage in conduct that results in adverse publicity, our reputation may be harmed simply due to our association with that supplier. Drought, flood, natural disasters and other extreme weather events associated with climate change as well as chronic climate impacts such as rising mean temperatures and changes in precipitation patterns could also result in supply chain disruptions or higher material costs. These and other factors affecting our suppliers and our access to raw materials and finished products could adversely affect our results of operations.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large food service distribution companies to distribute our food and non-food products and a disruption in our relationship with them or their business could result in short-term disruptions to our operations and cost structure. </w:t>
      </w:r>
    </w:p>
    <w:p>
      <w:pPr>
        <w:pStyle w:val="TextBody"/>
        <w:bidi w:val="0"/>
        <w:spacing w:lineRule="auto" w:line="288" w:before="100" w:after="60"/>
        <w:jc w:val="left"/>
        <w:rPr/>
      </w:pPr>
      <w:r>
        <w:rPr>
          <w:rFonts w:ascii="Times New Roman;sans-serif" w:hAnsi="Times New Roman;sans-serif"/>
          <w:b w:val="false"/>
          <w:color w:val="000000"/>
          <w:sz w:val="20"/>
        </w:rPr>
        <w:t>Although we negotiate the pricing and other terms for the majority of our purchases of food and related products in the United States and Canada directly with national manufacturers, we purchase these products and other items through national distributors and suppliers, including Sysco, US Foods, Performance Food Group and regional distributors. Sysco, which distributed approximately 45%</w:t>
      </w:r>
      <w:r>
        <w:rPr>
          <w:color w:val="000000"/>
        </w:rPr>
        <w:t xml:space="preserve"> </w:t>
      </w:r>
      <w:r>
        <w:rPr>
          <w:rFonts w:ascii="Times New Roman;sans-serif" w:hAnsi="Times New Roman;sans-serif"/>
          <w:b w:val="false"/>
          <w:color w:val="000000"/>
          <w:sz w:val="20"/>
        </w:rPr>
        <w:t>of our food and non-food products in the United States and Canada in fiscal 2023 based on purchase dollars, and other distributors are responsible for tracking our orders and delivering products to our specific locations. If our relationship with, or the business of, Sysco or another primary distributor were to be disrupted, we would have to arrange alternative distributors and our operations and cost structure could be adversely affected in the short term. For example, past labor shortages and other labor disputes at our primary distributors exacerbated the recent supply chain issues impacting our business. A cyber, weather or other incident could also disrupt our distributors' operations and, therefore, impact our business in the short term. Similarly, a sudden termination of the relationship with a significant provider in other geographic areas could in the short term adversely affect our ability to provide services and disrupt our client relationships in such areas.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is contract intensive and may lead to client disputes.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 governing our cost determinations, may be subject to differing interpretations which could result in disputes with our clients from time to time. Clients generally have the right to audit our contracts, and we periodically review our compliance with contract terms and provisions. If clients were to dispute our contract determinations, the resolution of such disputes in a manner adverse to our interests could negatively affect revenue and operating results. While we do not believe any reviews, audits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65455"/>
                <wp:effectExtent l="0" t="0" r="0" b="0"/>
                <wp:wrapNone/>
                <wp:docPr id="18" name="Frame16"/>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such matters should result in material adjustments, if a large number of our client arrangements were modified in response to any such matter, the effect could be materially adverse to our business or results of operations.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may suffer if we lose key management personnel, are unable to hire and retain sufficient qualified personnel or if labor costs increase.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much of our future growth and success depends on the continued availability, service and well-being of key executive and management talent. The loss of any of our key executive or senior management personnel could harm our business. In addition, 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or a general scarcity of labor like we have seen in recent periods, there may be a shortage of qualified workers at all levels. Given that our workforce requires large numbers of entry level and skilled workers and managers, low levels of unemployment, a general difficulty finding sufficient employees or mismatches between the labor markets and our skill requirements can compromise our ability in certain areas of our businesses to continue to provide quality service or compete for new business. We are also impacted by the costs and other effects of compliance with United States and international regulations affecting our workforce. These regulations are increasingly focused on employment issues, including pay transparency, wage and hour, healthcare, immigration, retirement and other employee benefits and workplace practices. Compliance and claims of non-compliance with these regulations could result in liability and expense to us and may impede our ability to attract and retain talent. Historically, we have also regularly hired a large number of part-time and seasonal workers. Any difficulty we may encounter in hiring such workers, immigration policies and general labor shortages,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 intensive nature of our businesses and the fact that historically approximately two-thirds of our Food and Support Services segments' revenue is from profit and loss contracts under which we have limited ability to pass along cost increases, a shortage of labor or increases in wage levels in excess of normal levels could have a material adverse effect on our results of operations.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Our expansion strategy involves risks.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In addition, cost savings that we expect to achieve, for example, from the elimination of duplicative expenses and the realization of economies of scale or synergies, may take longer than expected to realize or may ultimately be smaller than we expect. Also, in connection with any acquisition, we could fail to discover liabilities of the acquired company for which we may be responsible as a successor owner or operator in spite of any investigation we make prior to the acquisition, or significant compliance issues which require remediation, resulting in additional unanticipated costs, risk creation, and potential reputational harm.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 increase costs, and could also potentially adversely impact the effectiveness of our disclosure controls and internal controls over financial reporting.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Possible future acquisitions could also result in additional contingent liabilities and amortization expenses related to intangible assets being incurred, which could have a material adverse effect on our business, financial condition or results of operations. In addition, goodwill and other intangible assets resulting from business combinations represent a significant portion of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65455"/>
                <wp:effectExtent l="0" t="0" r="0" b="0"/>
                <wp:wrapNone/>
                <wp:docPr id="19" name="Frame17"/>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goodwill or other intangible assets were deemed to be impaired, we would need to take a charge to earnings to write down these assets to their fair value.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We face risks associated with the recently completed spin-off of our 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2023, we completed the previously announced separation and distribution of the Uniform segment through the pro rata distribution of 130,725,188 shares of common stock, par value $0.01 per share of Vestis to the stockholders of record of the Company as of the close of business on September 20, 2023. While the spin-off has been completed, we are still subject to potentially continued unforeseen costs and expenses, including additional general and administrative costs, costs from lost synergies, restructuring costs or other costs and expenses. The spin-off may hinder our ability to retain existing business and operational relationships, including with clients, customers, suppliers and employees, as well as to cultivate new business relationships. Based on these and other factors we may not be able to achieve the full strategic and financial benefits that are expected as a result of the spin-off.</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Continued or further unionization of our workforce may increase our costs and work stoppages could damage our business.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fiscal year-end, after consideration of the separation and distribution of the Uniform segment, approximately 33,700 employees in our United States and Canadian operations were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We may incur significant liability as a result of our participation in multiemployer defined benefit pension plans.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our locations operate under collective bargaining agreements. Under some of these agreements, we are obligated to contribute to multiemployer defined benefit pension plans. As a contributing employer to such plans, should we trigger either a “complete” or “partial" withdrawal, or should the plan experience a "mass" withdrawal, we could be subject to withdrawal liability for our proportionate share of any unfunded vested benefits which may exist for the particular plan. In addition, if a 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a small number of the plans to which we contribute has deteriorated in the recent past and continues to deteriorate. We proactively monitor the financial status of these and the other multiemployer defined benefit pension plans in which we participate. In addition, any increased funding obligations for underfunded multiemployer defined benefit pension plans could have an adverse financial impact on us.</w:t>
      </w:r>
    </w:p>
    <w:p>
      <w:pPr>
        <w:pStyle w:val="TextBody"/>
        <w:bidi w:val="0"/>
        <w:spacing w:lineRule="auto" w:line="288" w:before="100" w:after="60"/>
        <w:jc w:val="left"/>
        <w:rPr>
          <w:rFonts w:ascii="Times New Roman;sans-serif" w:hAnsi="Times New Roman;sans-serif"/>
          <w:b/>
          <w:color w:val="000000"/>
          <w:sz w:val="20"/>
          <w:u w:val="single"/>
        </w:rPr>
      </w:pPr>
      <w:r>
        <w:rPr>
          <w:rFonts w:ascii="Times New Roman;sans-serif" w:hAnsi="Times New Roman;sans-serif"/>
          <w:b/>
          <w:color w:val="000000"/>
          <w:sz w:val="20"/>
          <w:u w:val="single"/>
        </w:rPr>
        <w:t>Legal, Regulatory, Safety and Security Risks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Laws and governmental regulations relating to food and beverages may subject us to significant liability and reputational harm.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and regulations relating to our business are numerous and complex. A variety of laws and regulations at various governmental levels relate to the handling, preparation, transportation and serving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in particular as we offer more innovative and broad service offerings, or that we will be able to comply with any future laws and regulations. Furthermore, legislation and regulatory attention to food safety is very high. Additional or amended laws or regulations in this area may significantly increase the cost of compliance, expose us to liabilities, or cause reputational harm.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serve alcoholic beverages at many facilities, and must comply with applicable licensing laws, as well as state and local service laws, commonly called dram shop statutes in the United States.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There can be no assurance that additional laws or regulations in this area would not limit our activities in the future or significantly increase the cost of regulatory compliance. We must also obtain and comply with the terms of licenses in order to sell alcoholic beverages in the states in which we serve alcoholic beverages.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65455"/>
                <wp:effectExtent l="0" t="0" r="0" b="0"/>
                <wp:wrapNone/>
                <wp:docPr id="20" name="Frame18"/>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comply with requirements imposed by applicable law or other governmental regulations, we could become subject to lawsuits, investigations and other liabilities and restrictions on our operations that could significantly and adversely affect our business.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supply chain laws, food safety, labeling and sanitation laws, government funded entitlement programs, government assistance programs, cost and accounting principles, the Foreign Corrupt Practices Act, the U.K. Bribery Act, other anti-corruption laws, lobbying laws, motor carrier safety laws, data privacy and security laws and alcohol licensing and service laws.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government agencies have conducted reviews and audits of certain of our practices as part of routine inquiries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cause reputational harm, and impede our growth and retention efforts. In addition, government agencies may make changes in the regulatory frameworks within which we operate that may require either the corporation as a whole or individual businesses to incur substantial increases in costs in order to comply with such laws and regulations.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new interpretations of or changes in the enforcement of the governmental regulatory framework may affect our contracts and contract terms and may reduce our revenue or profits.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our revenue, both in the United States and internationally, is derived from business with government entities, which includes business with United States federal, state and local governments and agencies, as well as international governments and agencies. Changes or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A failure to maintain food safety throughout our supply chain and food-borne illness concerns may result in reputational harm and claims of illness or injury that could adversely affect us.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Food safety is a top priority for us and we dedicate substantial resources to ensuring that our customers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distributors or subcontractors,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Future food safety issues may also from time to time disrupt our business. In addition, product recalls or health concerns associated with food contamination may also increase our raw material costs.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Increases or changes in income tax rates or laws of tax matters could adversely impact our financial results.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multinational corporation, we are subject to income taxes, as well as non-income-based taxes, in both the United States and various foreign jurisdictions. Significant judgment is required in determining our worldwide provision (benefit) for income taxes and other tax liabilities. Changes in tax laws or tax rulings may have a significant adverse impact on our effective tax rate. Additionally, we are subject to regular review and audit by both domestic and foreign tax authorities as well as to the prospective and retrospective effects of changing tax regulations and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65455"/>
                <wp:effectExtent l="0" t="0" r="0" b="0"/>
                <wp:wrapNone/>
                <wp:docPr id="21" name="Frame19"/>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Considering the unpredictability of possible changes to the United States or foreign tax laws and regulations and their potential interdependency, it is very difficult to predict the cumulative effect of such tax laws and regulations on our results of operations and cash flow, but such laws and regulations (and changes thereto) could adversely impact our financial results.</w:t>
      </w:r>
    </w:p>
    <w:p>
      <w:pPr>
        <w:pStyle w:val="TextBody"/>
        <w:bidi w:val="0"/>
        <w:spacing w:lineRule="auto" w:line="268" w:before="100" w:after="60"/>
        <w:jc w:val="left"/>
        <w:rPr>
          <w:rFonts w:ascii="Times New Roman;sans-serif" w:hAnsi="Times New Roman;sans-serif"/>
          <w:b/>
          <w:i/>
          <w:color w:val="000000"/>
          <w:sz w:val="20"/>
        </w:rPr>
      </w:pPr>
      <w:r>
        <w:rPr>
          <w:rFonts w:ascii="Times New Roman;sans-serif" w:hAnsi="Times New Roman;sans-serif"/>
          <w:b/>
          <w:i/>
          <w:color w:val="000000"/>
          <w:sz w:val="20"/>
        </w:rPr>
        <w:t>Our commitments and stakeholder expectations relating to environmental, social and governance ("ESG") considerations may expose us to liabilities, increased costs, reputational harm, and other adverse effects on our business.</w:t>
      </w:r>
    </w:p>
    <w:p>
      <w:pPr>
        <w:pStyle w:val="TextBody"/>
        <w:bidi w:val="0"/>
        <w:spacing w:lineRule="auto" w:line="26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along with many governments, regulators, investors, employees, clients, customers and other stakeholders, are increasingly focused on ESG considerations relating to our business, including greenhouse gas emissions, human and civil rights, animal welfare and diversity, equity and inclusion. New laws and regulations in these areas have been proposed and in some cases adopted, and the criteria used by regulators and other relevant stakeholders to evaluate our ESG practices, capabilities, and performance are, and will continue to, change and evolve, including in ways that may require us to undertake costly initiatives or operational changes. Non-compliance with these emerging rules or standards or a failure to address regulator, stakeholder and societal expectations may result in potential cost increases, litigation, fines, penalties, production and sales restrictions, brand or reputational damage, loss of customers, suppliers and commercial partners, failure to retain and attract talent, lower valuation and higher investor activism activities. In addition, we make statements about our ESG goals, commitments and initiatives through our annual “Be Well. Do Well.” Progress Report, other non-financial reports, information provided on our website, press statements and other communications. Implementing our ESG programs involves risks and uncertainties, including increased costs, requires investments and often depends on third-party performance or data that is outside our control. We cannot guarantee that we will achieve our announced ESG targets and commitments, satisfy all stakeholder expectations, or that the benefits of implementing or achieving these goals and initiatives will not surpass their projected costs. Any failure, or perceived failure, to achieve ESG goals and initiatives, as well as to manage ESG risks, adhere to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Our operations and reputation may be adversely affected by disruptions to or breaches of our information systems or if our data is otherwise compromised.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utilizing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 personal information about, or on behalf of, our potential, current and former clients, customers, employees and other third parties in these systems or engage third parties in connection with storage and processing of this information. Such information includes employee, client and third party data, including credit card numbers, social security numbers, healthcare information and other personal information. Our systems and the systems of our vendors and other third parties are subject to damage or interruption from power outages, computer or telecommunication failures, computer viruses, catastrophic events and implementation delays or difficulties, as well as usage errors by our employees or third party service providers. These systems are also vulnerable to an increasing threat of rapidly evolving cyber-based attacks, including malicious software, attempts to gain unauthorized access to data, including through phishing emails, attempts to fraudulently induce employees or others to 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global cybersecurity program aligned with the five pillars of the National Institute of Standards and Technology Cybersecurity Framework: Identification, Prevention, Detection, Response and Recovery. Our cross functional Cyber Governance Committee is responsible for prioritizing and managing evolving cyber risks. During the normal course of business, we have experienced and expect to continue to experience cyber-based attacks and other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65455"/>
                <wp:effectExtent l="0" t="0" r="0" b="0"/>
                <wp:wrapNone/>
                <wp:docPr id="22" name="Frame20"/>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risks evolve, such insurance may not be available to us on commercially reasonable terms or at all. The occurrence of some or all of the foregoing could have a material adverse effect on our results of operations, financial condition, business and reputation.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laws and regulations in the United States and internationally, as well as contractual obligations and other security standards, each designed to protect the personal information of clients, customers, employees and other third parties that we collect and maintain. Additionally, as a global company we are subject to laws, rules and regulations regarding cross-border data flows and recent legal developments have created increased complexity and uncertainty regarding transfers of personal data from the European Union to the United States. These recent developments require us to review and amend the legal mechanisms by which we make and receive such cross-border personal data transfers. Since we accept debit and credit cards for payment from clients and customers, we are also subject to various industry data protection standards and protocols, such as payment network security operating guidelines and the Payment Card Industry Data Security Standard. In certain circumstances, payment card association rules and obligations make us liable to payment card issuers if information in connection with payment cards and payment card transactions that we hold is compromised, the liabilities for which could be substantial. These laws, regulations and obligations are increasing in complexity and number, change frequently and may be inconsistent across the various countries in which we operate. Other jurisdictions, including at both the federal and state level in the United States, have enacted or are considering similar data protection laws, and/or are considering data localization laws that require data to stay within their borders. Our systems and the systems maintained or used by third parties and service providers to process data on our behalf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in one or more jurisdictions and we could experience a material adverse effect on our results of operations, financial condition and business.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Environmental requirements may subject us to significant liability and limit our ability to grow.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environmental protection laws and regulations, including the United States Federal Clean Water Act, Clean Air Act, Resource Conservation and Recovery Act, Comprehensive Environmental Response, Compensation and Liability Act and similar federal, state, local and international statutes and regulations governing the use, management and disposal of chemicals and hazardous materials. 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changes to environmental laws may subject us to additional costs or cause us to change aspects of our business. In particular, new federal, state, local or international laws and regulations related to climate change (including, but not limited to, certain requirements relating to the disclosure of greenhouse gas emissions and associated business risks), single use plastics and disposable packaging and food waste, could affect our operations or result in significant additional expense and operating restrictions on us. Under United States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 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65455"/>
                <wp:effectExtent l="0" t="0" r="0" b="0"/>
                <wp:wrapNone/>
                <wp:docPr id="23" name="Frame21"/>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Indebtedness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leveraged. As of September 29, 2023, our outstanding indebtedness was $8,263.5 million. We had additional availability of $953.8 million under our revolving credit facilities and availability of $600.0 million under the Receivables Facility as of that date. Subsequent to fiscal year-end, after consideration of the separation and distribution of the Uniform segment and repayment of the 6.375% Senior Notes due 2025, our outstanding indebtedness was $5,149.5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degree of leverage could have important consequences, including: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exposing us to the risk of increased interest rates as certain of our borrowings, including borrowings under our senior secured credit facilities and our Receivables Facility, are at variable rates of interest;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making it more difficult for us to make payments on our indebtedness;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increasing our vulnerability to general economic and industry conditions;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requiring a substantial portion of cash flow from operations to be dedicated to the payment of principal and interest on our indebtedness, thereby reducing our ability to use our cash flow to fund our operations, capital expenditures and future business opportunities;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restricting us from making strategic acquisitions or causing us to make non-strategic divestitures;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limiting our ability to obtain additional financing for working capital, capital expenditures, debt service requirements, acquisitions and general corporate or other purposes;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limiting our ability to adjust to changing market conditions and placing us at a competitive disadvantage compared to our competitors who are less highly leveraged; and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limiting our ability to benefit from tax deductions for such payments under certain interest expense limitation rules included in the Tax Cuts and Jobs Act of 2017 and pursuant to similar regulations in other countries.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pStyle w:val="TextBody"/>
        <w:bidi w:val="0"/>
        <w:spacing w:lineRule="auto" w:line="288" w:before="0" w:after="0"/>
        <w:jc w:val="left"/>
        <w:rPr/>
      </w:pPr>
      <w:r>
        <w:rPr>
          <w:rFonts w:ascii="Times New Roman;sans-serif" w:hAnsi="Times New Roman;sans-serif"/>
          <w:b w:val="false"/>
          <w:color w:val="000000"/>
          <w:sz w:val="20"/>
        </w:rPr>
        <w:t>On July 27, 2017, the U.K. Financial Conduct Authority announced that it intended to stop requiring banks to submit LIBOR rates after 2021. On March 5, 2021, the ICE Benchmark Administration announced that all non-USD key LIBORs would cease publication after 2021, and select USD LIBOR rates would continue until June 30, 2023. The Alternative Reference Rates Committee, which was convened by the</w:t>
      </w:r>
      <w:r>
        <w:rPr>
          <w:color w:val="000000"/>
        </w:rPr>
        <w:t xml:space="preserve"> </w:t>
      </w:r>
      <w:r>
        <w:rPr>
          <w:rFonts w:ascii="Times New Roman;sans-serif" w:hAnsi="Times New Roman;sans-serif"/>
          <w:b w:val="false"/>
          <w:color w:val="000000"/>
          <w:sz w:val="24"/>
        </w:rPr>
        <w:t>F</w:t>
      </w:r>
      <w:r>
        <w:rPr>
          <w:rFonts w:ascii="Times New Roman;sans-serif" w:hAnsi="Times New Roman;sans-serif"/>
          <w:b w:val="false"/>
          <w:color w:val="000000"/>
          <w:sz w:val="20"/>
        </w:rPr>
        <w:t>ederal Reserve Board and the New York Federal Reserve, identified the Secured Overnight Financing Rate (“SOFR”) as the recommended risk-free alternative rate for USD LIBOR. As a result, on June 29, 2023, we amended our senior secured credit agreement (as supplemented or otherwise modified from time to time, the "Credit Agreement") to provide for a transition of the underlying interest rate applicable to all term loans outstanding and revolving credit commitments and loans available and/or outstanding, in each case, under the Credit Agreement, from a LIBOR-based rate to a forward-looking term rate based on SOFR.</w:t>
      </w:r>
      <w:r>
        <w:rPr>
          <w:color w:val="000000"/>
        </w:rPr>
        <w:t xml:space="preserve"> </w:t>
      </w:r>
      <w:r>
        <w:rPr>
          <w:rFonts w:ascii="Times New Roman;sans-serif" w:hAnsi="Times New Roman;sans-serif"/>
          <w:b w:val="false"/>
          <w:color w:val="000000"/>
          <w:sz w:val="20"/>
        </w:rPr>
        <w:t>At this time, it is not possible to predict the full effect that the discontinuance of LIBOR, or the establishment of alternative reference rates such as SOFR, will have on us or our borrowing costs. SOFR is a relatively new reference rate and its composition and characteristics are not the same as LIBOR. Given the limited history of this rate and potential volatility as compared to other benchmark or market rates, the future performance of this rate cannot be predicted based on historical performance. The consequences of using SOFR could include an increase in the cost of our variable rate indebtedness.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Our variable rate indebtedness subjects us to interest rate risk, which could cause our debt service obligations to increase significantly and potentially limit our ability to effectively refinance our indebtedness as it matures.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bear interest at variable rates and expose us to interest rate risk. If interest rates increase and we do not hedge such variable rates, our debt service obligations on the variable rate indebtedness will increase even though the amount borrowed will remain the same, which will negatively impact our net income and operating cash flows, including cash available for servicing our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65455"/>
                <wp:effectExtent l="0" t="0" r="0" b="0"/>
                <wp:wrapNone/>
                <wp:docPr id="24" name="Frame22"/>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ability to refinance portions of our indebtedness in advance of their maturity dates depends on securing new financing bearing interest at rates that we are able to service. While we believe that we currently have adequate cash flows to service the interest rates currently applicable to our indebtedness, if interest rates were to continue to rise significantly, we might be unable to maintain a level of cash flows from operating activities sufficient to meet our debt service obligations at such increased rates.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If our financial performance were to deteriorate, we may not be able to generate sufficient cash to service all of our indebtedness and may be forced to take other actions to satisfy our obligations under our indebtedness, which may not be successful.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scheduled payments on or to refinance our debt obligations depends on our financial condition and operating performance, which is subject to prevailing economic and competitive conditions and to certain financial, business and other factors beyond our control.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Credit Agreement and the indentures governing our senior notes restrict our ability to dispose of assets and use the proceeds from any disposition of assets and to refinance our indebtedness. We may not be able to consummate those dispositions or to obtain the proceeds that we could realize from them and these proceeds may not be adequate to meet any debt service obligations then due.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Our debt agreements contain restrictions that limit our flexibility in operating our business.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Agreement and the indentures governing our senior notes contain various covenants that limit our ability to engage in specified types of transactions. These covenants limit our and our restricted subsidiaries' ability to, among other things: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incur additional indebtedness, refinance or restructure indebtedness or issue certain preferred shares;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pay dividends on, repurchase or make distributions in respect of our capital stock, make unscheduled payments on our notes, repurchase or redeem our senior notes or make other restricted payments;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make certain investments;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sell certain assets;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create liens;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consolidate, merge, sell or otherwise dispose of all or substantially all of our assets; and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enter into certain transactions with our affiliates.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 and tests. A breach of any of these covenants could result in a default under the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Credit Agreement. If the lenders under the senior secured credit facilities accelerate the repayment of borrowings, there can be no assurance that we will have sufficient assets to repay those borrowings, as well as our unsecured indebtedness. If our 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65455"/>
                <wp:effectExtent l="0" t="0" r="0" b="0"/>
                <wp:wrapNone/>
                <wp:docPr id="25" name="Frame2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pPr>
      <w:r>
        <w:rPr>
          <w:color w:val="000000"/>
        </w:rPr>
        <w:t> </w:t>
      </w:r>
      <w:r>
        <w:rPr>
          <w:rFonts w:ascii="Times New Roman;sans-serif" w:hAnsi="Times New Roman;sans-serif"/>
          <w:b/>
          <w:i/>
          <w:color w:val="000000"/>
          <w:sz w:val="20"/>
        </w:rPr>
        <w:t xml:space="preserve">There can be no assurance that we will continue to pay dividends on our common stock, and our indebtedness could limit our ability to pay dividends on our common stock.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Operations—Liquidity and Capital Resources—Covenant Compliance." In addition, our decision to pay dividends is impacted by results of operations and available cash. Although we have paid cash dividends in the past, there can be no assurance that we will continue to pay any dividend in the future. </w:t>
      </w:r>
    </w:p>
    <w:p>
      <w:pPr>
        <w:pStyle w:val="TextBody"/>
        <w:bidi w:val="0"/>
        <w:spacing w:lineRule="auto" w:line="288" w:before="100" w:after="6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Ownership of Our Common Stock and Provisions in our Organizational Documents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Our share price may change significantly, and you may not be able to resell shares of our common stock at or above the price you paid or at all, and you could lose all or part of your investment as a result.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as reported by the NYSE, has in the past and could in the future fluctuate due to a number of factors such as those listed in “—Risks Related to Our Business” and include, but are not limited to, the following, some of which are beyond our control:</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quarterly variations in our results of operations;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results of operations that vary from the expectations of securities analysts and investors;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results of operations that vary from those of our competitors;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changes in expectations as to our future financial performance, including financial estimates by securities analysts and investors;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announcements by us, our competitors or our vendors of significant contracts, acquisitions, divestitures, joint marketing relationships, joint ventures or capital commitments;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announcements by third parties of significant claims or proceedings against us;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future sales of our common stock;</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general domestic and international economic conditions;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unexpected and sudden changes in senior management.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 has experienced extreme volatility that, in some cases, has been unrelated or disproportionate to the operating performance of particular companies. As evidenced by the COVID-19 pandemic, these broad market and industry fluctuations may adversely affect the market price of our common stock, regardless of our actual operating performance.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organizational documents could delay or prevent a change of control.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provide for, among other things: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the ability of our Board of Directors to issue one or more series of preferred stock;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advance notice for nominations of directors by stockholders and for stockholders to include matters to be considered at our annual meetings;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certain limitations on convening special stockholder meetings;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65455"/>
                <wp:effectExtent l="0" t="0" r="0" b="0"/>
                <wp:wrapNone/>
                <wp:docPr id="26" name="Frame24"/>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the removal of directors only upon the affirmative vote of the holders of at least 75% in voting power of all the then-outstanding common stock of the company entitled to vote thereon, voting together as a single class; and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that certain provisions may be amended only by the affirmative vote of the holders of at least 75% in voting power of all the then-outstanding common stock of the company entitled to vote thereon, voting together as a single class.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currently leased at 2400 Market Street, Philadelphia, Pennsylvania 19103. We own 14 buildings that we use in our FSS United States segment, including several office/warehouse spaces, and we lease 114 premises, consisting of offices, office/warehouses and distribution centers. In addition, we own 6 properties consisting of offices, land and warehouses and lease 63 facilities throughout the world that we use in our FSS International segment. We also maintain other real estate and leasehold improvements. No individual parcel of real estate owned or leased is of material significance to our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65455"/>
                <wp:effectExtent l="0" t="0" r="0" b="0"/>
                <wp:wrapNone/>
                <wp:docPr id="27" name="Frame2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subsidiaries are party to various legal actions, proceedings and investigations involving claims incidental to the conduct of their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September 29,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65455"/>
                <wp:effectExtent l="0" t="0" r="0" b="0"/>
                <wp:wrapNone/>
                <wp:docPr id="28" name="Frame26"/>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as of November 21, 2023 are as follows:</w:t>
      </w:r>
    </w:p>
    <w:tbl>
      <w:tblPr>
        <w:tblW w:w="9892" w:type="dxa"/>
        <w:jc w:val="left"/>
        <w:tblInd w:w="0" w:type="dxa"/>
        <w:tblLayout w:type="fixed"/>
        <w:tblCellMar>
          <w:top w:w="28" w:type="dxa"/>
          <w:left w:w="28" w:type="dxa"/>
          <w:bottom w:w="28" w:type="dxa"/>
          <w:right w:w="28" w:type="dxa"/>
        </w:tblCellMar>
      </w:tblPr>
      <w:tblGrid>
        <w:gridCol w:w="711"/>
        <w:gridCol w:w="621"/>
        <w:gridCol w:w="633"/>
        <w:gridCol w:w="109"/>
        <w:gridCol w:w="109"/>
        <w:gridCol w:w="109"/>
        <w:gridCol w:w="135"/>
        <w:gridCol w:w="135"/>
        <w:gridCol w:w="136"/>
        <w:gridCol w:w="109"/>
        <w:gridCol w:w="109"/>
        <w:gridCol w:w="109"/>
        <w:gridCol w:w="1588"/>
        <w:gridCol w:w="1588"/>
        <w:gridCol w:w="1609"/>
        <w:gridCol w:w="109"/>
        <w:gridCol w:w="109"/>
        <w:gridCol w:w="109"/>
        <w:gridCol w:w="514"/>
        <w:gridCol w:w="514"/>
        <w:gridCol w:w="727"/>
      </w:tblGrid>
      <w:tr>
        <w:trPr/>
        <w:tc>
          <w:tcPr>
            <w:tcW w:w="71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ans-serif" w:hAnsi="Times New Roman;sans-serif"/>
                <w:b/>
                <w:color w:val="000000"/>
                <w:sz w:val="18"/>
              </w:rPr>
            </w:pPr>
            <w:r>
              <w:rPr>
                <w:rFonts w:ascii="Times New Roman;sans-serif" w:hAnsi="Times New Roman;sans-serif"/>
                <w:b/>
                <w:color w:val="000000"/>
                <w:sz w:val="18"/>
              </w:rPr>
              <w:t>With Aramark Since</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Zillmer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G. Ondrof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Abigail A. Charpentier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 A. Harrington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2006</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A. Bruno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United States Food and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1993</w:t>
            </w:r>
          </w:p>
        </w:tc>
      </w:tr>
    </w:tbl>
    <w:p>
      <w:pPr>
        <w:pStyle w:val="TextBody"/>
        <w:bidi w:val="0"/>
        <w:spacing w:lineRule="auto" w:line="288" w:before="100" w:after="60"/>
        <w:jc w:val="left"/>
        <w:rPr/>
      </w:pPr>
      <w:r>
        <w:rPr>
          <w:rFonts w:ascii="Times New Roman;sans-serif" w:hAnsi="Times New Roman;sans-serif"/>
          <w:b/>
          <w:color w:val="000000"/>
          <w:sz w:val="20"/>
        </w:rPr>
        <w:t xml:space="preserve">John J. Zillmer </w:t>
      </w:r>
      <w:r>
        <w:rPr>
          <w:rFonts w:ascii="Times New Roman;sans-serif" w:hAnsi="Times New Roman;sans-serif"/>
          <w:b w:val="false"/>
          <w:color w:val="000000"/>
          <w:sz w:val="20"/>
        </w:rPr>
        <w:t>was appointed Chief Executive Officer and a member of the Board of Directors in October 2019. Prior to joining us, Mr. Zillmer served as Chief Executive Officer and Executive Chairman of Univar from 2009 to 2012. Prior to that, he served as Chairman and Chief Executive Officer of Allied Waste Industries from 2005 to 2008 and held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the Board of Directors of Ecolab, Inc. Mr. Zillmer was formerly on the Board of Directors of Veritiv Corporation, Performance Food Group (PFG) Company, Inc. and Reynolds American Inc.</w:t>
      </w:r>
    </w:p>
    <w:p>
      <w:pPr>
        <w:pStyle w:val="TextBody"/>
        <w:bidi w:val="0"/>
        <w:spacing w:lineRule="auto" w:line="288" w:before="100" w:after="60"/>
        <w:jc w:val="left"/>
        <w:rPr/>
      </w:pPr>
      <w:r>
        <w:rPr>
          <w:rFonts w:ascii="Times New Roman;sans-serif" w:hAnsi="Times New Roman;sans-serif"/>
          <w:b/>
          <w:color w:val="000000"/>
          <w:sz w:val="20"/>
        </w:rPr>
        <w:t>Thomas G. Ondrof</w:t>
      </w:r>
      <w:r>
        <w:rPr>
          <w:color w:val="000000"/>
        </w:rPr>
        <w:t xml:space="preserve"> </w:t>
      </w:r>
      <w:r>
        <w:rPr>
          <w:rFonts w:ascii="Times New Roman;sans-serif" w:hAnsi="Times New Roman;sans-serif"/>
          <w:b w:val="false"/>
          <w:color w:val="000000"/>
          <w:sz w:val="20"/>
        </w:rPr>
        <w:t>was appointed Executive Vice President and Chief Financial Officer in January 2020. Prior to joining us, Mr. Ondrof served as Head of Strategic Growth of Performance Food Group from March 2018 to December 2019 and Chief Financial Officer of Performance Food Group from October 2016 to March 2018. Prior to that, he served in a variety of financial and business development leadership roles at Compass Group North America, including Chief Development Officer, Chief Strategy Officer and Chief Financial Officer.</w:t>
      </w:r>
    </w:p>
    <w:p>
      <w:pPr>
        <w:pStyle w:val="TextBody"/>
        <w:bidi w:val="0"/>
        <w:spacing w:lineRule="auto" w:line="288" w:before="100" w:after="60"/>
        <w:jc w:val="left"/>
        <w:rPr/>
      </w:pPr>
      <w:r>
        <w:rPr>
          <w:rFonts w:ascii="Times New Roman;sans-serif" w:hAnsi="Times New Roman;sans-serif"/>
          <w:b/>
          <w:color w:val="000000"/>
          <w:sz w:val="20"/>
        </w:rPr>
        <w:t>Abigail A. Charpentier</w:t>
      </w:r>
      <w:r>
        <w:rPr>
          <w:color w:val="000000"/>
        </w:rPr>
        <w:t xml:space="preserve"> </w:t>
      </w:r>
      <w:r>
        <w:rPr>
          <w:rFonts w:ascii="Times New Roman;sans-serif" w:hAnsi="Times New Roman;sans-serif"/>
          <w:b w:val="false"/>
          <w:color w:val="000000"/>
          <w:sz w:val="20"/>
        </w:rPr>
        <w:t>was appointed Senior Vice President and Chief Human Resources Officer in December 2022 effective January 2023. From August 2021 to January 2023, Ms. Charpentier served as Senior Vice President, Human Resources and Diversity, Aramark United States Food &amp; Facilities. Previously Ms. Charpentier was a Vice President, People &amp; Culture, the Americas of Four Seasons Hotels &amp; Resorts from 2018 to 2021. Prior to that, Ms. Charpentier also served in various Human Resources and operational positions at Aramark from 1995 until 2018, including as Vice President, Human Resources at Aramark Headquarters from 2017 to 2018 and Vice President, Human Resources, Aramark Education from 2014 to 2017.</w:t>
      </w:r>
    </w:p>
    <w:p>
      <w:pPr>
        <w:pStyle w:val="TextBody"/>
        <w:bidi w:val="0"/>
        <w:spacing w:lineRule="auto" w:line="288" w:before="100" w:after="60"/>
        <w:jc w:val="left"/>
        <w:rPr/>
      </w:pPr>
      <w:r>
        <w:rPr>
          <w:rFonts w:ascii="Times New Roman;sans-serif" w:hAnsi="Times New Roman;sans-serif"/>
          <w:b/>
          <w:color w:val="000000"/>
          <w:sz w:val="20"/>
        </w:rPr>
        <w:t xml:space="preserve">Lauren A. Harrington </w:t>
      </w:r>
      <w:r>
        <w:rPr>
          <w:rFonts w:ascii="Times New Roman;sans-serif" w:hAnsi="Times New Roman;sans-serif"/>
          <w:b w:val="false"/>
          <w:color w:val="000000"/>
          <w:sz w:val="20"/>
        </w:rPr>
        <w:t>was appointed Senior Vice President and General Counsel in March 2019. From August 2009 to March 2019, Ms. Harrington served as Vice President and Associate General Counsel and from May 2006 to August 2009, she served as Assistant General Counsel. Before joining us, Ms. Harrington was an Associate at WilmerHale LLP.</w:t>
      </w:r>
    </w:p>
    <w:p>
      <w:pPr>
        <w:pStyle w:val="TextBody"/>
        <w:bidi w:val="0"/>
        <w:spacing w:lineRule="auto" w:line="288" w:before="100" w:after="60"/>
        <w:jc w:val="left"/>
        <w:rPr/>
      </w:pPr>
      <w:r>
        <w:rPr>
          <w:rFonts w:ascii="Times New Roman;sans-serif" w:hAnsi="Times New Roman;sans-serif"/>
          <w:b/>
          <w:color w:val="000000"/>
          <w:sz w:val="20"/>
        </w:rPr>
        <w:t xml:space="preserve">Marc A. Bruno </w:t>
      </w:r>
      <w:r>
        <w:rPr>
          <w:rFonts w:ascii="Times New Roman;sans-serif" w:hAnsi="Times New Roman;sans-serif"/>
          <w:b w:val="false"/>
          <w:color w:val="000000"/>
          <w:sz w:val="20"/>
        </w:rPr>
        <w:t>was appointed Chief Operating Officer, United States Food and Facilities in November 2019. From 2018 to November 2019, Mr. Bruno served as Chief Operating Officer, Sports, Leisure, Corrections, Facilities and K-12. From 2014 to 2018, Mr. Bruno served as Chief Operating Officer, Sports, Leisure and Corrections. From 2008 to 2014, he served as President, Sports and Entertainment, and prior to that he served in various other positions within our food and support services business from 1993 to 2008. Mr. Bruno serves on the Board of Directors of United Rentals, Inc., Special Olympics of Pennsylvania and Alex's Lemonade Stand Foundation.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65455"/>
                <wp:effectExtent l="0" t="0" r="0" b="0"/>
                <wp:wrapNone/>
                <wp:docPr id="29" name="Frame27"/>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ind w:left="0" w:right="0" w:hanging="1080"/>
        <w:jc w:val="left"/>
        <w:rPr/>
      </w:pPr>
      <w:r>
        <w:rPr>
          <w:rFonts w:ascii="Times New Roman;sans-serif" w:hAnsi="Times New Roman;sans-serif"/>
          <w:b/>
          <w:color w:val="000000"/>
          <w:sz w:val="20"/>
        </w:rPr>
        <w:t>Item 5.</w:t>
      </w:r>
      <w:r>
        <w:rPr>
          <w:color w:val="000000"/>
        </w:rPr>
        <w:t>    </w:t>
      </w:r>
      <w:r>
        <w:rPr>
          <w:rFonts w:ascii="Times New Roman;sans-serif" w:hAnsi="Times New Roman;sans-serif"/>
          <w:b/>
          <w:color w:val="000000"/>
          <w:sz w:val="20"/>
        </w:rPr>
        <w:t>Market for Registrant’s Common Equity, Related Stockholder Matters and Issuer Purchases of Equity Securities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began trading on December 12, 2013 and are quoted on the NYSE under the ticker symbol “ARMK.” As of October 27, 2023, there were approximately 934 holders of record of our outstanding common stock. This does not include persons who hold our common stock in nominee or “street name” accounts through brokers or banks.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Stock Price Performance</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from September 28, 2018, the last trading day of fiscal 2018, through September 29, 2023 of the cumulative total return for our common stock, The Standard &amp; Poor’s (“S&amp;P”) 500 Stock Index and The Dow Jones Consumer Non-Cyclical Index ("DJUSCY"). The graph assumes that $100 was invested in our common stock and in each index at the market close on September 28, 2018 and assumes that all dividends were reinvested. The stock price performance of the following graph is not necessarily indicative of future stock price performance.</w:t>
      </w:r>
    </w:p>
    <w:p>
      <w:pPr>
        <w:pStyle w:val="TextBody"/>
        <w:bidi w:val="0"/>
        <w:spacing w:before="100" w:after="60"/>
        <w:jc w:val="center"/>
        <w:rPr/>
      </w:pPr>
      <w:r>
        <w:rPr/>
        <w:drawing>
          <wp:inline distT="0" distB="0" distL="0" distR="0">
            <wp:extent cx="5076825" cy="2533650"/>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5076825" cy="253365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698"/>
        <w:gridCol w:w="612"/>
        <w:gridCol w:w="619"/>
        <w:gridCol w:w="253"/>
        <w:gridCol w:w="740"/>
        <w:gridCol w:w="131"/>
        <w:gridCol w:w="109"/>
        <w:gridCol w:w="109"/>
        <w:gridCol w:w="109"/>
        <w:gridCol w:w="253"/>
        <w:gridCol w:w="740"/>
        <w:gridCol w:w="131"/>
        <w:gridCol w:w="109"/>
        <w:gridCol w:w="109"/>
        <w:gridCol w:w="109"/>
        <w:gridCol w:w="235"/>
        <w:gridCol w:w="688"/>
        <w:gridCol w:w="121"/>
        <w:gridCol w:w="109"/>
        <w:gridCol w:w="109"/>
        <w:gridCol w:w="109"/>
        <w:gridCol w:w="235"/>
        <w:gridCol w:w="688"/>
        <w:gridCol w:w="121"/>
        <w:gridCol w:w="109"/>
        <w:gridCol w:w="109"/>
        <w:gridCol w:w="109"/>
        <w:gridCol w:w="253"/>
        <w:gridCol w:w="740"/>
        <w:gridCol w:w="131"/>
        <w:gridCol w:w="109"/>
        <w:gridCol w:w="109"/>
        <w:gridCol w:w="109"/>
        <w:gridCol w:w="251"/>
        <w:gridCol w:w="735"/>
        <w:gridCol w:w="195"/>
      </w:tblGrid>
      <w:tr>
        <w:trPr/>
        <w:tc>
          <w:tcPr>
            <w:tcW w:w="69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Consumer Non-Cyclical Index</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unregistered sales of equity securities during the fiscal year ended September 29, 2023 which have not been previously disclosed in a quarterly report on Form 10-Q or a current report on Form 8-K.</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equity securities by us in the fourth fiscal quarter ended September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65455"/>
                <wp:effectExtent l="0" t="0" r="0" b="0"/>
                <wp:wrapNone/>
                <wp:docPr id="31" name="Frame28"/>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Item 7.</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OF FINANCIAL CONDITION AND RESULTS OF OPERATIONS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Aramark's (the "Company," "we," "our" and "us") financial condition and results of operations for the fiscal years ended September 29, 2023 and September 30, 2022 should be read in conjunction with our audited consolidated financial statements and the notes to those statements. Discussion and analysis of our financial condition and results of operations for the fiscal year ended September 30, 2022 compared to the fiscal year ended October 1, 2021 is included under the heading Item 7 “Management’s Discussion and Analysis of Financial Condition and Results of Operations - Results of Operations - Fiscal 2022 Compared to Fiscal 2021 and - Liquidity and Capital Resources” in our Annual Report on Form 10-K filed for the fiscal year ended September 30, 2022 with the Securities and Exchange Commission ("SEC") on November 22, 2022.</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SEC rules. These rules require supplemental explanation and reconciliation, which is provided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provider of food and facilities services to education, healthcare, business &amp; industry and sports, leisure &amp; corrections clients. Our core market is the United States, which is supplemented by an additional 14-country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customers including students, patients, employees, sports fans and guests worldwide.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end of fiscal 2023, we completed the previously announced separation of our Uniform segment into an independent publicly traded company, Vestis Corporation (“Vestis”), on September 30, 2023. Going forward, we plan to operate our remaining Food and Support Services business in two geographic reportable segments split between our United States and International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separation, we operated our business in three reportable segments: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Food and Support Services United States ("FSS United States") - Food, refreshment, specialized dietary and support services, including facility maintenance and housekeeping, provided to business, educational and healthcare institutions and in sports, leisure and other facilities serving the general public in the United States.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Food and Support Services International ("FSS International") - Food, refreshment, specialized dietary and support services, including facility maintenance and housekeeping, provided to business, educational and healthcare institutions and in sports, leisure and other facilities serving the general public. We have operations in 14 countries outside the United States. Our largest international operations are in Canada, Chile, China, Germany, Spain and the United Kingdom, and in a majority of these countries we are one of the leading food and/or facility services providers.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Uniform and Career Apparel ("Uniform") - Provided a full-service employee uniform solution, resulting in a contracted and recurring revenue model. The customer base was serviced by a leading geographic footprint in the United States and Canada with programs focused on uniforms, floor mats, towels, linens, restroom supplies, first-aid supplies, safety products and other workplace supplies. Customers operated in the United States and Canada in a wide range of industries, including manufacturing, hospitality, retail, food processing, pharmaceuticals, healthcare and automotive.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reportable segments are presented separately as corporate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65455"/>
                <wp:effectExtent l="0" t="0" r="0" b="0"/>
                <wp:wrapNone/>
                <wp:docPr id="32" name="Frame29"/>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Aramark’s Spin-off of the 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separation of our Uniform segment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 With the completion of the separation and distribution, the historical results of the Uniform segment will be presented as discontinued operations in the Company's consolidated financial statements beginning in the first quarter of fiscal 2024. Refer to Note 15 to the audited consolidated financial statements for Uniform reportable segment financial disclosures.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Business Update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Continued volatility of global economies and financial markets caused by global events and other factors, including the ongoing conflict between Russia and Ukraine and the recent Israel-Hamas War and escalating tensions in the region, has caused inflation in product, energy and labor costs, has increased market interest rates and has driven significant changes in foreign currencies. Although we continue to see a moderation in inflation in some markets around the world, including the United States, we continue to evaluate and react to the effects of global economic disruptions, including inflationary pressures on product and energy costs and greater labor challenges. We expect these challenges to continue in the near-term, and we regularly evaluate and believe we take appropriate actions to mitigate risk in these areas. This includes addressing inflation and global supply chain disruption through management of operating costs, including supply chain initiatives and pricing pass-throughs.</w:t>
      </w:r>
    </w:p>
    <w:p>
      <w:pPr>
        <w:pStyle w:val="TextBody"/>
        <w:bidi w:val="0"/>
        <w:spacing w:lineRule="auto" w:line="268" w:before="100" w:after="60"/>
        <w:jc w:val="left"/>
        <w:rPr>
          <w:rFonts w:ascii="Times New Roman;sans-serif" w:hAnsi="Times New Roman;sans-serif"/>
          <w:b/>
          <w:i/>
          <w:color w:val="000000"/>
          <w:sz w:val="20"/>
        </w:rPr>
      </w:pPr>
      <w:r>
        <w:rPr>
          <w:rFonts w:ascii="Times New Roman;sans-serif" w:hAnsi="Times New Roman;sans-serif"/>
          <w:b/>
          <w:i/>
          <w:color w:val="000000"/>
          <w:sz w:val="20"/>
        </w:rPr>
        <w:t>Acquisition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 2022, we completed the acquisition of Union Supply Group, Inc. ("Union Supply"), a commissary goods and services supplier, for cash consideration of $199.6 million, plus contingent consideration (see Note 2 and Note 16 to the audited consolidated financial statements).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Sale of AIM Services Co., Ltd Equity Investment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April 6, 2023, we sold our 50% ownership interest in AIM Services Co., Ltd., a leading Japanese food services company, to Mitsui &amp; Co., Ltd. for $535.0 million in cash in a taxable transaction resulting in a pre-tax gain on sale of this equity investment of $377.1 million ($278.7 million net of tax) during fiscal 2023 (see Note 1 to the audited consolidated financial statements).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Sources of Revenue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clients engage us, generally through written contracts, to provide our services at their locations. Depending on the type of client and service, we are paid either by our client or directly by the customer to whom we have been provided access by our client. We typically use either profit and loss contracts or client interest contracts in our FSS United States and FSS International segments.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2023, approximately two-thirds of our FSS United States and FSS International segment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2023, approximately one-third of our FSS United States and FSS International segment revenue was derived from client interest contracts.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costs and expenses are comprised of cost of services provided (exclusive of depreciation and amortization), depreciation and amortization and selling and general corporate expenses. Cost of services provided (exclusive of depreciation and amortization) consists of direct expenses associated with our operations, which includes food costs, wages, other labor-related expenses (including workers' compensation, severance, state unemployment insurance and federal or state mandated health benefits and other healthcare costs), insurance, fuel, utilities, piece goods and clothing and equipment. Direct expense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65455"/>
                <wp:effectExtent l="0" t="0" r="0" b="0"/>
                <wp:wrapNone/>
                <wp:docPr id="33" name="Frame30"/>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food costs within Cost of services provided (exclusive of depreciation and amortization) are offset by rebates, vendor allowances and volume discounts. Depreciation and amortization expenses mainly relate to assets used in generating revenue. Selling and general corporate expenses include sales commissions, severance, share-based compensation and other unallocated costs related to administrative functions including finance, legal and human resources.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Interest and Other Financing Costs, net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 relates primarily to interest expense on long-term borrowings. Interest and other financing costs, net also includes third-party costs associated with long-term borrowings that were capitalized and are being amortized over the term of the borrowing.</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represents federal, foreign, state and local income taxes. Our effective tax rate differs from the statutory United States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Changes in judgment due to the evaluation of new information resulting in the recognition, derecognition or remeasurement of a tax position taken in a prior annual period are recognized separately in the quarter of the change.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Foreign Currency Fluctuations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is the fifty-two or fifty-three week period which ends on the Friday nearest to September 30th. The fiscal years ended September 29, 2023 and September 30, 2022 were each a fifty-two week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65455"/>
                <wp:effectExtent l="0" t="0" r="0" b="0"/>
                <wp:wrapNone/>
                <wp:docPr id="34" name="Frame31"/>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Fiscal 2023 Compared to Fiscal 2022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an overview of our results on a consolidated and segment basis with the amount of and percentage change between periods for the fiscal years 2023 and 2022 (dollars in millions). </w:t>
      </w:r>
    </w:p>
    <w:tbl>
      <w:tblPr>
        <w:tblW w:w="10205" w:type="dxa"/>
        <w:jc w:val="center"/>
        <w:tblInd w:w="0" w:type="dxa"/>
        <w:tblLayout w:type="fixed"/>
        <w:tblCellMar>
          <w:top w:w="28" w:type="dxa"/>
          <w:left w:w="28" w:type="dxa"/>
          <w:bottom w:w="28" w:type="dxa"/>
          <w:right w:w="28" w:type="dxa"/>
        </w:tblCellMar>
      </w:tblPr>
      <w:tblGrid>
        <w:gridCol w:w="1488"/>
        <w:gridCol w:w="1214"/>
        <w:gridCol w:w="1222"/>
        <w:gridCol w:w="109"/>
        <w:gridCol w:w="109"/>
        <w:gridCol w:w="109"/>
        <w:gridCol w:w="247"/>
        <w:gridCol w:w="1024"/>
        <w:gridCol w:w="128"/>
        <w:gridCol w:w="109"/>
        <w:gridCol w:w="109"/>
        <w:gridCol w:w="109"/>
        <w:gridCol w:w="247"/>
        <w:gridCol w:w="1024"/>
        <w:gridCol w:w="128"/>
        <w:gridCol w:w="109"/>
        <w:gridCol w:w="109"/>
        <w:gridCol w:w="109"/>
        <w:gridCol w:w="211"/>
        <w:gridCol w:w="766"/>
        <w:gridCol w:w="109"/>
        <w:gridCol w:w="109"/>
        <w:gridCol w:w="109"/>
        <w:gridCol w:w="109"/>
        <w:gridCol w:w="331"/>
        <w:gridCol w:w="334"/>
        <w:gridCol w:w="424"/>
      </w:tblGrid>
      <w:tr>
        <w:trPr/>
        <w:tc>
          <w:tcPr>
            <w:tcW w:w="148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Equity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738" w:type="dxa"/>
        <w:jc w:val="center"/>
        <w:tblInd w:w="0" w:type="dxa"/>
        <w:tblLayout w:type="fixed"/>
        <w:tblCellMar>
          <w:top w:w="28" w:type="dxa"/>
          <w:left w:w="28" w:type="dxa"/>
          <w:bottom w:w="28" w:type="dxa"/>
          <w:right w:w="28" w:type="dxa"/>
        </w:tblCellMar>
      </w:tblPr>
      <w:tblGrid>
        <w:gridCol w:w="841"/>
        <w:gridCol w:w="741"/>
        <w:gridCol w:w="743"/>
        <w:gridCol w:w="109"/>
        <w:gridCol w:w="109"/>
        <w:gridCol w:w="109"/>
        <w:gridCol w:w="273"/>
        <w:gridCol w:w="1131"/>
        <w:gridCol w:w="141"/>
        <w:gridCol w:w="109"/>
        <w:gridCol w:w="109"/>
        <w:gridCol w:w="109"/>
        <w:gridCol w:w="273"/>
        <w:gridCol w:w="1131"/>
        <w:gridCol w:w="141"/>
        <w:gridCol w:w="109"/>
        <w:gridCol w:w="109"/>
        <w:gridCol w:w="109"/>
        <w:gridCol w:w="211"/>
        <w:gridCol w:w="766"/>
        <w:gridCol w:w="109"/>
        <w:gridCol w:w="109"/>
        <w:gridCol w:w="109"/>
        <w:gridCol w:w="109"/>
        <w:gridCol w:w="255"/>
        <w:gridCol w:w="256"/>
        <w:gridCol w:w="418"/>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18,853.9 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As a percentage of total revenue, FSS United States represented 62.2% and 61.4%, FSS International represented 23.1% and 22.4% and Uniform represented 14.7% and 16.2% for fiscal 2023 and fiscal 2022, respectively.</w:t>
      </w:r>
    </w:p>
    <w:p>
      <w:pPr>
        <w:pStyle w:val="TextBody"/>
        <w:bidi w:val="0"/>
        <w:spacing w:lineRule="auto" w:line="288" w:before="100" w:after="60"/>
        <w:jc w:val="both"/>
        <w:rPr>
          <w:rFonts w:ascii="Times New Roman;sans-serif" w:hAnsi="Times New Roman;sans-serif"/>
          <w:b/>
          <w:i/>
          <w:color w:val="000000"/>
          <w:sz w:val="20"/>
        </w:rPr>
      </w:pPr>
      <w:r>
        <w:rPr>
          <w:rFonts w:ascii="Times New Roman;sans-serif" w:hAnsi="Times New Roman;sans-serif"/>
          <w:b/>
          <w:i/>
          <w:color w:val="000000"/>
          <w:sz w:val="20"/>
        </w:rPr>
        <w:t>Consolidated 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15.5% during fiscal 2023 compared to the prior year period, which was primarily attributable to growth in base business, including pricing pass-throughs, and net new business. In addition, the Union Supply acquisition contributed an additional 1.2% of revenue compared to the prior year period. Foreign currency translation unfavorably impacted revenue during fiscal 2023 by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65455"/>
                <wp:effectExtent l="0" t="0" r="0" b="0"/>
                <wp:wrapNone/>
                <wp:docPr id="35" name="Frame32"/>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cost of services provided (exclusive of depreciation and amortization) by segment and as a percent of revenue for the fiscal years ended September 29, 2023 and September 30, 2022.</w:t>
      </w:r>
    </w:p>
    <w:tbl>
      <w:tblPr>
        <w:tblW w:w="10205" w:type="dxa"/>
        <w:jc w:val="center"/>
        <w:tblInd w:w="0" w:type="dxa"/>
        <w:tblLayout w:type="fixed"/>
        <w:tblCellMar>
          <w:top w:w="28" w:type="dxa"/>
          <w:left w:w="28" w:type="dxa"/>
          <w:bottom w:w="28" w:type="dxa"/>
          <w:right w:w="28" w:type="dxa"/>
        </w:tblCellMar>
      </w:tblPr>
      <w:tblGrid>
        <w:gridCol w:w="1564"/>
        <w:gridCol w:w="1352"/>
        <w:gridCol w:w="1361"/>
        <w:gridCol w:w="109"/>
        <w:gridCol w:w="109"/>
        <w:gridCol w:w="109"/>
        <w:gridCol w:w="211"/>
        <w:gridCol w:w="871"/>
        <w:gridCol w:w="109"/>
        <w:gridCol w:w="109"/>
        <w:gridCol w:w="109"/>
        <w:gridCol w:w="109"/>
        <w:gridCol w:w="255"/>
        <w:gridCol w:w="256"/>
        <w:gridCol w:w="575"/>
        <w:gridCol w:w="109"/>
        <w:gridCol w:w="109"/>
        <w:gridCol w:w="109"/>
        <w:gridCol w:w="211"/>
        <w:gridCol w:w="871"/>
        <w:gridCol w:w="109"/>
        <w:gridCol w:w="109"/>
        <w:gridCol w:w="109"/>
        <w:gridCol w:w="109"/>
        <w:gridCol w:w="255"/>
        <w:gridCol w:w="256"/>
        <w:gridCol w:w="641"/>
      </w:tblGrid>
      <w:tr>
        <w:trPr/>
        <w:tc>
          <w:tcPr>
            <w:tcW w:w="156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r>
      <w:tr>
        <w:trPr/>
        <w:tc>
          <w:tcPr>
            <w:tcW w:w="4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percentages attributable to the components in cost of services provided (exclusive of depreciation and amortization) for fiscal 2023 and fiscal 2022. </w:t>
      </w:r>
    </w:p>
    <w:tbl>
      <w:tblPr>
        <w:tblW w:w="9906" w:type="dxa"/>
        <w:jc w:val="center"/>
        <w:tblInd w:w="0" w:type="dxa"/>
        <w:tblLayout w:type="fixed"/>
        <w:tblCellMar>
          <w:top w:w="28" w:type="dxa"/>
          <w:left w:w="28" w:type="dxa"/>
          <w:bottom w:w="28" w:type="dxa"/>
          <w:right w:w="28" w:type="dxa"/>
        </w:tblCellMar>
      </w:tblPr>
      <w:tblGrid>
        <w:gridCol w:w="2207"/>
        <w:gridCol w:w="1936"/>
        <w:gridCol w:w="1947"/>
        <w:gridCol w:w="109"/>
        <w:gridCol w:w="109"/>
        <w:gridCol w:w="109"/>
        <w:gridCol w:w="344"/>
        <w:gridCol w:w="344"/>
        <w:gridCol w:w="857"/>
        <w:gridCol w:w="118"/>
        <w:gridCol w:w="118"/>
        <w:gridCol w:w="118"/>
        <w:gridCol w:w="323"/>
        <w:gridCol w:w="323"/>
        <w:gridCol w:w="944"/>
      </w:tblGrid>
      <w:tr>
        <w:trPr/>
        <w:tc>
          <w:tcPr>
            <w:tcW w:w="220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Food and support service costs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direct costs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(1) Food and support service costs represented a higher proportion of total cost of services provided (exclusive of depreciation and amortization) during fiscal 2023 compared to the prior year period mainly from product cost inflation and volume increases due to revenue growth.</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(2) Personnel costs decreased as a percentage of total cost of services provided (exclusive of depreciation and amortization) during fiscal 2023 compared to the prior year period due to food and support service costs increasing at a higher proportion as compared to personnel costs.</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(3) Other direct costs represented a lower proportion of total cost of services provided (exclusive of depreciation and amortization) during fiscal 2023 driven by food and support service costs increasing at a higher proportion as compared to other direct costs. In addition, fiscal 2023 was impacted by $70.6 million of incremental non-cash income from the reduction of contingent consideration liabilities, net of compensation expense, related to acquisition earn outs as compared to the prior year (see Note 16 to the audited consolidated financial statements) and impairment charges of operating lease right of use assets, property and equipment and other costs related to certain real estate properties of $26.7 million (see Note 1 to the audited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$234.5 million during fiscal 2023 compared to the prior year period, which was driven by base business growth, including volume recovery from COVID-19, and effective cost management. The increase in operating income during fiscal 2023 also benefited from higher non-cash income from the reduction of the contingent consideration liabilities related to acquisition earn outs, net of expense ($70.6 million) (see Note 16 to the audited consolidated financial statements), prior year charge related to inventory write-downs to zero net realizable value for personal protective equipment ($20.5 million) and from higher income related to favorable loss experience under our general liability, automotive liability and workers' compensation liability programs when compared to fiscal 2022 ($19.1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increases in operating income during fiscal 2023 more than offset:</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increased inflationary costs in product, energy and labor;</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personnel and other expenses related to the spin-off of the Uniform segment ($41.8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impairment charges of operating lease right-of-use assets and property and equipment and other costs related to certain real estate properties ($26.7 million) (see Note 1 to the audited consolidated financial statements);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prior year labor related tax credits provided from governmental assistance programs ($24.5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severance charges ($20.8 million) (see Note 3 to the audited consolidated financial statements);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negative impact of foreign currency translation ($10.2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we recognized a $377.1 million gain on the sale of our 50% ownership interest in AIM Services Co., Ltd. and a $51.8 million gain on the sale of the ownership interest in an equity investment in a foreign company, which is included in "Gain on Equity Investments, net" on the Consolidated Statements of Income (Loss) (see Note 1 to the audited consolidated financial statements). This gain was partially offset by a $1.1 million loss from the sale of a portion of our equity investment in the San Antonio Spurs NBA franchise (see Note 1 to the audited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 increased 17.9% during fiscal 2023 compared to the prior year period. The increase for fiscal 2023 was primarily due to higher interest rates related to our senior secured term loan facilities and our Receivables Facility and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65455"/>
                <wp:effectExtent l="0" t="0" r="0" b="0"/>
                <wp:wrapNone/>
                <wp:docPr id="36" name="Frame3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fiscal 2023 and fiscal 2022 was recorded at an effective tax rate of 20.9% and 24.0%, respectively. The lower effective tax rate in the current year compared to the prior year was driven by favorable tax effects from the sale of our equity investment in a foreign company (see Note 1 to the audited consolidated financial statements) and the reversal of a portion of the Union Supply contingent consideration liability (see Note 16 to the audited consolidated financial statements), as the majority of the gains from these transactions were not subject to tax. During fiscal 2023 and fiscal 2022, we recorded an income tax benefit of $3.8 million and $8.5 million, respectively, for the reversal of a valuation allowance at a subsidiary in the FSS International segment driven by our ability to utilize deferred tax assets based on future taxable income expected due to business acquisitions. We also recorded a benefit to the Provision for Income Taxes of $4.2 million during fiscal 2022 due to a state tax law change (see Note 10 to the audited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United States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each of these sectors is summarized as follows (in millions):</w:t>
      </w:r>
    </w:p>
    <w:tbl>
      <w:tblPr>
        <w:tblW w:w="7503" w:type="dxa"/>
        <w:jc w:val="center"/>
        <w:tblInd w:w="0" w:type="dxa"/>
        <w:tblLayout w:type="fixed"/>
        <w:tblCellMar>
          <w:top w:w="28" w:type="dxa"/>
          <w:left w:w="28" w:type="dxa"/>
          <w:bottom w:w="28" w:type="dxa"/>
          <w:right w:w="28" w:type="dxa"/>
        </w:tblCellMar>
      </w:tblPr>
      <w:tblGrid>
        <w:gridCol w:w="908"/>
        <w:gridCol w:w="796"/>
        <w:gridCol w:w="801"/>
        <w:gridCol w:w="109"/>
        <w:gridCol w:w="109"/>
        <w:gridCol w:w="109"/>
        <w:gridCol w:w="273"/>
        <w:gridCol w:w="1130"/>
        <w:gridCol w:w="141"/>
        <w:gridCol w:w="109"/>
        <w:gridCol w:w="109"/>
        <w:gridCol w:w="109"/>
        <w:gridCol w:w="273"/>
        <w:gridCol w:w="1130"/>
        <w:gridCol w:w="141"/>
        <w:gridCol w:w="109"/>
        <w:gridCol w:w="109"/>
        <w:gridCol w:w="109"/>
        <w:gridCol w:w="255"/>
        <w:gridCol w:w="256"/>
        <w:gridCol w:w="418"/>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&amp; Industry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Leisure &amp; Corrections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and Facilities &amp; Other sectors had high-single digit operating income margins, consistent with prior year. The Education and Sports, Leisure &amp; Corrections sectors had mid-single digit operating income margins, consistent with prior year. The Business &amp; Industry sector had low-single digit operating income margins compared to negative low-single digit operating income margins in the prior year. During the COVID-19 pandemic and in following periods, operating income margin in certain sectors within the FSS United States reportable segment have differed from our otherwise historical patterns, particularly in the Business &amp; Industry sector.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 segment revenue increased by approximately 16.9% during fiscal 2023 compared to the prior year period. The increase was primarily attributable to base business growth, including contract price increases mainly within the Corrections and Higher Education businesses, and net new business growth. The Sports, Leisure &amp; Corrections sector increased due to higher per capita customer spending in stadiums and arenas and the acquisition of Union Supply, which contributed an additional 2.0% of revenue during fiscal 2023 as compared to the prior year period. The Business &amp; Industry sector increased due to client personnel continuing to return to office locations.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$220.5 million during fiscal 2023 compared to the prior year period. The increase during fiscal 2023 was attributable to:</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base business growth, including volume recovery from COVID-19, and effective cost management;</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non-cash income from the reduction of the contingent consideration liabilities related to acquisition earn outs, net of expense ($70.6 million) (see Note 16 to the audited consolidated financial statements);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income related to favorable loss experience under our general liability, automotive liability and workers' compensation liability programs when compared to fiscal 2022 ($19.1 million);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income attributed to the Union Supply acquisition as compared to the prior year period ($10.6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increases in operating income during fiscal 2023 more than offset the following: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increased inflationary costs in food and labor;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non-cash charges for the impairment of operating lease right-of-use assets and property and equipment related to certain real estate properties ($19.0 million) (see Note 1 to the audited consolidated financial statements); and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non-cash charge for the impairment of computer software assets ($8.2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65455"/>
                <wp:effectExtent l="0" t="0" r="0" b="0"/>
                <wp:wrapNone/>
                <wp:docPr id="37" name="Frame34"/>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both"/>
        <w:rPr>
          <w:rFonts w:ascii="Times New Roman;sans-serif" w:hAnsi="Times New Roman;sans-serif"/>
          <w:b/>
          <w:i/>
          <w:color w:val="000000"/>
          <w:sz w:val="20"/>
        </w:rPr>
      </w:pPr>
      <w:r>
        <w:rPr>
          <w:rFonts w:ascii="Times New Roman;sans-serif" w:hAnsi="Times New Roman;sans-serif"/>
          <w:b/>
          <w:i/>
          <w:color w:val="000000"/>
          <w:sz w:val="20"/>
        </w:rPr>
        <w:t>FSS International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FSS International segment revenue increased by approximately 19.3% during fiscal 2023 compared to the prior year period. The increase was primarily attributable to base business growth, including contract price increases, and net new business growth. The growth in revenue was offset by the negative impact of foreign currency translation (5.0%).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$2.0 million during fiscal 2023 compared to the prior year period. The increase was attributable to growth in base and net new business and lower personnel costs from headcount reductions taken during the second quarter of fiscal 2023 and late fiscal 2022. These increases in operating income during fiscal 2023 more than offset the following: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increased inflationary costs in product and labor;</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decline in profit related to the sale of our 50% ownership interest in AIM Services Co., Ltd.;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prior year labor related tax credits provided from governmental assistance programs ($24.1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severance charges ($18.0 million) (see Note 3 to the audited consolidated financial statements);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prior year favorable impact related to a client contract dispute ($9.6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unfavorable impact of foreign currency translation ($7.8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currency translation losses from Argentina hyperinflation ($7.0 million) (see Note 1 to the audited consolidated financial statements);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non-cash charges for the impairment of certain assets related to a business that was sold ($5.2 million).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Uniform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Uniform segment revenue increased by approximately 5.0% during fiscal 2023 compared to the prior year period. The increase was primarily due to base business growth and contract price increases.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$9.2 million during fiscal 2023 compared to the prior year period. The increase was mostly attributable to:</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base business growth;</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lower personnel costs from headcount reductions taken during the second quarter of fiscal 2023;</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prior year charge related to inventory write-downs to zero net realizable value for personal protective equipment ($20.5 million);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gain from the sale of land ($6.8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increases in operating income during fiscal 2023 more than offset the following: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increased inflationary costs in product, energy and labor;</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higher expenses related to the spin-off of the Uniform segment ($27.0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charges for the impairment of operating lease right-of-use assets and other costs related to certain real estate properties ($7.7 million) (see Note 1 to the audited consolidated financial statements);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current year severance charges ($6.6 million) (see Note 3 to the audited consolidated financial statements).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those administrative expenses not allocated to the business segments, decreased by $2.8 million during fiscal 2023 compared to the prior year period. The decrease was attributable to:</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lower share-based compensation expense ($8.6 million) compared to the prior period (see Note 12 to the audited consolidated financial statements);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favorable change in fair value of certain gasoline and diesel agreements ($8.3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decreases in corporate expenses during fiscal 2023 more than offset higher expenses related to the spin-off of the Uniform segment compared to prior year period ($14.8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cash generated from operating activities, funds from borrowings, investments in marketable securities and existing cash on hand. As of September 29, 2023, we had $1,963.1 million of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65455"/>
                <wp:effectExtent l="0" t="0" r="0" b="0"/>
                <wp:wrapNone/>
                <wp:docPr id="38" name="Frame3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equivalents, $953.8 million of availability under our senior secured revolving credit facility and $600.0 million of availability under the Receivables Facility. On October 2, 2023, we repaid the $1,500.0 million 6.375% Senior Notes due May 1, 2025 ("6.375% Senior Notes due 2025") from existing cash on hand at year-end in conjunction with the separation and distribution of the Uniform segment. In addition, the Uniform segment United States dollar denominated term loan of $800.0 million, due September 2025 ("United States Term A-1 Loans due September 2025") and United States dollar denominated term loan of $700.0 million, due September 2028 ("United States Term A-2 Loans due September 2028") will be removed from Aramark’s Consolidated Balance Sheets as a result of the separation and distribution of the Uniform segment on September 30, 2023. A significant portion of our cash and cash equivalents are held in mature, liquid geographies where we have operations. As of September 29, 2023, there were $685.7 million of outstanding foreign currency borrowings. See Note 5 to the audited consolidated financial statements for additional information on the Uniform segment's new United States dollar denominated term loan borrowings.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marketable securities and availability under our revolving credit facility and Receivables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activity (in millions):</w:t>
      </w:r>
    </w:p>
    <w:tbl>
      <w:tblPr>
        <w:tblW w:w="7677" w:type="dxa"/>
        <w:jc w:val="center"/>
        <w:tblInd w:w="0" w:type="dxa"/>
        <w:tblLayout w:type="fixed"/>
        <w:tblCellMar>
          <w:top w:w="28" w:type="dxa"/>
          <w:left w:w="28" w:type="dxa"/>
          <w:bottom w:w="28" w:type="dxa"/>
          <w:right w:w="28" w:type="dxa"/>
        </w:tblCellMar>
      </w:tblPr>
      <w:tblGrid>
        <w:gridCol w:w="1525"/>
        <w:gridCol w:w="1343"/>
        <w:gridCol w:w="1347"/>
        <w:gridCol w:w="348"/>
        <w:gridCol w:w="1017"/>
        <w:gridCol w:w="180"/>
        <w:gridCol w:w="109"/>
        <w:gridCol w:w="109"/>
        <w:gridCol w:w="109"/>
        <w:gridCol w:w="342"/>
        <w:gridCol w:w="999"/>
        <w:gridCol w:w="249"/>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Reference to the audited Consolidated Statements of Cash Flows will facilitate understanding of the discussion that follows.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Provided by Operating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increased by $71.9 million during fiscal 2023 compared to fiscal 2022. The change was driven by higher net income, inclusive of non-cash adjustments, in fiscal 2023 compared to fiscal 2022, as discussed in "Results of Operations" above. Additionally, cash provided by operating activities was favorably impacted by the change in operating assets and liabilities compared to the prior year period by $36.1 million, which was primarily due to: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Receivables by $261.2 million, resulting in a lower use of cash during fiscal 2023 compared to fiscal 2022 as the prior year period had a higher use of cash from operations returning following the lifting of COVID-19 restrictions. Both periods were impacted by base and new business growth and timing of collections;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Accrued expenses by $74.9 million generating a greater source of cash during fiscal 2023 compared to fiscal 2022 primarily due to timing of deferred income payments, growth in business operations, higher severance charges recorded in fiscal 2023 and timing of other payments, which more than offset higher interest payments on borrowings;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Inventories by $33.6 million, resulting in a lower use of cash during fiscal 2023 compared to fiscal 2022 as the prior year period was impacted from operations returning following the lifting of COVID-19 restrictions.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changes in operating assets and liabilities more than offset:</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Accounts payable by $329.1 million, resulting in a lower source of cash during fiscal 2023 compared to fiscal 2022 from the timing of disbursements.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and fiscal 2022, we received proceeds of $21.4 million and $1.9 million, respectively, related to favorable loss experience in older insurance years under our general liability, automobile liability and workers' compensation programs. "Payments made to clients on contracts" generated a higher use of cash during fiscal 2023 compared to fiscal 2022 primarily due to contract renewals and new business. Fiscal 2022 included $57.7 million of proceeds associated with labor related tax credits from many foreign jurisdictions in which we operate as a form of relief from COVID-19. The "Changes in other assets" caption was driven by the prior year increase to in-service rental merchandise from operations returning after COVID-19 restrictions lifted and higher amortization of client investments due to an increase in investments related to base and new business growth, which more than offset higher cash distributions received from our 50% ownership interest in AIM Services Co., Ltd. in fiscal 2022 compared to fiscal 2023. The "Other operating activities" caption reflects mainly adjustments to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65455"/>
                <wp:effectExtent l="0" t="0" r="0" b="0"/>
                <wp:wrapNone/>
                <wp:docPr id="39" name="Frame36"/>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in the current year and prior year periods related to certain non-cash gains and losses and adjustments to non-operating cash gains and losses.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Provided by (Used in) Investing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net cash flows provided by investing activities during fiscal 2023 was primarily impacted by proceeds from the sales of equity investments ($685.0 million) (see Note 1 to the audited consolidated financial statements) and proceeds from the maturity of United States Treasury securities related to our captive insurance subsidiary ($80.0 million), offset by purchases of property and equipment and other ($461.4 million), purchases of United States Treasury securities related to our captive insurance subsidiary ($110.0 million) and acquisitions of certain businesses ($50.2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net cash flows used in investing activities during fiscal 2022 was impacted by purchases of property and equipment and other ($388.4 million), acquisitions of certain businesses, including Union Supply ($199.6 million) and other acquisitions ($140.4 million) (see Note 2 to the audited consolidated financial statements), purchases of marketable securities ($78.2 million) and the acquisition of equity investments ($64.0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investing activities" caption includes $37.6 million and $19.0 million of proceeds received during fiscal 2023 and 2022, respectively, relating to the recovery of our investment (possessory interest) at one of the National Park Service sites within our Sports, Leisure &amp; Corrections sector.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Provided by (Used in) Financing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cash provided by financing activities was impacted by the following:</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proceeds from issuance of new United States Term B-6 Loans due 2030 ($1,089.0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proceeds from Uniform issuance of new United States Term A-1 Loans due 2025 ($800.0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proceeds from Uniform issuance of new United States Term A-2 Loans due 2028 ($700.0 million); and</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borrowings under the revolving credit facility ($101.4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activity more than offset cash used in the following:</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repayments of United States Term B-3 Loans due 2025 ($1,664.8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payments of dividends ($114.6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repayment of borrowing under the Receivables Facility ($104.9 million);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repayment of yen denominated term loans due 2026 ($63.0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the audited consolidated financial statements for additional information on borrowing activities during fiscal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2022, cash used in financing activities was impacted by the following: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payments of dividends ($113.1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borrowing under the Receivables Facility ($104.9 million);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the repayment of 5.000% 2025 Senior Notes and foreign term loans ($66.7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"Other financing activities" caption also reflects a use of cash during fiscal 2023 and fiscal 2022, primarily related to taxes paid by us when we withhold shares upon an employee's exercise or vesting of equity awards to cover income taxes. Fiscal 2023 also includes debt issuance costs of $22.6 million mainly related to Uniform's new United States Term A-1 and A-2 loan borrowings and Aramark's new United States Term B-6 Loans due 2030.</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65455"/>
                <wp:effectExtent l="0" t="0" r="0" b="0"/>
                <wp:wrapNone/>
                <wp:docPr id="40" name="Frame37"/>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Covenant Compliance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September 29, 2023, we were in compliance with these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and other financing costs, net, provision for income taxes, and depreciation and amortization, further adjusted to give effect to adjustments required in calculating covenant ratios and compliance under our Credit Agreement and the indentures governing our senior notes.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tbl>
      <w:tblPr>
        <w:tblW w:w="7012" w:type="dxa"/>
        <w:jc w:val="left"/>
        <w:tblInd w:w="0" w:type="dxa"/>
        <w:tblLayout w:type="fixed"/>
        <w:tblCellMar>
          <w:top w:w="28" w:type="dxa"/>
          <w:left w:w="28" w:type="dxa"/>
          <w:bottom w:w="28" w:type="dxa"/>
          <w:right w:w="28" w:type="dxa"/>
        </w:tblCellMar>
      </w:tblPr>
      <w:tblGrid>
        <w:gridCol w:w="1372"/>
        <w:gridCol w:w="1205"/>
        <w:gridCol w:w="1217"/>
        <w:gridCol w:w="109"/>
        <w:gridCol w:w="109"/>
        <w:gridCol w:w="109"/>
        <w:gridCol w:w="245"/>
        <w:gridCol w:w="889"/>
        <w:gridCol w:w="126"/>
        <w:gridCol w:w="109"/>
        <w:gridCol w:w="109"/>
        <w:gridCol w:w="109"/>
        <w:gridCol w:w="243"/>
        <w:gridCol w:w="884"/>
        <w:gridCol w:w="177"/>
      </w:tblGrid>
      <w:tr>
        <w:trPr/>
        <w:tc>
          <w:tcPr>
            <w:tcW w:w="137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Twelve Months Ended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2022</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ASI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(1)</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or non-recurring (gains) and losses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 forma EBITDA for certain transactions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Represents share-based compensation expense resulting from the application of accounting for stock options, restricted stock units, performance stock units, deferred stock units awards and employee stock purchases (see Note 12 to the audited consolidated financial statements). </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twelve months ended September 29, 2023 represents the fiscal 2023 gain from the sale of our equity method investment in AIM Services, Co., Ltd. ($377.1 million), the fiscal 2023 gain from the sale of our equity investment in a foreign company ($51.8 million), the fiscal 2023 non-cash charge for the impairment of certain assets related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65455"/>
                <wp:effectExtent l="0" t="0" r="0" b="0"/>
                <wp:wrapNone/>
                <wp:docPr id="41" name="Frame38"/>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business that was sold ($5.2 million) and the fiscal 2023 loss from the sale of a portion of our equity investment in the San Antonio Spurs NBA franchise ($1.1 million).</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    Represents the annualizing of net EBITDA from certain acquisitions and divestitures made during the period.</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    "Other" for the twelve months ended September 29, 2023 includes the reversal of contingent consideration liabilities related to acquisition earn outs, net of expense ($85.7 million), charges related to the spin-off of the Uniform segment ($51.1 million), adjustments to remove the impact attributable to the adoption of certain accounting standards that are made to the calculation in accordance with the Credit Agreement and indentures ($47.5 million), net severance charges ($37.5 million), non-cash charges for the impairment of operating lease right-of-use assets and property and equipment related to certain real estate properties ($29.3 million), income related to non-United States governmental wage subsidies ($12.5 million), the impact of hyperinflation in Argentina ($10.4 million), non-cash charges related to information technology assets ($8.2 million), the gain from the sale of land ($6.8 million), net multiemployer pension plan withdrawal charges ($5.9 million), labor charges and other expenses associated with closed or partially closed locations from adverse weather ($5.4 million), legal settlement charges ($2.7 million), non-cash charges for inventory write-downs ($2.6 million), the gain from the change in fair value related to certain gasoline and diesel agreements ($1.9 million) and other miscellaneous expenses.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    "Other" for the twelve months ended September 30, 2022 includes adjustments to remove the impact attributable to the adoption of certain accounting standards that are made to the calculation in accordance with the Credit Agreement and indentures ($34.8 million), non-cash charges for inventory write-downs to net realizable value and fixed asset write-offs related to personal protective equipment ($20.5 million), severance charges ($19.6 million), United States and non-United States governmental labor related tax credits resulting from the COVID-19 pandemic ($17.3 million), the reversal of contingent consideration liabilities related to acquisition earn outs, net of expense ($15.1 million), the favorable impact related to a client contract dispute ($9.6 million), charges related to our spin-off of the Uniform segment ($9.3 million), favorable adjustments for the EBITDA impact attributable to equity investments that are permitted in the calculation in accordance with the Credit Agreement and indentures, primarily from our previous ownership interest in AIM Services Co., Ltd. ($8.4 million), the gain from a funding agreement related to a legal matter ($6.5 million), the loss from the change in fair value related to certain gasoline and diesel agreements ($6.4 million), the gain from insurance proceeds received related to property damage from a tornado in Nashville ($4.0 million), the impact of hyperinflation in Argentina ($3.5 million), due diligence charges related to acquisitions ($2.5 million) and other miscellaneous expenses.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covenant requirements and actual ratios for the twelve months ended September 29, 2023 are as follows: </w:t>
      </w:r>
    </w:p>
    <w:tbl>
      <w:tblPr>
        <w:tblW w:w="6882" w:type="dxa"/>
        <w:jc w:val="left"/>
        <w:tblInd w:w="0" w:type="dxa"/>
        <w:tblLayout w:type="fixed"/>
        <w:tblCellMar>
          <w:top w:w="28" w:type="dxa"/>
          <w:left w:w="28" w:type="dxa"/>
          <w:bottom w:w="28" w:type="dxa"/>
          <w:right w:w="28" w:type="dxa"/>
        </w:tblCellMar>
      </w:tblPr>
      <w:tblGrid>
        <w:gridCol w:w="1730"/>
        <w:gridCol w:w="1523"/>
        <w:gridCol w:w="1531"/>
        <w:gridCol w:w="365"/>
        <w:gridCol w:w="365"/>
        <w:gridCol w:w="366"/>
        <w:gridCol w:w="109"/>
        <w:gridCol w:w="109"/>
        <w:gridCol w:w="109"/>
        <w:gridCol w:w="197"/>
        <w:gridCol w:w="197"/>
        <w:gridCol w:w="281"/>
      </w:tblGrid>
      <w:tr>
        <w:trPr/>
        <w:tc>
          <w:tcPr>
            <w:tcW w:w="173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Covenant </w:t>
              <w:br/>
              <w:t>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Actual </w:t>
              <w:br/>
              <w:t>Ratios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Consolidated Secured Debt Ratio</w:t>
            </w:r>
            <w:r>
              <w:rPr>
                <w:rFonts w:ascii="Times New Roman;sans-serif" w:hAnsi="Times New Roman;sans-serif"/>
                <w:b w:val="false"/>
                <w:color w:val="000000"/>
                <w:sz w:val="13"/>
              </w:rPr>
              <w:t>(1)</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1.76x</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Coverage Ratio (Fixed Charge Coverage Ratio)</w:t>
            </w:r>
            <w:r>
              <w:rPr>
                <w:rFonts w:ascii="Times New Roman;sans-serif" w:hAnsi="Times New Roman;sans-serif"/>
                <w:b w:val="false"/>
                <w:color w:val="000000"/>
                <w:sz w:val="13"/>
              </w:rPr>
              <w:t>(2)</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3.63x</w:t>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sheets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the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65455"/>
                <wp:effectExtent l="0" t="0" r="0" b="0"/>
                <wp:wrapNone/>
                <wp:docPr id="42" name="Frame39"/>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obligations for debt repayments, finance leases, estimated interest payments, future minimum rental and similar commitments under noncancelable operating leases as well as contingent obligations related to outstanding letters of credit and guarantees as of September 29, 2023 (dollars in thousands):</w:t>
      </w:r>
    </w:p>
    <w:tbl>
      <w:tblPr>
        <w:tblW w:w="10205" w:type="dxa"/>
        <w:jc w:val="left"/>
        <w:tblInd w:w="0" w:type="dxa"/>
        <w:tblLayout w:type="fixed"/>
        <w:tblCellMar>
          <w:top w:w="28" w:type="dxa"/>
          <w:left w:w="28" w:type="dxa"/>
          <w:bottom w:w="28" w:type="dxa"/>
          <w:right w:w="28" w:type="dxa"/>
        </w:tblCellMar>
      </w:tblPr>
      <w:tblGrid>
        <w:gridCol w:w="856"/>
        <w:gridCol w:w="539"/>
        <w:gridCol w:w="543"/>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85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 as of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1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Long-term borrowings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Estimated interest payments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and other noncancelable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liabilities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Commitment Expiration by Period</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Commercial Commitments as of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Amounts</w:t>
              <w:br/>
              <w:t>Committed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1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(1)Excludes the $47.1 million reduction to long-term borrowings from debt issuance costs, $10.7 million reduction from the discount on the United States Term B-6 Loans due 2030 and $0.5 million reduction from the discount on the United States Term B-4 Loans due 2027. Subsequent to September 29, 2023, Aramark redeemed the 6.375% Senior Notes due 2025 of $1,500.0 million from the proceeds received in conjunction with the separation and distribution of the Uniform segment. In addition, the Uniform segment United States term loan of $800.0 million due 2025 and $700.0 million due 2028 will be removed from Aramark’s Consolidated Balance Sheets as a result of the separation and distribution of the Uniform segment on September 30, 2023.</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September 29, 2023 plus the specified margin in the associated debt agreements for each period presented. The amounts provided relate only to existing debt obligations and do not assume the refinancing or replacement of such debt. The weighted average debt balance for each fiscal year from 2024 through 2029 is $6,779.3 million, $6,216.8 million, $4,676.6 million, $4,006.0 million, $2,415.9 million and $1,069.7 million, respectively. The weighted average interest rate of our existing debt obligations for each fiscal year from 2024 through 2029 is 3.76%, 4.28%, 4.37%, 4.86%, 6.36% and 7.70%, respectively (see Note 5 to the audited consolidated financial statements for the terms and maturities of existing debt obligations). Subsequent to September 29, 2023, Aramark redeemed the 6.375% Senior Notes due 2025 of $1,500.0 million from the proceeds received in conjunction with the separation and distribution of the Uniform segment. In addition, the Uniform segment United States term loan of $800.0 million due 2025 and $700.0 million due 2028 will be removed from Aramark’s Consolidated Balance Sheets as a result of the separation and distribution of the Uniform segment on September 30, 2023.</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(3)Represents mainly the commitments for capital projects to help finance improvements or renovations at the facilities in which we operate.</w:t>
      </w:r>
    </w:p>
    <w:p>
      <w:pPr>
        <w:pStyle w:val="TextBody"/>
        <w:bidi w:val="0"/>
        <w:spacing w:lineRule="auto" w:line="288" w:before="100" w:after="60"/>
        <w:ind w:left="0" w:right="0" w:hanging="540"/>
        <w:jc w:val="left"/>
        <w:rPr/>
      </w:pPr>
      <w:r>
        <w:rPr>
          <w:rFonts w:ascii="Times New Roman;sans-serif" w:hAnsi="Times New Roman;sans-serif"/>
          <w:b w:val="false"/>
          <w:color w:val="212529"/>
          <w:sz w:val="20"/>
        </w:rPr>
        <w:t>(4)</w:t>
      </w:r>
      <w:r>
        <w:rPr>
          <w:rFonts w:ascii="Times New Roman;sans-serif" w:hAnsi="Times New Roman;sans-serif"/>
          <w:b w:val="false"/>
          <w:color w:val="000000"/>
          <w:sz w:val="20"/>
        </w:rPr>
        <w:t>Includes certain unfunded employee retirement obligations, contingent consideration obligations related to acquisitions, self-insurance obligations, and other obligations.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excluded from the table above uncertain tax liabilities due to the uncertainty of the amount and period of payment. As of September 29, 2023, we have gross uncertain tax liabilities of $70.3 million (see Note 10 to the audited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65455"/>
                <wp:effectExtent l="0" t="0" r="0" b="0"/>
                <wp:wrapNone/>
                <wp:docPr id="43" name="Frame40"/>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During fiscal 2023, we made contributions totaling $1.2 million into our defined benefit pension plans. Estimated contributions to our defined benefit pension plans in fiscal 2024 are $1.0 million (see Note 9 to the audited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We have a Receivables Facility agreement with four financial institutions where we sell on a continuous basis an undivided interest in all eligible accounts receivable, as defined in the Receivables Facility. The maximum amount available under the Receivables Facility as of September 29, 2023 is $600.0 million. During the third quarter of fiscal 2023, we increased the purchase limit available under the Receivables Facility from $500.0 million to $600.0 million and extended the scheduled maturity date from June 2024 to July 2026. All other terms and conditions of the agreement remained largely unchanged. As of September 29, 2023, there are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 xml:space="preserve">outstanding borrowings under the Receivables Facility. Amounts borrowed under the Receivables Facility may fluctuate monthly based on our funding requirements and the level of qualified receivables available to collateralize the Receivables Facility.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Receivables Facility, we formed ARAMARK Receivables, LLC, a wholly-owned, consolidated, bankruptcy-remote subsidiary. ARAMARK Receivables, LLC was formed for the sole purpose of buying and selling receivables generated by certain of our subsidiaries. Under the Receivables Facility, we and certain of our subsidiaries transfer without recourse all of our accounts receivable to ARAMARK Receivables, LLC. As collections reduce previously transferred interests, interests in new, eligible receivables are transferred to ARAMARK Receivables, LLC, subject to meeting certain conditions.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Supplemental Consolidating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Regulation S-X Rule 13-01, which simplified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do not include the use of unconsolidated special purpose entities and there are no significant business transactions that have not been reflected in the accompanying audited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September 29, 2023.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September 29, 2023 and September 30, 2022, cash and cash equivalents at the Captive were $32.8 million and $23.1 million, respectively. During fiscal 2022, the Captive began investing a portion of its cash and cash equivalents in United States Treasury securities to improve returns on the Captive's assets. The amount of this investment as of September 29, 2023 and September 30, 2022 was $110.7 million and $78.2 million, respectively, and recorded in "Prepayments and other current assets"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the notes to the audited consolidated financial statements included in this Annual Report.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and the related assumptions are evaluated periodically as conditions warrant, and changes to such estimates are recorded as new information or changed conditions require.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65455"/>
                <wp:effectExtent l="0" t="0" r="0" b="0"/>
                <wp:wrapNone/>
                <wp:docPr id="44" name="Frame41"/>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Asset Impairment Determinations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Indefinite lived intangible assets that are not amortized are subject to an impairment test that we conduct annually or more frequently if a change in circumstances or the occurrence of events indicates that potential impairment exists. For goodwill,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 determination or if a qualitative assessment is not performed, a quantitative test is performed by comparing the estimated fair value using a discounted cash flow method or market method for each reporting unit with its estimated net book value.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perform the assessment of goodwill at the reporting unit level. Within our FSS International segment, each country or region is evaluated separately since they are relatively autonomous and separate goodwill balances have been recorded for each entity. During the fourth quarter of fiscal 2023, we performed the annual impairment test for goodwill for each of our reporting units using a quantitative testing approach. Based on the evaluation performed, we determined that the fair value of each of the reporting units significantly exceeded its respective carrying amount, and therefore, we determined that goodwill was not impaired.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the underlying margin projection assumptions, future growth rates and the discount rate. The market based method is dependent on several subjective factors including the determination of market multiples and future cash flows. If our assumptions or estimates in our fair value calculations change or if future cash flows, margin projections or future growth rates vary from what was expected, this may impact our impairment analysis and could reduce the underlying cash flows used to estimate fair values and result in a decline in fair value that may trigger future impairment charges.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making future cash flow analyses of various assets, we make assumptions relating to the following: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the intended use of assets and the expected future cash flows resulting directly from such use;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comparable market valuations of businesses similar to Aramark's business segments;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industry specific economic conditions;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competitor activities and regulatory initiatives; and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client and customer preferences and behavior patterns.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Statements of Income (Loss).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and Claims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subsidiaries are party to various legal actions, proceedings and investigations involving claims incidental to the conduct of our businesses,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interpretation of contractual rights and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65455"/>
                <wp:effectExtent l="0" t="0" r="0" b="0"/>
                <wp:wrapNone/>
                <wp:docPr id="45" name="Frame42"/>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the status of government regulatory initiatives, interpretations and investigations;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the status of settlement negotiations;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prior experience with similar types of claims;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whether there is available insurance; and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advice of counsel.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were involved in a dispute with a client regarding our provision of services pursuant to a contract. During fiscal 2022, we resolved the matter by entering into a settlement agreement with the client whereby our obligations totaled $13.6 million, resulting in a reversal of previously reserved amounts of $5.7 million, which is included in "Cost of services provided (exclusive of depreciation and amortization)" on the Consolidated Statements of Income (Loss).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encounter credit loss risks associated with the collection of receivables. We analyze historical experience, current general and specific industry economic conditions, industry concentrations, such as exposure to small and medium-sized businesses, the non-profit healthcare sector, federal and local governments, and reasonable and supportable forecasts that affect the collectability of the reported amount in estimating credit losses. The accounting estimate related to the allowance for credit losses is a critical accounting estimate because the underlying assumptions used for the allowance can change from time to time and credit losses could potentially have a material impact on our results of operations. We adopted a new accounting standard related to the measurement of expected credit losses as of October 3, 2020 (the first day of fiscal 2021).</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and September 30, 2022, our allowance for credit losses was $56.6 million and $56.4 million, respectively.</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Inventory Obsolescence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an inventory obsolescence reserve for obsolete, excess and slow-moving inventory, principally in the Uniform segment. In calculating our inventory obsolescence reserve, we analyze historical and projected data regarding customer demand within specific product categories and make assumptions regarding economic conditions within customer specific industries, as well as style and product changes. Our accounting estimate related to inventory obsolescence is a critical accounting estimate because customer demand in certain of our businesses can be variable and changes in our reserve for inventory obsolescence could materially affect our results of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and September 30, 2022, our reserve for inventory obsolescence was $21.0 million and $51.3 million, respectively. The decrease in the Company's reserve was primarily due to the write-off and disposal of personal protective equipment inventory. The inventory reserve is determined based on history and projected customer consumption and specific identification.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Self-Insurance Reserves</w:t>
      </w:r>
    </w:p>
    <w:p>
      <w:pPr>
        <w:pStyle w:val="TextBody"/>
        <w:bidi w:val="0"/>
        <w:spacing w:lineRule="auto" w:line="288" w:before="100" w:after="60"/>
        <w:jc w:val="left"/>
        <w:rPr/>
      </w:pPr>
      <w:r>
        <w:rPr>
          <w:rFonts w:ascii="Times New Roman;sans-serif" w:hAnsi="Times New Roman;sans-serif"/>
          <w:b w:val="false"/>
          <w:color w:val="000000"/>
          <w:sz w:val="20"/>
        </w:rPr>
        <w:t>We self-insure for obligations related to certain risks that we retain under our casualty program, which includes general liability, automobile liability and workers’ compensation liability, as well as for certain property damage risks and employee healthcare benefit programs. The accounting estimates related to our self-insurance reserves are critical accounting estimates because changes in our claim experience, our ability to settle claims or other estimates and judgments we use could potentially have a material impact on our results of operations. Our reserves for retained costs associated with our casualty program are estimated through actuarial</w:t>
      </w:r>
      <w:r>
        <w:rPr>
          <w:color w:val="000000"/>
        </w:rPr>
        <w:t xml:space="preserve"> </w:t>
      </w:r>
      <w:r>
        <w:rPr>
          <w:rFonts w:ascii="Times New Roman;sans-serif" w:hAnsi="Times New Roman;sans-serif"/>
          <w:b w:val="false"/>
          <w:color w:val="000000"/>
          <w:sz w:val="20"/>
        </w:rPr>
        <w:t>methods, with the assistance of third-party actuaries, using loss development assumptions based on our claims history. Our casualty program reserves take into account reported claims as well as incurred-but-not-reported losses using loss development factors based upon past experience. In order to determine the loss development factors, we make judgments relating to the nature, frequency, severity, and age of claims, and industry, regulatory and company-specific trends impacting the development of claims. The actual cost to settle our self-insured casualty claim liabilities can differ from our reserve estimates because of a number of uncertainties, including the inherent difficulty in estimating the severity of a claim and the potential amount to defend and settle a claim.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and September 30, 2022, our self-insurance reserves were $269.8 million and $254.4 million, respectively.</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asset and liability method of accounting for income taxes. Under this method, income tax expense is recognized for the amount of taxes payable or refundable for the current year and for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65455"/>
                <wp:effectExtent l="0" t="0" r="0" b="0"/>
                <wp:wrapNone/>
                <wp:docPr id="46" name="Frame4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and September 30, 2022, our valuation allowance reserves recorded against deferred tax assets were $78.2 million and $83.8 million, respectively (see Note 10 to the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65455"/>
                <wp:effectExtent l="0" t="0" r="0" b="0"/>
                <wp:wrapNone/>
                <wp:docPr id="47" name="Frame44"/>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Standards Updates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the audited consolidated financial statements for a full description of recent accounting standards updates,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 About Market Risk</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September 29, 2023 (see Notes 5 and 6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September 29, 2023. For interest rate swaps, the table presents the notional amounts and related weighted-average interest rates by fiscal year of maturity. The variable rates presented are the average forward rates for the term of each contract.</w:t>
      </w:r>
    </w:p>
    <w:tbl>
      <w:tblPr>
        <w:tblW w:w="10205" w:type="dxa"/>
        <w:jc w:val="center"/>
        <w:tblInd w:w="0" w:type="dxa"/>
        <w:tblLayout w:type="fixed"/>
        <w:tblCellMar>
          <w:top w:w="28" w:type="dxa"/>
          <w:left w:w="28" w:type="dxa"/>
          <w:bottom w:w="28" w:type="dxa"/>
          <w:right w:w="28" w:type="dxa"/>
        </w:tblCellMar>
      </w:tblPr>
      <w:tblGrid>
        <w:gridCol w:w="415"/>
        <w:gridCol w:w="365"/>
        <w:gridCol w:w="366"/>
        <w:gridCol w:w="109"/>
        <w:gridCol w:w="109"/>
        <w:gridCol w:w="109"/>
        <w:gridCol w:w="229"/>
        <w:gridCol w:w="177"/>
        <w:gridCol w:w="408"/>
        <w:gridCol w:w="109"/>
        <w:gridCol w:w="109"/>
        <w:gridCol w:w="109"/>
        <w:gridCol w:w="258"/>
        <w:gridCol w:w="148"/>
        <w:gridCol w:w="301"/>
        <w:gridCol w:w="109"/>
        <w:gridCol w:w="109"/>
        <w:gridCol w:w="109"/>
        <w:gridCol w:w="267"/>
        <w:gridCol w:w="142"/>
        <w:gridCol w:w="279"/>
        <w:gridCol w:w="109"/>
        <w:gridCol w:w="109"/>
        <w:gridCol w:w="109"/>
        <w:gridCol w:w="267"/>
        <w:gridCol w:w="142"/>
        <w:gridCol w:w="279"/>
        <w:gridCol w:w="109"/>
        <w:gridCol w:w="109"/>
        <w:gridCol w:w="109"/>
        <w:gridCol w:w="229"/>
        <w:gridCol w:w="177"/>
        <w:gridCol w:w="408"/>
        <w:gridCol w:w="109"/>
        <w:gridCol w:w="109"/>
        <w:gridCol w:w="109"/>
        <w:gridCol w:w="316"/>
        <w:gridCol w:w="163"/>
        <w:gridCol w:w="408"/>
        <w:gridCol w:w="109"/>
        <w:gridCol w:w="109"/>
        <w:gridCol w:w="109"/>
        <w:gridCol w:w="229"/>
        <w:gridCol w:w="177"/>
        <w:gridCol w:w="408"/>
        <w:gridCol w:w="109"/>
        <w:gridCol w:w="109"/>
        <w:gridCol w:w="109"/>
        <w:gridCol w:w="414"/>
        <w:gridCol w:w="254"/>
        <w:gridCol w:w="363"/>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equivalent in millions)</w:t>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Fiscal Year of Maturity</w:t>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variable/pay 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pay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receive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Subsequent to September 29, 2023, Aramark redeemed the 6.375% Senior Notes due 2025 of $1,500.0 million from the proceeds received in conjunction with the separation and distribution of the Uniform segment. In addition, the Uniform segment United States term loan of $800.0 million due 2025 and $700.0 million due 2028 will be removed from Aramark’s Consolidated Balance Sheets as a result of the separation and distribution of the Uniform segment on September 30, 2023.</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series of pay fixed/receive floating gasoline and diesel fuel agreements based on the Department of Energy weekly retail on-highway index in order to limit our exposure to price fluctuations for gasoline and diesel fuel. As of September 29, 2023, we had contracts for 6.6 million gallons outstanding through June of fiscal 2024. As of September 29, 2023, the fair value of our gasoline and diesel fuel hedge agreements is immaterial, which is included in "Accounts payable"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Financial Statements and Schedule beginning on page S-1.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65455"/>
                <wp:effectExtent l="0" t="0" r="0" b="0"/>
                <wp:wrapNone/>
                <wp:docPr id="48" name="Frame4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Evaluation of Disclosure Controls and Procedures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 Management’s Annual Report on Internal Control Over Financial Reporting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Internal Control – Integrated Framework (2013) by the Committee of Sponsoring Organizations of the Treadway Commission. Based on that evaluation, our management concluded that our internal control over financial reporting was effective as of September 29, 2023. The effectiveness of our internal control over financial reporting as of September 29, 2023 has been audited by Deloitte &amp; Touche LLP, our independent registered public accounting firm, as stated in their report that is included herein on the following page.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 Change in Internal Control over Financial Reporting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change in our internal control over financial reporting occurred during our fourth quarter of fiscal 2023 that has materially affected, or is reasonably likely to materially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65455"/>
                <wp:effectExtent l="0" t="0" r="0" b="0"/>
                <wp:wrapNone/>
                <wp:docPr id="49" name="Frame46"/>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6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Aramark</w:t>
      </w:r>
    </w:p>
    <w:p>
      <w:pPr>
        <w:pStyle w:val="TextBody"/>
        <w:bidi w:val="0"/>
        <w:spacing w:before="100" w:after="60"/>
        <w:jc w:val="left"/>
        <w:rPr/>
      </w:pPr>
      <w:r>
        <w:rPr/>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00" w:after="60"/>
        <w:jc w:val="both"/>
        <w:rPr/>
      </w:pPr>
      <w:r>
        <w:rPr>
          <w:rFonts w:ascii="Times New Roman;sans-serif" w:hAnsi="Times New Roman;sans-serif"/>
          <w:b w:val="false"/>
          <w:color w:val="000000"/>
          <w:sz w:val="20"/>
        </w:rPr>
        <w:t>We have audited the internal control over financial reporting of Aramark and subsidiaries (the "Company") as of September 29, 2023, based on criteria established in</w:t>
      </w:r>
      <w:r>
        <w:rPr>
          <w:color w:val="000000"/>
        </w:rPr>
        <w:t xml:space="preserve"> </w:t>
      </w:r>
      <w:r>
        <w:rPr>
          <w:rFonts w:ascii="Times New Roman;sans-serif" w:hAnsi="Times New Roman;sans-serif"/>
          <w:b w:val="false"/>
          <w:i/>
          <w:color w:val="000000"/>
          <w:sz w:val="20"/>
        </w:rPr>
        <w:t xml:space="preserve">Internal Control </w:t>
      </w:r>
      <w:r>
        <w:rPr>
          <w:color w:val="000000"/>
        </w:rPr>
        <w:t xml:space="preserve">– </w:t>
      </w:r>
      <w:r>
        <w:rPr>
          <w:rFonts w:ascii="Times New Roman;sans-serif" w:hAnsi="Times New Roman;sans-serif"/>
          <w:b w:val="false"/>
          <w:i/>
          <w:color w:val="000000"/>
          <w:sz w:val="20"/>
        </w:rPr>
        <w:t>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September 29, 2023, based on criteria established in </w:t>
      </w:r>
      <w:r>
        <w:rPr>
          <w:rFonts w:ascii="Times New Roman;sans-serif" w:hAnsi="Times New Roman;sans-serif"/>
          <w:b w:val="false"/>
          <w:i/>
          <w:color w:val="000000"/>
          <w:sz w:val="20"/>
        </w:rPr>
        <w:t xml:space="preserve">Internal Control </w:t>
      </w:r>
      <w:r>
        <w:rPr>
          <w:color w:val="000000"/>
        </w:rPr>
        <w:t xml:space="preserve">– </w:t>
      </w:r>
      <w:r>
        <w:rPr>
          <w:rFonts w:ascii="Times New Roman;sans-serif" w:hAnsi="Times New Roman;sans-serif"/>
          <w:b w:val="false"/>
          <w:i/>
          <w:color w:val="000000"/>
          <w:sz w:val="20"/>
        </w:rPr>
        <w:t xml:space="preserve">Integrated Framework (2013) </w:t>
      </w:r>
      <w:r>
        <w:rPr>
          <w:rFonts w:ascii="Times New Roman;sans-serif" w:hAnsi="Times New Roman;sans-serif"/>
          <w:b w:val="false"/>
          <w:color w:val="000000"/>
          <w:sz w:val="20"/>
        </w:rPr>
        <w:t>issued by COSO.</w:t>
      </w:r>
      <w:r>
        <w:rPr>
          <w:color w:val="000000"/>
        </w:rPr>
        <w:t xml:space="preserve"> </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September 29, 2023, of the Company and our report dated November 21, 2023, expressed an unqualified opinion on those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00" w:after="6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00" w:after="60"/>
        <w:jc w:val="left"/>
        <w:rPr/>
      </w:pPr>
      <w:r>
        <w:rPr/>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PA</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November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65455"/>
                <wp:effectExtent l="0" t="0" r="0" b="0"/>
                <wp:wrapNone/>
                <wp:docPr id="50" name="Frame47"/>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29, 2023,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17, 2023, Arthur B. Winkleblack notified the Company of his decision not to stand for re-election to the board of directors at the 2024 Annual Meeting of Stockholders. Mr. Winkleblack advised the Company that his decision not to stand for re-election was not the result of any disagreement with the Company on any matter relating to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65455"/>
                <wp:effectExtent l="0" t="0" r="0" b="0"/>
                <wp:wrapNone/>
                <wp:docPr id="51" name="Frame48"/>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about our directors and persons nominated to become directors required by Item 10 will be included under the caption "Proposal No. 1 - Election of Directors" in our Proxy Statement for the 2024 Annual Meeting of Stockholders and is incorporated herein by reference. Information about our executive officers is included under the caption “Information About Our Executive Officers” in Part I of this report and incorporated herein.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on beneficial ownership reporting required by Item 10, if any, will be included under the caption "Delinquent Section 16(a) Reports" in our Proxy Statement for the 2024 Annual Meeting of Stockholders and is incorporated herein by reference.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Item 10 will be included under the caption "Board Committees and Meetings" in our Proxy Statement for the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by Item 11 will be included under the caption "Compensation Matters" in our Proxy Statement for the 2024 Annual Meeting of Stockholders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by Item 12 will be included under the captions "Security Ownership of Certain Beneficial Owners and Management" and "Equity Compensation Plan Information" in our Proxy Statement for the 2024 Annual Meeting of Stockholders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by Item 13 will be included under the captions "Certain Relationships and Related Transactions" and "Director Independence and Independence Determinations" in our Proxy Statement for the 2024 Annual Meeting of Stockholders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Item 14 will be included under the caption "Fees to Independent Registered Public Accounting Firm" in our Proxy Statement for the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65455"/>
                <wp:effectExtent l="0" t="0" r="0" b="0"/>
                <wp:wrapNone/>
                <wp:docPr id="52" name="Frame49"/>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00" w:after="60"/>
        <w:jc w:val="left"/>
        <w:rPr/>
      </w:pPr>
      <w:r>
        <w:rPr>
          <w:rFonts w:ascii="Times New Roman;sans-serif" w:hAnsi="Times New Roman;sans-serif"/>
          <w:b w:val="false"/>
          <w:color w:val="000000"/>
          <w:sz w:val="20"/>
        </w:rPr>
        <w:t xml:space="preserve">(a) </w:t>
      </w:r>
      <w:r>
        <w:rPr>
          <w:rFonts w:ascii="Times New Roman;sans-serif" w:hAnsi="Times New Roman;sans-serif"/>
          <w:b w:val="false"/>
          <w:i/>
          <w:color w:val="000000"/>
          <w:sz w:val="20"/>
        </w:rPr>
        <w:t>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and Schedule at page S-1 and the Exhibit Index.</w:t>
      </w:r>
    </w:p>
    <w:p>
      <w:pPr>
        <w:pStyle w:val="TextBody"/>
        <w:bidi w:val="0"/>
        <w:spacing w:lineRule="auto" w:line="288" w:before="100" w:after="60"/>
        <w:jc w:val="left"/>
        <w:rPr/>
      </w:pPr>
      <w:r>
        <w:rPr>
          <w:rFonts w:ascii="Times New Roman;sans-serif" w:hAnsi="Times New Roman;sans-serif"/>
          <w:b w:val="false"/>
          <w:color w:val="000000"/>
          <w:sz w:val="20"/>
        </w:rPr>
        <w:t xml:space="preserve">(b) </w:t>
      </w:r>
      <w:r>
        <w:rPr>
          <w:rFonts w:ascii="Times New Roman;sans-serif" w:hAnsi="Times New Roman;sans-serif"/>
          <w:b w:val="false"/>
          <w:i/>
          <w:color w:val="000000"/>
          <w:sz w:val="20"/>
        </w:rPr>
        <w:t>Exhibits Required by Item 601 of Regulation S-K</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which is incorporated herein by reference.</w:t>
      </w:r>
    </w:p>
    <w:p>
      <w:pPr>
        <w:pStyle w:val="TextBody"/>
        <w:bidi w:val="0"/>
        <w:spacing w:lineRule="auto" w:line="288" w:before="100" w:after="60"/>
        <w:jc w:val="left"/>
        <w:rPr/>
      </w:pPr>
      <w:r>
        <w:rPr>
          <w:rFonts w:ascii="Times New Roman;sans-serif" w:hAnsi="Times New Roman;sans-serif"/>
          <w:b w:val="false"/>
          <w:color w:val="000000"/>
          <w:sz w:val="20"/>
        </w:rPr>
        <w:t xml:space="preserve">(c) </w:t>
      </w:r>
      <w:r>
        <w:rPr>
          <w:rFonts w:ascii="Times New Roman;sans-serif" w:hAnsi="Times New Roman;sans-serif"/>
          <w:b w:val="false"/>
          <w:i/>
          <w:color w:val="000000"/>
          <w:sz w:val="20"/>
        </w:rPr>
        <w:t>Financial Statement Schedules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and Schedule at page S-1.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65455"/>
                <wp:effectExtent l="0" t="0" r="0" b="0"/>
                <wp:wrapNone/>
                <wp:docPr id="53" name="Frame50"/>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60" w:after="60"/>
                        <w:jc w:val="center"/>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to be signed on its behalf by the undersigned, thereunto duly authorized on November 21, 2023.</w:t>
      </w:r>
    </w:p>
    <w:tbl>
      <w:tblPr>
        <w:tblW w:w="6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Vice President, Controller and Chief Accounting Officer</w:t>
              <w:br/>
              <w:t>(Authorized Signatory)</w:t>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has been signed below by the following persons on behalf of the registrant and in the capacities indicated on November 21, 2023.</w:t>
      </w:r>
    </w:p>
    <w:tbl>
      <w:tblPr>
        <w:tblW w:w="8531" w:type="dxa"/>
        <w:jc w:val="center"/>
        <w:tblInd w:w="0" w:type="dxa"/>
        <w:tblLayout w:type="fixed"/>
        <w:tblCellMar>
          <w:top w:w="28" w:type="dxa"/>
          <w:left w:w="28" w:type="dxa"/>
          <w:bottom w:w="28" w:type="dxa"/>
          <w:right w:w="28" w:type="dxa"/>
        </w:tblCellMar>
      </w:tblPr>
      <w:tblGrid>
        <w:gridCol w:w="1063"/>
        <w:gridCol w:w="933"/>
        <w:gridCol w:w="943"/>
        <w:gridCol w:w="109"/>
        <w:gridCol w:w="109"/>
        <w:gridCol w:w="109"/>
        <w:gridCol w:w="1537"/>
        <w:gridCol w:w="1537"/>
        <w:gridCol w:w="2191"/>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Capacity</w:t>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John J. Zillmer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Thomas G. Ondrof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 SCHILLING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Controller and Chief Accounting Officer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T. Schilling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M. CAMERON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Susan M. Cameron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 CREED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Greg Creed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BRIDGETTE P. HELLER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Bridgette P. Heller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M. KEVERIAN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Kenneth M. Keverian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M.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Karen M.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PATRICIA E. LOPEZ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Patricia E. Lopez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STEPHEN I. SADOVE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Stephen I. Sadove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G. WILLS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Kevin G. Wills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ARTHUR B. WINKLEBLACK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Arthur B. Winkleblack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65455"/>
                <wp:effectExtent l="0" t="0" r="0" b="0"/>
                <wp:wrapNone/>
                <wp:docPr id="54" name="Frame51"/>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 SCHEDULE</w:t>
      </w:r>
    </w:p>
    <w:tbl>
      <w:tblPr>
        <w:tblW w:w="10205" w:type="dxa"/>
        <w:jc w:val="center"/>
        <w:tblInd w:w="0" w:type="dxa"/>
        <w:tblLayout w:type="fixed"/>
        <w:tblCellMar>
          <w:top w:w="28" w:type="dxa"/>
          <w:left w:w="28" w:type="dxa"/>
          <w:bottom w:w="28" w:type="dxa"/>
          <w:right w:w="28" w:type="dxa"/>
        </w:tblCellMar>
      </w:tblPr>
      <w:tblGrid>
        <w:gridCol w:w="3309"/>
        <w:gridCol w:w="2826"/>
        <w:gridCol w:w="2843"/>
        <w:gridCol w:w="109"/>
        <w:gridCol w:w="109"/>
        <w:gridCol w:w="109"/>
        <w:gridCol w:w="109"/>
        <w:gridCol w:w="109"/>
        <w:gridCol w:w="109"/>
        <w:gridCol w:w="167"/>
        <w:gridCol w:w="167"/>
        <w:gridCol w:w="239"/>
      </w:tblGrid>
      <w:tr>
        <w:trPr/>
        <w:tc>
          <w:tcPr>
            <w:tcW w:w="330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12">
              <w:r>
                <w:rPr>
                  <w:rStyle w:val="InternetLink"/>
                  <w:rFonts w:ascii="Times New Roman;sans-serif" w:hAnsi="Times New Roman;sans-serif"/>
                  <w:b w:val="false"/>
                  <w:color w:val="0000FF"/>
                  <w:sz w:val="20"/>
                  <w:u w:val="single"/>
                </w:rPr>
                <w:t>Report of Deloitte &amp; Touche LLP, Independent Registered Public Accounting Firm (PCA</w:t>
              </w:r>
            </w:hyperlink>
            <w:hyperlink w:anchor="i0221248fc5fb4b43a889cc3dabb8d38a_112">
              <w:r>
                <w:rPr>
                  <w:rStyle w:val="InternetLink"/>
                  <w:rFonts w:ascii="Times New Roman;sans-serif" w:hAnsi="Times New Roman;sans-serif"/>
                  <w:b w:val="false"/>
                  <w:color w:val="000080"/>
                  <w:sz w:val="20"/>
                  <w:u w:val="single"/>
                </w:rPr>
                <w:t xml:space="preserve">OB ID </w:t>
              </w:r>
            </w:hyperlink>
            <w:r>
              <w:rPr>
                <w:rFonts w:ascii="Times New Roman;sans-serif" w:hAnsi="Times New Roman;sans-serif"/>
                <w:b w:val="false"/>
                <w:color w:val="0E32E1"/>
                <w:sz w:val="20"/>
                <w:u w:val="single"/>
              </w:rPr>
              <w:t>34</w:t>
            </w:r>
            <w:hyperlink w:anchor="i0221248fc5fb4b43a889cc3dabb8d38a_11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221248fc5fb4b43a889cc3dabb8d38a_112">
              <w:r>
                <w:rPr>
                  <w:rStyle w:val="InternetLink"/>
                  <w:rFonts w:ascii="Times New Roman;sans-serif" w:hAnsi="Times New Roman;sans-serif"/>
                  <w:b w:val="false"/>
                  <w:color w:val="000080"/>
                  <w:sz w:val="20"/>
                  <w:u w:val="single"/>
                </w:rPr>
                <w:t>S-</w:t>
              </w:r>
            </w:hyperlink>
            <w:hyperlink w:anchor="i0221248fc5fb4b43a889cc3dabb8d38a_112">
              <w:r>
                <w:rPr>
                  <w:rStyle w:val="InternetLink"/>
                  <w:rFonts w:ascii="Times New Roman;sans-serif" w:hAnsi="Times New Roman;sans-serif"/>
                  <w:b w:val="false"/>
                  <w:color w:val="000080"/>
                  <w:sz w:val="20"/>
                  <w:u w:val="single"/>
                </w:rPr>
                <w:t>2</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18">
              <w:r>
                <w:rPr>
                  <w:rStyle w:val="InternetLink"/>
                  <w:rFonts w:ascii="Times New Roman;sans-serif" w:hAnsi="Times New Roman;sans-serif"/>
                  <w:b w:val="false"/>
                  <w:color w:val="000080"/>
                  <w:sz w:val="20"/>
                  <w:u w:val="single"/>
                </w:rPr>
                <w:t xml:space="preserve">Consolidated Balance Sheets as of September </w:t>
              </w:r>
            </w:hyperlink>
            <w:hyperlink w:anchor="i0221248fc5fb4b43a889cc3dabb8d38a_118">
              <w:r>
                <w:rPr>
                  <w:rStyle w:val="InternetLink"/>
                  <w:rFonts w:ascii="Times New Roman;sans-serif" w:hAnsi="Times New Roman;sans-serif"/>
                  <w:b w:val="false"/>
                  <w:color w:val="000080"/>
                  <w:sz w:val="20"/>
                  <w:u w:val="single"/>
                </w:rPr>
                <w:t>29</w:t>
              </w:r>
            </w:hyperlink>
            <w:hyperlink w:anchor="i0221248fc5fb4b43a889cc3dabb8d38a_118">
              <w:r>
                <w:rPr>
                  <w:rStyle w:val="InternetLink"/>
                  <w:rFonts w:ascii="Times New Roman;sans-serif" w:hAnsi="Times New Roman;sans-serif"/>
                  <w:b w:val="false"/>
                  <w:color w:val="000080"/>
                  <w:sz w:val="20"/>
                  <w:u w:val="single"/>
                </w:rPr>
                <w:t>, 202</w:t>
              </w:r>
            </w:hyperlink>
            <w:hyperlink w:anchor="i0221248fc5fb4b43a889cc3dabb8d38a_118">
              <w:r>
                <w:rPr>
                  <w:rStyle w:val="InternetLink"/>
                  <w:rFonts w:ascii="Times New Roman;sans-serif" w:hAnsi="Times New Roman;sans-serif"/>
                  <w:b w:val="false"/>
                  <w:color w:val="000080"/>
                  <w:sz w:val="20"/>
                  <w:u w:val="single"/>
                </w:rPr>
                <w:t>3</w:t>
              </w:r>
            </w:hyperlink>
            <w:hyperlink w:anchor="i0221248fc5fb4b43a889cc3dabb8d38a_118">
              <w:r>
                <w:rPr>
                  <w:rStyle w:val="InternetLink"/>
                  <w:rFonts w:ascii="Times New Roman;sans-serif" w:hAnsi="Times New Roman;sans-serif"/>
                  <w:b w:val="false"/>
                  <w:color w:val="000080"/>
                  <w:sz w:val="20"/>
                  <w:u w:val="single"/>
                </w:rPr>
                <w:t xml:space="preserve"> and </w:t>
              </w:r>
            </w:hyperlink>
            <w:hyperlink w:anchor="i0221248fc5fb4b43a889cc3dabb8d38a_118">
              <w:r>
                <w:rPr>
                  <w:rStyle w:val="InternetLink"/>
                  <w:rFonts w:ascii="Times New Roman;sans-serif" w:hAnsi="Times New Roman;sans-serif"/>
                  <w:b w:val="false"/>
                  <w:color w:val="000080"/>
                  <w:sz w:val="20"/>
                  <w:u w:val="single"/>
                </w:rPr>
                <w:t>September 30</w:t>
              </w:r>
            </w:hyperlink>
            <w:hyperlink w:anchor="i0221248fc5fb4b43a889cc3dabb8d38a_118">
              <w:r>
                <w:rPr>
                  <w:rStyle w:val="InternetLink"/>
                  <w:rFonts w:ascii="Times New Roman;sans-serif" w:hAnsi="Times New Roman;sans-serif"/>
                  <w:b w:val="false"/>
                  <w:color w:val="000080"/>
                  <w:sz w:val="20"/>
                  <w:u w:val="single"/>
                </w:rPr>
                <w:t>, 20</w:t>
              </w:r>
            </w:hyperlink>
            <w:hyperlink w:anchor="i0221248fc5fb4b43a889cc3dabb8d38a_118">
              <w:r>
                <w:rPr>
                  <w:rStyle w:val="InternetLink"/>
                  <w:rFonts w:ascii="Times New Roman;sans-serif" w:hAnsi="Times New Roman;sans-serif"/>
                  <w:b w:val="false"/>
                  <w:color w:val="000080"/>
                  <w:sz w:val="20"/>
                  <w:u w:val="single"/>
                </w:rPr>
                <w:t>2</w:t>
              </w:r>
            </w:hyperlink>
            <w:hyperlink w:anchor="i0221248fc5fb4b43a889cc3dabb8d38a_118">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18">
              <w:r>
                <w:rPr>
                  <w:rStyle w:val="InternetLink"/>
                  <w:rFonts w:ascii="Times New Roman;sans-serif" w:hAnsi="Times New Roman;sans-serif"/>
                  <w:b w:val="false"/>
                  <w:color w:val="000080"/>
                  <w:sz w:val="20"/>
                  <w:u w:val="single"/>
                </w:rPr>
                <w:t>S-</w:t>
              </w:r>
            </w:hyperlink>
            <w:hyperlink w:anchor="i0221248fc5fb4b43a889cc3dabb8d38a_118">
              <w:r>
                <w:rPr>
                  <w:rStyle w:val="InternetLink"/>
                  <w:rFonts w:ascii="Times New Roman;sans-serif" w:hAnsi="Times New Roman;sans-serif"/>
                  <w:b w:val="false"/>
                  <w:color w:val="000080"/>
                  <w:sz w:val="20"/>
                  <w:u w:val="single"/>
                </w:rPr>
                <w:t>4</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21">
              <w:r>
                <w:rPr>
                  <w:rStyle w:val="InternetLink"/>
                  <w:rFonts w:ascii="Times New Roman;sans-serif" w:hAnsi="Times New Roman;sans-serif"/>
                  <w:b w:val="false"/>
                  <w:color w:val="000080"/>
                  <w:sz w:val="20"/>
                  <w:u w:val="single"/>
                </w:rPr>
                <w:t xml:space="preserve">Consolidated Statements of Income (Loss) for the fiscal years ended September </w:t>
              </w:r>
            </w:hyperlink>
            <w:hyperlink w:anchor="i0221248fc5fb4b43a889cc3dabb8d38a_121">
              <w:r>
                <w:rPr>
                  <w:rStyle w:val="InternetLink"/>
                  <w:rFonts w:ascii="Times New Roman;sans-serif" w:hAnsi="Times New Roman;sans-serif"/>
                  <w:b w:val="false"/>
                  <w:color w:val="000080"/>
                  <w:sz w:val="20"/>
                  <w:u w:val="single"/>
                </w:rPr>
                <w:t>29</w:t>
              </w:r>
            </w:hyperlink>
            <w:hyperlink w:anchor="i0221248fc5fb4b43a889cc3dabb8d38a_121">
              <w:r>
                <w:rPr>
                  <w:rStyle w:val="InternetLink"/>
                  <w:rFonts w:ascii="Times New Roman;sans-serif" w:hAnsi="Times New Roman;sans-serif"/>
                  <w:b w:val="false"/>
                  <w:color w:val="000080"/>
                  <w:sz w:val="20"/>
                  <w:u w:val="single"/>
                </w:rPr>
                <w:t>, 202</w:t>
              </w:r>
            </w:hyperlink>
            <w:hyperlink w:anchor="i0221248fc5fb4b43a889cc3dabb8d38a_121">
              <w:r>
                <w:rPr>
                  <w:rStyle w:val="InternetLink"/>
                  <w:rFonts w:ascii="Times New Roman;sans-serif" w:hAnsi="Times New Roman;sans-serif"/>
                  <w:b w:val="false"/>
                  <w:color w:val="000080"/>
                  <w:sz w:val="20"/>
                  <w:u w:val="single"/>
                </w:rPr>
                <w:t>3</w:t>
              </w:r>
            </w:hyperlink>
            <w:hyperlink w:anchor="i0221248fc5fb4b43a889cc3dabb8d38a_121">
              <w:r>
                <w:rPr>
                  <w:rStyle w:val="InternetLink"/>
                  <w:rFonts w:ascii="Times New Roman;sans-serif" w:hAnsi="Times New Roman;sans-serif"/>
                  <w:b w:val="false"/>
                  <w:color w:val="000080"/>
                  <w:sz w:val="20"/>
                  <w:u w:val="single"/>
                </w:rPr>
                <w:t xml:space="preserve">, </w:t>
              </w:r>
            </w:hyperlink>
            <w:hyperlink w:anchor="i0221248fc5fb4b43a889cc3dabb8d38a_121">
              <w:r>
                <w:rPr>
                  <w:rStyle w:val="InternetLink"/>
                  <w:rFonts w:ascii="Times New Roman;sans-serif" w:hAnsi="Times New Roman;sans-serif"/>
                  <w:b w:val="false"/>
                  <w:color w:val="000080"/>
                  <w:sz w:val="20"/>
                  <w:u w:val="single"/>
                </w:rPr>
                <w:t>September</w:t>
              </w:r>
            </w:hyperlink>
            <w:hyperlink w:anchor="i0221248fc5fb4b43a889cc3dabb8d38a_121">
              <w:r>
                <w:rPr>
                  <w:rStyle w:val="InternetLink"/>
                  <w:rFonts w:ascii="Times New Roman;sans-serif" w:hAnsi="Times New Roman;sans-serif"/>
                  <w:b w:val="false"/>
                  <w:color w:val="000080"/>
                  <w:sz w:val="20"/>
                  <w:u w:val="single"/>
                </w:rPr>
                <w:t xml:space="preserve"> 30</w:t>
              </w:r>
            </w:hyperlink>
            <w:hyperlink w:anchor="i0221248fc5fb4b43a889cc3dabb8d38a_121">
              <w:r>
                <w:rPr>
                  <w:rStyle w:val="InternetLink"/>
                  <w:rFonts w:ascii="Times New Roman;sans-serif" w:hAnsi="Times New Roman;sans-serif"/>
                  <w:b w:val="false"/>
                  <w:color w:val="000080"/>
                  <w:sz w:val="20"/>
                  <w:u w:val="single"/>
                </w:rPr>
                <w:t>, 202</w:t>
              </w:r>
            </w:hyperlink>
            <w:hyperlink w:anchor="i0221248fc5fb4b43a889cc3dabb8d38a_121">
              <w:r>
                <w:rPr>
                  <w:rStyle w:val="InternetLink"/>
                  <w:rFonts w:ascii="Times New Roman;sans-serif" w:hAnsi="Times New Roman;sans-serif"/>
                  <w:b w:val="false"/>
                  <w:color w:val="000080"/>
                  <w:sz w:val="20"/>
                  <w:u w:val="single"/>
                </w:rPr>
                <w:t>2</w:t>
              </w:r>
            </w:hyperlink>
            <w:hyperlink w:anchor="i0221248fc5fb4b43a889cc3dabb8d38a_121">
              <w:r>
                <w:rPr>
                  <w:rStyle w:val="InternetLink"/>
                  <w:rFonts w:ascii="Times New Roman;sans-serif" w:hAnsi="Times New Roman;sans-serif"/>
                  <w:b w:val="false"/>
                  <w:color w:val="000080"/>
                  <w:sz w:val="20"/>
                  <w:u w:val="single"/>
                </w:rPr>
                <w:t xml:space="preserve"> and October </w:t>
              </w:r>
            </w:hyperlink>
            <w:hyperlink w:anchor="i0221248fc5fb4b43a889cc3dabb8d38a_121">
              <w:r>
                <w:rPr>
                  <w:rStyle w:val="InternetLink"/>
                  <w:rFonts w:ascii="Times New Roman;sans-serif" w:hAnsi="Times New Roman;sans-serif"/>
                  <w:b w:val="false"/>
                  <w:color w:val="000080"/>
                  <w:sz w:val="20"/>
                  <w:u w:val="single"/>
                </w:rPr>
                <w:t>1</w:t>
              </w:r>
            </w:hyperlink>
            <w:hyperlink w:anchor="i0221248fc5fb4b43a889cc3dabb8d38a_121">
              <w:r>
                <w:rPr>
                  <w:rStyle w:val="InternetLink"/>
                  <w:rFonts w:ascii="Times New Roman;sans-serif" w:hAnsi="Times New Roman;sans-serif"/>
                  <w:b w:val="false"/>
                  <w:color w:val="000080"/>
                  <w:sz w:val="20"/>
                  <w:u w:val="single"/>
                </w:rPr>
                <w:t>, 202</w:t>
              </w:r>
            </w:hyperlink>
            <w:hyperlink w:anchor="i0221248fc5fb4b43a889cc3dabb8d38a_121">
              <w:r>
                <w:rPr>
                  <w:rStyle w:val="InternetLink"/>
                  <w:rFonts w:ascii="Times New Roman;sans-serif" w:hAnsi="Times New Roman;sans-serif"/>
                  <w:b w:val="false"/>
                  <w:color w:val="000080"/>
                  <w:sz w:val="20"/>
                  <w:u w:val="single"/>
                </w:rPr>
                <w:t>1</w:t>
              </w:r>
            </w:hyperlink>
            <w:hyperlink w:anchor="i0221248fc5fb4b43a889cc3dabb8d38a_121">
              <w:r>
                <w:rPr>
                  <w:rStyle w:val="InternetLink"/>
                  <w:rFonts w:ascii="Times New Roman;sans-serif" w:hAnsi="Times New Roman;sans-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21">
              <w:r>
                <w:rPr>
                  <w:rStyle w:val="InternetLink"/>
                  <w:rFonts w:ascii="Times New Roman;sans-serif" w:hAnsi="Times New Roman;sans-serif"/>
                  <w:b w:val="false"/>
                  <w:color w:val="000080"/>
                  <w:sz w:val="20"/>
                  <w:u w:val="single"/>
                </w:rPr>
                <w:t>S-</w:t>
              </w:r>
            </w:hyperlink>
            <w:hyperlink w:anchor="i0221248fc5fb4b43a889cc3dabb8d38a_121">
              <w:r>
                <w:rPr>
                  <w:rStyle w:val="InternetLink"/>
                  <w:rFonts w:ascii="Times New Roman;sans-serif" w:hAnsi="Times New Roman;sans-serif"/>
                  <w:b w:val="false"/>
                  <w:color w:val="000080"/>
                  <w:sz w:val="20"/>
                  <w:u w:val="single"/>
                </w:rPr>
                <w:t>5</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24">
              <w:r>
                <w:rPr>
                  <w:rStyle w:val="InternetLink"/>
                  <w:rFonts w:ascii="Times New Roman;sans-serif" w:hAnsi="Times New Roman;sans-serif"/>
                  <w:b w:val="false"/>
                  <w:color w:val="000080"/>
                  <w:sz w:val="20"/>
                  <w:u w:val="single"/>
                </w:rPr>
                <w:t>Consolidated Statements of Comprehensive Income</w:t>
              </w:r>
            </w:hyperlink>
            <w:hyperlink w:anchor="i0221248fc5fb4b43a889cc3dabb8d38a_124">
              <w:r>
                <w:rPr>
                  <w:rStyle w:val="InternetLink"/>
                  <w:rFonts w:ascii="Times New Roman;sans-serif" w:hAnsi="Times New Roman;sans-serif"/>
                  <w:b w:val="false"/>
                  <w:color w:val="000080"/>
                  <w:sz w:val="20"/>
                  <w:u w:val="single"/>
                </w:rPr>
                <w:t xml:space="preserve"> </w:t>
              </w:r>
            </w:hyperlink>
            <w:hyperlink w:anchor="i0221248fc5fb4b43a889cc3dabb8d38a_124">
              <w:r>
                <w:rPr>
                  <w:rStyle w:val="InternetLink"/>
                  <w:rFonts w:ascii="Times New Roman;sans-serif" w:hAnsi="Times New Roman;sans-serif"/>
                  <w:b w:val="false"/>
                  <w:color w:val="000080"/>
                  <w:sz w:val="20"/>
                  <w:u w:val="single"/>
                </w:rPr>
                <w:t xml:space="preserve">for the fiscal years ended September </w:t>
              </w:r>
            </w:hyperlink>
            <w:hyperlink w:anchor="i0221248fc5fb4b43a889cc3dabb8d38a_124">
              <w:r>
                <w:rPr>
                  <w:rStyle w:val="InternetLink"/>
                  <w:rFonts w:ascii="Times New Roman;sans-serif" w:hAnsi="Times New Roman;sans-serif"/>
                  <w:b w:val="false"/>
                  <w:color w:val="000080"/>
                  <w:sz w:val="20"/>
                  <w:u w:val="single"/>
                </w:rPr>
                <w:t>2</w:t>
              </w:r>
            </w:hyperlink>
            <w:hyperlink w:anchor="i0221248fc5fb4b43a889cc3dabb8d38a_124">
              <w:r>
                <w:rPr>
                  <w:rStyle w:val="InternetLink"/>
                  <w:rFonts w:ascii="Times New Roman;sans-serif" w:hAnsi="Times New Roman;sans-serif"/>
                  <w:b w:val="false"/>
                  <w:color w:val="000080"/>
                  <w:sz w:val="20"/>
                  <w:u w:val="single"/>
                </w:rPr>
                <w:t>9</w:t>
              </w:r>
            </w:hyperlink>
            <w:hyperlink w:anchor="i0221248fc5fb4b43a889cc3dabb8d38a_124">
              <w:r>
                <w:rPr>
                  <w:rStyle w:val="InternetLink"/>
                  <w:rFonts w:ascii="Times New Roman;sans-serif" w:hAnsi="Times New Roman;sans-serif"/>
                  <w:b w:val="false"/>
                  <w:color w:val="000080"/>
                  <w:sz w:val="20"/>
                  <w:u w:val="single"/>
                </w:rPr>
                <w:t>, 202</w:t>
              </w:r>
            </w:hyperlink>
            <w:hyperlink w:anchor="i0221248fc5fb4b43a889cc3dabb8d38a_124">
              <w:r>
                <w:rPr>
                  <w:rStyle w:val="InternetLink"/>
                  <w:rFonts w:ascii="Times New Roman;sans-serif" w:hAnsi="Times New Roman;sans-serif"/>
                  <w:b w:val="false"/>
                  <w:color w:val="000080"/>
                  <w:sz w:val="20"/>
                  <w:u w:val="single"/>
                </w:rPr>
                <w:t>3</w:t>
              </w:r>
            </w:hyperlink>
            <w:hyperlink w:anchor="i0221248fc5fb4b43a889cc3dabb8d38a_124">
              <w:r>
                <w:rPr>
                  <w:rStyle w:val="InternetLink"/>
                  <w:rFonts w:ascii="Times New Roman;sans-serif" w:hAnsi="Times New Roman;sans-serif"/>
                  <w:b w:val="false"/>
                  <w:color w:val="000080"/>
                  <w:sz w:val="20"/>
                  <w:u w:val="single"/>
                </w:rPr>
                <w:t xml:space="preserve">, </w:t>
              </w:r>
            </w:hyperlink>
            <w:hyperlink w:anchor="i0221248fc5fb4b43a889cc3dabb8d38a_124">
              <w:r>
                <w:rPr>
                  <w:rStyle w:val="InternetLink"/>
                  <w:rFonts w:ascii="Times New Roman;sans-serif" w:hAnsi="Times New Roman;sans-serif"/>
                  <w:b w:val="false"/>
                  <w:color w:val="000080"/>
                  <w:sz w:val="20"/>
                  <w:u w:val="single"/>
                </w:rPr>
                <w:t>September 30</w:t>
              </w:r>
            </w:hyperlink>
            <w:hyperlink w:anchor="i0221248fc5fb4b43a889cc3dabb8d38a_124">
              <w:r>
                <w:rPr>
                  <w:rStyle w:val="InternetLink"/>
                  <w:rFonts w:ascii="Times New Roman;sans-serif" w:hAnsi="Times New Roman;sans-serif"/>
                  <w:b w:val="false"/>
                  <w:color w:val="000080"/>
                  <w:sz w:val="20"/>
                  <w:u w:val="single"/>
                </w:rPr>
                <w:t>, 202</w:t>
              </w:r>
            </w:hyperlink>
            <w:hyperlink w:anchor="i0221248fc5fb4b43a889cc3dabb8d38a_124">
              <w:r>
                <w:rPr>
                  <w:rStyle w:val="InternetLink"/>
                  <w:rFonts w:ascii="Times New Roman;sans-serif" w:hAnsi="Times New Roman;sans-serif"/>
                  <w:b w:val="false"/>
                  <w:color w:val="000080"/>
                  <w:sz w:val="20"/>
                  <w:u w:val="single"/>
                </w:rPr>
                <w:t>2</w:t>
              </w:r>
            </w:hyperlink>
            <w:hyperlink w:anchor="i0221248fc5fb4b43a889cc3dabb8d38a_124">
              <w:r>
                <w:rPr>
                  <w:rStyle w:val="InternetLink"/>
                  <w:rFonts w:ascii="Times New Roman;sans-serif" w:hAnsi="Times New Roman;sans-serif"/>
                  <w:b w:val="false"/>
                  <w:color w:val="000080"/>
                  <w:sz w:val="20"/>
                  <w:u w:val="single"/>
                </w:rPr>
                <w:t xml:space="preserve"> and October </w:t>
              </w:r>
            </w:hyperlink>
            <w:hyperlink w:anchor="i0221248fc5fb4b43a889cc3dabb8d38a_124">
              <w:r>
                <w:rPr>
                  <w:rStyle w:val="InternetLink"/>
                  <w:rFonts w:ascii="Times New Roman;sans-serif" w:hAnsi="Times New Roman;sans-serif"/>
                  <w:b w:val="false"/>
                  <w:color w:val="000080"/>
                  <w:sz w:val="20"/>
                  <w:u w:val="single"/>
                </w:rPr>
                <w:t>1</w:t>
              </w:r>
            </w:hyperlink>
            <w:hyperlink w:anchor="i0221248fc5fb4b43a889cc3dabb8d38a_124">
              <w:r>
                <w:rPr>
                  <w:rStyle w:val="InternetLink"/>
                  <w:rFonts w:ascii="Times New Roman;sans-serif" w:hAnsi="Times New Roman;sans-serif"/>
                  <w:b w:val="false"/>
                  <w:color w:val="000080"/>
                  <w:sz w:val="20"/>
                  <w:u w:val="single"/>
                </w:rPr>
                <w:t>, 202</w:t>
              </w:r>
            </w:hyperlink>
            <w:hyperlink w:anchor="i0221248fc5fb4b43a889cc3dabb8d38a_124">
              <w:r>
                <w:rPr>
                  <w:rStyle w:val="InternetLink"/>
                  <w:rFonts w:ascii="Times New Roman;sans-serif" w:hAnsi="Times New Roman;sans-serif"/>
                  <w:b w:val="false"/>
                  <w:color w:val="000080"/>
                  <w:sz w:val="20"/>
                  <w:u w:val="single"/>
                </w:rPr>
                <w:t>1</w:t>
              </w:r>
            </w:hyperlink>
            <w:hyperlink w:anchor="i0221248fc5fb4b43a889cc3dabb8d38a_124">
              <w:r>
                <w:rPr>
                  <w:rStyle w:val="InternetLink"/>
                  <w:rFonts w:ascii="Times New Roman;sans-serif" w:hAnsi="Times New Roman;sans-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24">
              <w:r>
                <w:rPr>
                  <w:rStyle w:val="InternetLink"/>
                  <w:rFonts w:ascii="Times New Roman;sans-serif" w:hAnsi="Times New Roman;sans-serif"/>
                  <w:b w:val="false"/>
                  <w:color w:val="000080"/>
                  <w:sz w:val="20"/>
                  <w:u w:val="single"/>
                </w:rPr>
                <w:t>S-</w:t>
              </w:r>
            </w:hyperlink>
            <w:hyperlink w:anchor="i0221248fc5fb4b43a889cc3dabb8d38a_124">
              <w:r>
                <w:rPr>
                  <w:rStyle w:val="InternetLink"/>
                  <w:rFonts w:ascii="Times New Roman;sans-serif" w:hAnsi="Times New Roman;sans-serif"/>
                  <w:b w:val="false"/>
                  <w:color w:val="000080"/>
                  <w:sz w:val="20"/>
                  <w:u w:val="single"/>
                </w:rPr>
                <w:t>6</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27">
              <w:r>
                <w:rPr>
                  <w:rStyle w:val="InternetLink"/>
                  <w:rFonts w:ascii="Times New Roman;sans-serif" w:hAnsi="Times New Roman;sans-serif"/>
                  <w:b w:val="false"/>
                  <w:color w:val="000080"/>
                  <w:sz w:val="20"/>
                  <w:u w:val="single"/>
                </w:rPr>
                <w:t xml:space="preserve">Consolidated Statements of Cash Flows for the fiscal years ended September </w:t>
              </w:r>
            </w:hyperlink>
            <w:hyperlink w:anchor="i0221248fc5fb4b43a889cc3dabb8d38a_127">
              <w:r>
                <w:rPr>
                  <w:rStyle w:val="InternetLink"/>
                  <w:rFonts w:ascii="Times New Roman;sans-serif" w:hAnsi="Times New Roman;sans-serif"/>
                  <w:b w:val="false"/>
                  <w:color w:val="000080"/>
                  <w:sz w:val="20"/>
                  <w:u w:val="single"/>
                </w:rPr>
                <w:t>29</w:t>
              </w:r>
            </w:hyperlink>
            <w:hyperlink w:anchor="i0221248fc5fb4b43a889cc3dabb8d38a_127">
              <w:r>
                <w:rPr>
                  <w:rStyle w:val="InternetLink"/>
                  <w:rFonts w:ascii="Times New Roman;sans-serif" w:hAnsi="Times New Roman;sans-serif"/>
                  <w:b w:val="false"/>
                  <w:color w:val="000080"/>
                  <w:sz w:val="20"/>
                  <w:u w:val="single"/>
                </w:rPr>
                <w:t>, 202</w:t>
              </w:r>
            </w:hyperlink>
            <w:hyperlink w:anchor="i0221248fc5fb4b43a889cc3dabb8d38a_127">
              <w:r>
                <w:rPr>
                  <w:rStyle w:val="InternetLink"/>
                  <w:rFonts w:ascii="Times New Roman;sans-serif" w:hAnsi="Times New Roman;sans-serif"/>
                  <w:b w:val="false"/>
                  <w:color w:val="000080"/>
                  <w:sz w:val="20"/>
                  <w:u w:val="single"/>
                </w:rPr>
                <w:t>3</w:t>
              </w:r>
            </w:hyperlink>
            <w:hyperlink w:anchor="i0221248fc5fb4b43a889cc3dabb8d38a_127">
              <w:r>
                <w:rPr>
                  <w:rStyle w:val="InternetLink"/>
                  <w:rFonts w:ascii="Times New Roman;sans-serif" w:hAnsi="Times New Roman;sans-serif"/>
                  <w:b w:val="false"/>
                  <w:color w:val="000080"/>
                  <w:sz w:val="20"/>
                  <w:u w:val="single"/>
                </w:rPr>
                <w:t xml:space="preserve">, </w:t>
              </w:r>
            </w:hyperlink>
            <w:hyperlink w:anchor="i0221248fc5fb4b43a889cc3dabb8d38a_127">
              <w:r>
                <w:rPr>
                  <w:rStyle w:val="InternetLink"/>
                  <w:rFonts w:ascii="Times New Roman;sans-serif" w:hAnsi="Times New Roman;sans-serif"/>
                  <w:b w:val="false"/>
                  <w:color w:val="000080"/>
                  <w:sz w:val="20"/>
                  <w:u w:val="single"/>
                </w:rPr>
                <w:t xml:space="preserve">September </w:t>
              </w:r>
            </w:hyperlink>
            <w:hyperlink w:anchor="i0221248fc5fb4b43a889cc3dabb8d38a_127">
              <w:r>
                <w:rPr>
                  <w:rStyle w:val="InternetLink"/>
                  <w:rFonts w:ascii="Times New Roman;sans-serif" w:hAnsi="Times New Roman;sans-serif"/>
                  <w:b w:val="false"/>
                  <w:color w:val="000080"/>
                  <w:sz w:val="20"/>
                  <w:u w:val="single"/>
                </w:rPr>
                <w:t>30</w:t>
              </w:r>
            </w:hyperlink>
            <w:hyperlink w:anchor="i0221248fc5fb4b43a889cc3dabb8d38a_127">
              <w:r>
                <w:rPr>
                  <w:rStyle w:val="InternetLink"/>
                  <w:rFonts w:ascii="Times New Roman;sans-serif" w:hAnsi="Times New Roman;sans-serif"/>
                  <w:b w:val="false"/>
                  <w:color w:val="000080"/>
                  <w:sz w:val="20"/>
                  <w:u w:val="single"/>
                </w:rPr>
                <w:t>, 202</w:t>
              </w:r>
            </w:hyperlink>
            <w:hyperlink w:anchor="i0221248fc5fb4b43a889cc3dabb8d38a_127">
              <w:r>
                <w:rPr>
                  <w:rStyle w:val="InternetLink"/>
                  <w:rFonts w:ascii="Times New Roman;sans-serif" w:hAnsi="Times New Roman;sans-serif"/>
                  <w:b w:val="false"/>
                  <w:color w:val="000080"/>
                  <w:sz w:val="20"/>
                  <w:u w:val="single"/>
                </w:rPr>
                <w:t>2</w:t>
              </w:r>
            </w:hyperlink>
            <w:hyperlink w:anchor="i0221248fc5fb4b43a889cc3dabb8d38a_127">
              <w:r>
                <w:rPr>
                  <w:rStyle w:val="InternetLink"/>
                  <w:rFonts w:ascii="Times New Roman;sans-serif" w:hAnsi="Times New Roman;sans-serif"/>
                  <w:b w:val="false"/>
                  <w:color w:val="000080"/>
                  <w:sz w:val="20"/>
                  <w:u w:val="single"/>
                </w:rPr>
                <w:t xml:space="preserve"> and October </w:t>
              </w:r>
            </w:hyperlink>
            <w:hyperlink w:anchor="i0221248fc5fb4b43a889cc3dabb8d38a_127">
              <w:r>
                <w:rPr>
                  <w:rStyle w:val="InternetLink"/>
                  <w:rFonts w:ascii="Times New Roman;sans-serif" w:hAnsi="Times New Roman;sans-serif"/>
                  <w:b w:val="false"/>
                  <w:color w:val="000080"/>
                  <w:sz w:val="20"/>
                  <w:u w:val="single"/>
                </w:rPr>
                <w:t>1</w:t>
              </w:r>
            </w:hyperlink>
            <w:hyperlink w:anchor="i0221248fc5fb4b43a889cc3dabb8d38a_127">
              <w:r>
                <w:rPr>
                  <w:rStyle w:val="InternetLink"/>
                  <w:rFonts w:ascii="Times New Roman;sans-serif" w:hAnsi="Times New Roman;sans-serif"/>
                  <w:b w:val="false"/>
                  <w:color w:val="000080"/>
                  <w:sz w:val="20"/>
                  <w:u w:val="single"/>
                </w:rPr>
                <w:t>, 20</w:t>
              </w:r>
            </w:hyperlink>
            <w:hyperlink w:anchor="i0221248fc5fb4b43a889cc3dabb8d38a_127">
              <w:r>
                <w:rPr>
                  <w:rStyle w:val="InternetLink"/>
                  <w:rFonts w:ascii="Times New Roman;sans-serif" w:hAnsi="Times New Roman;sans-serif"/>
                  <w:b w:val="false"/>
                  <w:color w:val="00008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27">
              <w:r>
                <w:rPr>
                  <w:rStyle w:val="InternetLink"/>
                  <w:rFonts w:ascii="Times New Roman;sans-serif" w:hAnsi="Times New Roman;sans-serif"/>
                  <w:b w:val="false"/>
                  <w:color w:val="000080"/>
                  <w:sz w:val="20"/>
                  <w:u w:val="single"/>
                </w:rPr>
                <w:t>S-</w:t>
              </w:r>
            </w:hyperlink>
            <w:hyperlink w:anchor="i0221248fc5fb4b43a889cc3dabb8d38a_127">
              <w:r>
                <w:rPr>
                  <w:rStyle w:val="InternetLink"/>
                  <w:rFonts w:ascii="Times New Roman;sans-serif" w:hAnsi="Times New Roman;sans-serif"/>
                  <w:b w:val="false"/>
                  <w:color w:val="000080"/>
                  <w:sz w:val="20"/>
                  <w:u w:val="single"/>
                </w:rPr>
                <w:t>7</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30">
              <w:r>
                <w:rPr>
                  <w:rStyle w:val="InternetLink"/>
                  <w:rFonts w:ascii="Times New Roman;sans-serif" w:hAnsi="Times New Roman;sans-serif"/>
                  <w:b w:val="false"/>
                  <w:color w:val="000080"/>
                  <w:sz w:val="20"/>
                  <w:u w:val="single"/>
                </w:rPr>
                <w:t xml:space="preserve">Consolidated Statements of Stockholders' Equity for the fiscal years ended September </w:t>
              </w:r>
            </w:hyperlink>
            <w:hyperlink w:anchor="i0221248fc5fb4b43a889cc3dabb8d38a_130">
              <w:r>
                <w:rPr>
                  <w:rStyle w:val="InternetLink"/>
                  <w:rFonts w:ascii="Times New Roman;sans-serif" w:hAnsi="Times New Roman;sans-serif"/>
                  <w:b w:val="false"/>
                  <w:color w:val="000080"/>
                  <w:sz w:val="20"/>
                  <w:u w:val="single"/>
                </w:rPr>
                <w:t>29</w:t>
              </w:r>
            </w:hyperlink>
            <w:hyperlink w:anchor="i0221248fc5fb4b43a889cc3dabb8d38a_130">
              <w:r>
                <w:rPr>
                  <w:rStyle w:val="InternetLink"/>
                  <w:rFonts w:ascii="Times New Roman;sans-serif" w:hAnsi="Times New Roman;sans-serif"/>
                  <w:b w:val="false"/>
                  <w:color w:val="000080"/>
                  <w:sz w:val="20"/>
                  <w:u w:val="single"/>
                </w:rPr>
                <w:t>, 202</w:t>
              </w:r>
            </w:hyperlink>
            <w:hyperlink w:anchor="i0221248fc5fb4b43a889cc3dabb8d38a_130">
              <w:r>
                <w:rPr>
                  <w:rStyle w:val="InternetLink"/>
                  <w:rFonts w:ascii="Times New Roman;sans-serif" w:hAnsi="Times New Roman;sans-serif"/>
                  <w:b w:val="false"/>
                  <w:color w:val="000080"/>
                  <w:sz w:val="20"/>
                  <w:u w:val="single"/>
                </w:rPr>
                <w:t>3</w:t>
              </w:r>
            </w:hyperlink>
            <w:hyperlink w:anchor="i0221248fc5fb4b43a889cc3dabb8d38a_130">
              <w:r>
                <w:rPr>
                  <w:rStyle w:val="InternetLink"/>
                  <w:rFonts w:ascii="Times New Roman;sans-serif" w:hAnsi="Times New Roman;sans-serif"/>
                  <w:b w:val="false"/>
                  <w:color w:val="000080"/>
                  <w:sz w:val="20"/>
                  <w:u w:val="single"/>
                </w:rPr>
                <w:t xml:space="preserve">, </w:t>
              </w:r>
            </w:hyperlink>
            <w:hyperlink w:anchor="i0221248fc5fb4b43a889cc3dabb8d38a_130">
              <w:r>
                <w:rPr>
                  <w:rStyle w:val="InternetLink"/>
                  <w:rFonts w:ascii="Times New Roman;sans-serif" w:hAnsi="Times New Roman;sans-serif"/>
                  <w:b w:val="false"/>
                  <w:color w:val="000080"/>
                  <w:sz w:val="20"/>
                  <w:u w:val="single"/>
                </w:rPr>
                <w:t>September</w:t>
              </w:r>
            </w:hyperlink>
            <w:hyperlink w:anchor="i0221248fc5fb4b43a889cc3dabb8d38a_130">
              <w:r>
                <w:rPr>
                  <w:rStyle w:val="InternetLink"/>
                  <w:rFonts w:ascii="Times New Roman;sans-serif" w:hAnsi="Times New Roman;sans-serif"/>
                  <w:b w:val="false"/>
                  <w:color w:val="000080"/>
                  <w:sz w:val="20"/>
                  <w:u w:val="single"/>
                </w:rPr>
                <w:t xml:space="preserve"> </w:t>
              </w:r>
            </w:hyperlink>
            <w:hyperlink w:anchor="i0221248fc5fb4b43a889cc3dabb8d38a_130">
              <w:r>
                <w:rPr>
                  <w:rStyle w:val="InternetLink"/>
                  <w:rFonts w:ascii="Times New Roman;sans-serif" w:hAnsi="Times New Roman;sans-serif"/>
                  <w:b w:val="false"/>
                  <w:color w:val="000080"/>
                  <w:sz w:val="20"/>
                  <w:u w:val="single"/>
                </w:rPr>
                <w:t>30</w:t>
              </w:r>
            </w:hyperlink>
            <w:hyperlink w:anchor="i0221248fc5fb4b43a889cc3dabb8d38a_130">
              <w:r>
                <w:rPr>
                  <w:rStyle w:val="InternetLink"/>
                  <w:rFonts w:ascii="Times New Roman;sans-serif" w:hAnsi="Times New Roman;sans-serif"/>
                  <w:b w:val="false"/>
                  <w:color w:val="000080"/>
                  <w:sz w:val="20"/>
                  <w:u w:val="single"/>
                </w:rPr>
                <w:t>, 202</w:t>
              </w:r>
            </w:hyperlink>
            <w:hyperlink w:anchor="i0221248fc5fb4b43a889cc3dabb8d38a_130">
              <w:r>
                <w:rPr>
                  <w:rStyle w:val="InternetLink"/>
                  <w:rFonts w:ascii="Times New Roman;sans-serif" w:hAnsi="Times New Roman;sans-serif"/>
                  <w:b w:val="false"/>
                  <w:color w:val="000080"/>
                  <w:sz w:val="20"/>
                  <w:u w:val="single"/>
                </w:rPr>
                <w:t>2</w:t>
              </w:r>
            </w:hyperlink>
            <w:hyperlink w:anchor="i0221248fc5fb4b43a889cc3dabb8d38a_130">
              <w:r>
                <w:rPr>
                  <w:rStyle w:val="InternetLink"/>
                  <w:rFonts w:ascii="Times New Roman;sans-serif" w:hAnsi="Times New Roman;sans-serif"/>
                  <w:b w:val="false"/>
                  <w:color w:val="000080"/>
                  <w:sz w:val="20"/>
                  <w:u w:val="single"/>
                </w:rPr>
                <w:t xml:space="preserve"> and October </w:t>
              </w:r>
            </w:hyperlink>
            <w:hyperlink w:anchor="i0221248fc5fb4b43a889cc3dabb8d38a_130">
              <w:r>
                <w:rPr>
                  <w:rStyle w:val="InternetLink"/>
                  <w:rFonts w:ascii="Times New Roman;sans-serif" w:hAnsi="Times New Roman;sans-serif"/>
                  <w:b w:val="false"/>
                  <w:color w:val="000080"/>
                  <w:sz w:val="20"/>
                  <w:u w:val="single"/>
                </w:rPr>
                <w:t>1</w:t>
              </w:r>
            </w:hyperlink>
            <w:hyperlink w:anchor="i0221248fc5fb4b43a889cc3dabb8d38a_130">
              <w:r>
                <w:rPr>
                  <w:rStyle w:val="InternetLink"/>
                  <w:rFonts w:ascii="Times New Roman;sans-serif" w:hAnsi="Times New Roman;sans-serif"/>
                  <w:b w:val="false"/>
                  <w:color w:val="000080"/>
                  <w:sz w:val="20"/>
                  <w:u w:val="single"/>
                </w:rPr>
                <w:t>, 20</w:t>
              </w:r>
            </w:hyperlink>
            <w:hyperlink w:anchor="i0221248fc5fb4b43a889cc3dabb8d38a_130">
              <w:r>
                <w:rPr>
                  <w:rStyle w:val="InternetLink"/>
                  <w:rFonts w:ascii="Times New Roman;sans-serif" w:hAnsi="Times New Roman;sans-serif"/>
                  <w:b w:val="false"/>
                  <w:color w:val="00008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30">
              <w:r>
                <w:rPr>
                  <w:rStyle w:val="InternetLink"/>
                  <w:rFonts w:ascii="Times New Roman;sans-serif" w:hAnsi="Times New Roman;sans-serif"/>
                  <w:b w:val="false"/>
                  <w:color w:val="000080"/>
                  <w:sz w:val="20"/>
                  <w:u w:val="single"/>
                </w:rPr>
                <w:t>S-</w:t>
              </w:r>
            </w:hyperlink>
            <w:hyperlink w:anchor="i0221248fc5fb4b43a889cc3dabb8d38a_130">
              <w:r>
                <w:rPr>
                  <w:rStyle w:val="InternetLink"/>
                  <w:rFonts w:ascii="Times New Roman;sans-serif" w:hAnsi="Times New Roman;sans-serif"/>
                  <w:b w:val="false"/>
                  <w:color w:val="000080"/>
                  <w:sz w:val="20"/>
                  <w:u w:val="single"/>
                </w:rPr>
                <w:t>8</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33">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33">
              <w:r>
                <w:rPr>
                  <w:rStyle w:val="InternetLink"/>
                  <w:rFonts w:ascii="Times New Roman;sans-serif" w:hAnsi="Times New Roman;sans-serif"/>
                  <w:b w:val="false"/>
                  <w:color w:val="000080"/>
                  <w:sz w:val="20"/>
                  <w:u w:val="single"/>
                </w:rPr>
                <w:t>S-</w:t>
              </w:r>
            </w:hyperlink>
            <w:hyperlink w:anchor="i0221248fc5fb4b43a889cc3dabb8d38a_133">
              <w:r>
                <w:rPr>
                  <w:rStyle w:val="InternetLink"/>
                  <w:rFonts w:ascii="Times New Roman;sans-serif" w:hAnsi="Times New Roman;sans-serif"/>
                  <w:b w:val="false"/>
                  <w:color w:val="000080"/>
                  <w:sz w:val="20"/>
                  <w:u w:val="single"/>
                </w:rPr>
                <w:t>9</w:t>
              </w:r>
            </w:hyperlink>
          </w:p>
        </w:tc>
      </w:tr>
      <w:tr>
        <w:trPr/>
        <w:tc>
          <w:tcPr>
            <w:tcW w:w="8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84">
              <w:r>
                <w:rPr>
                  <w:rStyle w:val="InternetLink"/>
                  <w:rFonts w:ascii="Times New Roman;sans-serif" w:hAnsi="Times New Roman;sans-serif"/>
                  <w:b w:val="false"/>
                  <w:color w:val="000080"/>
                  <w:sz w:val="20"/>
                  <w:u w:val="single"/>
                </w:rPr>
                <w:t xml:space="preserve">Schedule II—Valuation and Qualifying Accounts and Reserves for the fiscal years ended September </w:t>
              </w:r>
            </w:hyperlink>
            <w:hyperlink w:anchor="i0221248fc5fb4b43a889cc3dabb8d38a_184">
              <w:r>
                <w:rPr>
                  <w:rStyle w:val="InternetLink"/>
                  <w:rFonts w:ascii="Times New Roman;sans-serif" w:hAnsi="Times New Roman;sans-serif"/>
                  <w:b w:val="false"/>
                  <w:color w:val="000080"/>
                  <w:sz w:val="20"/>
                  <w:u w:val="single"/>
                </w:rPr>
                <w:t>29</w:t>
              </w:r>
            </w:hyperlink>
            <w:hyperlink w:anchor="i0221248fc5fb4b43a889cc3dabb8d38a_184">
              <w:r>
                <w:rPr>
                  <w:rStyle w:val="InternetLink"/>
                  <w:rFonts w:ascii="Times New Roman;sans-serif" w:hAnsi="Times New Roman;sans-serif"/>
                  <w:b w:val="false"/>
                  <w:color w:val="000080"/>
                  <w:sz w:val="20"/>
                  <w:u w:val="single"/>
                </w:rPr>
                <w:t>, 202</w:t>
              </w:r>
            </w:hyperlink>
            <w:hyperlink w:anchor="i0221248fc5fb4b43a889cc3dabb8d38a_184">
              <w:r>
                <w:rPr>
                  <w:rStyle w:val="InternetLink"/>
                  <w:rFonts w:ascii="Times New Roman;sans-serif" w:hAnsi="Times New Roman;sans-serif"/>
                  <w:b w:val="false"/>
                  <w:color w:val="000080"/>
                  <w:sz w:val="20"/>
                  <w:u w:val="single"/>
                </w:rPr>
                <w:t>3</w:t>
              </w:r>
            </w:hyperlink>
            <w:hyperlink w:anchor="i0221248fc5fb4b43a889cc3dabb8d38a_184">
              <w:r>
                <w:rPr>
                  <w:rStyle w:val="InternetLink"/>
                  <w:rFonts w:ascii="Times New Roman;sans-serif" w:hAnsi="Times New Roman;sans-serif"/>
                  <w:b w:val="false"/>
                  <w:color w:val="000080"/>
                  <w:sz w:val="20"/>
                  <w:u w:val="single"/>
                </w:rPr>
                <w:t xml:space="preserve">, </w:t>
              </w:r>
            </w:hyperlink>
            <w:hyperlink w:anchor="i0221248fc5fb4b43a889cc3dabb8d38a_184">
              <w:r>
                <w:rPr>
                  <w:rStyle w:val="InternetLink"/>
                  <w:rFonts w:ascii="Times New Roman;sans-serif" w:hAnsi="Times New Roman;sans-serif"/>
                  <w:b w:val="false"/>
                  <w:color w:val="000080"/>
                  <w:sz w:val="20"/>
                  <w:u w:val="single"/>
                </w:rPr>
                <w:t>September 30</w:t>
              </w:r>
            </w:hyperlink>
            <w:hyperlink w:anchor="i0221248fc5fb4b43a889cc3dabb8d38a_184">
              <w:r>
                <w:rPr>
                  <w:rStyle w:val="InternetLink"/>
                  <w:rFonts w:ascii="Times New Roman;sans-serif" w:hAnsi="Times New Roman;sans-serif"/>
                  <w:b w:val="false"/>
                  <w:color w:val="000080"/>
                  <w:sz w:val="20"/>
                  <w:u w:val="single"/>
                </w:rPr>
                <w:t>, 202</w:t>
              </w:r>
            </w:hyperlink>
            <w:hyperlink w:anchor="i0221248fc5fb4b43a889cc3dabb8d38a_184">
              <w:r>
                <w:rPr>
                  <w:rStyle w:val="InternetLink"/>
                  <w:rFonts w:ascii="Times New Roman;sans-serif" w:hAnsi="Times New Roman;sans-serif"/>
                  <w:b w:val="false"/>
                  <w:color w:val="000080"/>
                  <w:sz w:val="20"/>
                  <w:u w:val="single"/>
                </w:rPr>
                <w:t>2</w:t>
              </w:r>
            </w:hyperlink>
            <w:hyperlink w:anchor="i0221248fc5fb4b43a889cc3dabb8d38a_184">
              <w:r>
                <w:rPr>
                  <w:rStyle w:val="InternetLink"/>
                  <w:rFonts w:ascii="Times New Roman;sans-serif" w:hAnsi="Times New Roman;sans-serif"/>
                  <w:b w:val="false"/>
                  <w:color w:val="000080"/>
                  <w:sz w:val="20"/>
                  <w:u w:val="single"/>
                </w:rPr>
                <w:t xml:space="preserve"> and October </w:t>
              </w:r>
            </w:hyperlink>
            <w:hyperlink w:anchor="i0221248fc5fb4b43a889cc3dabb8d38a_184">
              <w:r>
                <w:rPr>
                  <w:rStyle w:val="InternetLink"/>
                  <w:rFonts w:ascii="Times New Roman;sans-serif" w:hAnsi="Times New Roman;sans-serif"/>
                  <w:b w:val="false"/>
                  <w:color w:val="000080"/>
                  <w:sz w:val="20"/>
                  <w:u w:val="single"/>
                </w:rPr>
                <w:t>1</w:t>
              </w:r>
            </w:hyperlink>
            <w:hyperlink w:anchor="i0221248fc5fb4b43a889cc3dabb8d38a_184">
              <w:r>
                <w:rPr>
                  <w:rStyle w:val="InternetLink"/>
                  <w:rFonts w:ascii="Times New Roman;sans-serif" w:hAnsi="Times New Roman;sans-serif"/>
                  <w:b w:val="false"/>
                  <w:color w:val="000080"/>
                  <w:sz w:val="20"/>
                  <w:u w:val="single"/>
                </w:rPr>
                <w:t>, 20</w:t>
              </w:r>
            </w:hyperlink>
            <w:hyperlink w:anchor="i0221248fc5fb4b43a889cc3dabb8d38a_184">
              <w:r>
                <w:rPr>
                  <w:rStyle w:val="InternetLink"/>
                  <w:rFonts w:ascii="Times New Roman;sans-serif" w:hAnsi="Times New Roman;sans-serif"/>
                  <w:b w:val="false"/>
                  <w:color w:val="00008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84">
              <w:r>
                <w:rPr>
                  <w:rStyle w:val="InternetLink"/>
                  <w:rFonts w:ascii="Times New Roman;sans-serif" w:hAnsi="Times New Roman;sans-serif"/>
                  <w:b w:val="false"/>
                  <w:color w:val="000080"/>
                  <w:sz w:val="20"/>
                  <w:u w:val="single"/>
                </w:rPr>
                <w:t>S-</w:t>
              </w:r>
            </w:hyperlink>
            <w:hyperlink w:anchor="i0221248fc5fb4b43a889cc3dabb8d38a_184">
              <w:r>
                <w:rPr>
                  <w:rStyle w:val="InternetLink"/>
                  <w:rFonts w:ascii="Times New Roman;sans-serif" w:hAnsi="Times New Roman;sans-serif"/>
                  <w:b w:val="false"/>
                  <w:color w:val="000080"/>
                  <w:sz w:val="20"/>
                  <w:u w:val="single"/>
                </w:rPr>
                <w:t>52</w:t>
              </w:r>
            </w:hyperlink>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they are not applicable, not required, or the information required to be set forth therein is included in the consolidated financial statements or in the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48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Aramark</w:t>
      </w:r>
    </w:p>
    <w:p>
      <w:pPr>
        <w:pStyle w:val="TextBody"/>
        <w:bidi w:val="0"/>
        <w:spacing w:before="100" w:after="60"/>
        <w:jc w:val="both"/>
        <w:rPr/>
      </w:pPr>
      <w:r>
        <w:rPr/>
      </w:r>
    </w:p>
    <w:p>
      <w:pPr>
        <w:pStyle w:val="TextBody"/>
        <w:bidi w:val="0"/>
        <w:spacing w:lineRule="auto" w:line="288" w:before="100" w:after="6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Aramark and subsidiaries (the "Company") as of September 29, 2023 and September 30, 2022, the related consolidated statements of income (loss), comprehensive income, cash flows, and stockholders’ equity for the years ended September 29, 2023, September 30, 2022 and October 1, 2021, and the related notes and financial statement schedule II (collectively referred to as the "financial statements"). In our opinion, the financial statements present fairly, in all material respects, the financial position of the Company as of September 29, 2023 and September 30, 2022, and the results of its operations and its cash flows for the years ended September 29, 2023, September 30, 2022 and October 1, 2021 in conformity with accounting principles generally accepted in the United States of America. </w:t>
      </w:r>
    </w:p>
    <w:p>
      <w:pPr>
        <w:pStyle w:val="TextBody"/>
        <w:bidi w:val="0"/>
        <w:spacing w:lineRule="auto" w:line="288" w:before="100" w:after="6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September 29, 2023, based on criteria established in </w:t>
      </w:r>
      <w:r>
        <w:rPr>
          <w:rFonts w:ascii="Times New Roman;sans-serif" w:hAnsi="Times New Roman;sans-serif"/>
          <w:b w:val="false"/>
          <w:i/>
          <w:color w:val="000000"/>
          <w:sz w:val="20"/>
        </w:rPr>
        <w:t xml:space="preserve">Internal Control </w:t>
      </w:r>
      <w:r>
        <w:rPr>
          <w:color w:val="000000"/>
        </w:rPr>
        <w:t xml:space="preserve">– </w:t>
      </w:r>
      <w:r>
        <w:rPr>
          <w:rFonts w:ascii="Times New Roman;sans-serif" w:hAnsi="Times New Roman;sans-serif"/>
          <w:b w:val="false"/>
          <w:i/>
          <w:color w:val="000000"/>
          <w:sz w:val="20"/>
        </w:rPr>
        <w:t>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November 21, 2023, expressed an unqualified opinion on the Company's internal control over financial reporting.</w:t>
      </w:r>
    </w:p>
    <w:p>
      <w:pPr>
        <w:pStyle w:val="TextBody"/>
        <w:bidi w:val="0"/>
        <w:spacing w:lineRule="auto" w:line="288" w:before="100" w:after="6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00" w:after="6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00" w:after="60"/>
        <w:jc w:val="both"/>
        <w:rPr>
          <w:rFonts w:ascii="Times New Roman;sans-serif" w:hAnsi="Times New Roman;sans-serif"/>
          <w:b/>
          <w:i/>
          <w:color w:val="000000"/>
          <w:sz w:val="20"/>
        </w:rPr>
      </w:pPr>
      <w:r>
        <w:rPr>
          <w:rFonts w:ascii="Times New Roman;sans-serif" w:hAnsi="Times New Roman;sans-serif"/>
          <w:b/>
          <w:i/>
          <w:color w:val="000000"/>
          <w:sz w:val="20"/>
        </w:rPr>
        <w:t>Goodwill - FSS US Reporting Unit - Refer to Note 4 to the financial statements</w:t>
      </w:r>
    </w:p>
    <w:p>
      <w:pPr>
        <w:pStyle w:val="TextBody"/>
        <w:bidi w:val="0"/>
        <w:spacing w:lineRule="auto" w:line="288" w:before="10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evaluation of goodwill for impairment involves the comparison of the estimated fair value of each reporting unit to its carrying amount annually in the fourth quarter of each year as of the end of the fiscal month of August or more frequently if a change in circumstances or the occurrence of events indicates that potential impairment exists. During the fourth quarter, the Company performed a quantitative test to determine the fair value of each reporting unit using discounted cash flow method or market method, which required management to make assumptions and estimates that are subject to risk and uncertainty related to future growth rates, margin projections, timing of future cash flows, the discount rate, and the determination of market multiples. Changes in these assumptions or estimates may impact the impairment analysis and could reduce the underlying cash flows used to estimate fair values and result in an impairment charge. The fair value of the FSS United States (FSS US) reporting unit exceeded its carrying amount, and therefore, the Company determined that its goodwill was not impaired.</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valuation of goodwill for the FSS US reporting unit as a critical audit matter because of the significant judgments made by management to estimate its fair value. Auditing the discounted cash flow calculations for this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involved a high degree of auditor judgment and an increased effort, which included the involvement of our fair value specialists, as it related to evaluating management’s assumptions and estimates related to future growth rates, margin projections, timing of future cash flows, the discount rate and the determination of market multiples.</w:t>
      </w:r>
    </w:p>
    <w:p>
      <w:pPr>
        <w:pStyle w:val="TextBody"/>
        <w:bidi w:val="0"/>
        <w:spacing w:lineRule="auto" w:line="288" w:before="10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assumptions and estimates of future growth rates, margin projections, timing of future cash flows, the discount rate and the determination of market multiples used by management to estimate the fair value of the FSS US reporting unit included the following, among others:</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We tested the effectiveness of internal controls over management’s goodwill impairment evaluation, including those over the determination of the fair value of the FSS US reporting unit, including controls related to management’s assumptions and estimates of future growth rates, margin projections, timing of future cash flows, the discount rate and the determination of market multiples.</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We evaluated management’s ability to accurately forecast future FSS US reporting unit growth rates, margin projections and timing of future cash flows by comparing actual results to management’s historical forecasts.</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We evaluated the reasonableness of management’s FSS US reporting unit growth rates, margin projections and timing of future cash flows by comparing the forecasts to:</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Historical results.</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Internal communications to management and the Board of Directors.</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Forecasted information included in analyst and industry reports for the Company and certain of its peer companies.</w:t>
      </w:r>
    </w:p>
    <w:p>
      <w:pPr>
        <w:pStyle w:val="TextBody"/>
        <w:bidi w:val="0"/>
        <w:spacing w:lineRule="auto" w:line="288" w:before="100" w:after="60"/>
        <w:ind w:left="0" w:right="0" w:hanging="630"/>
        <w:jc w:val="both"/>
        <w:rPr/>
      </w:pPr>
      <w:r>
        <w:rPr>
          <w:color w:val="000000"/>
        </w:rPr>
        <w:t>•</w:t>
      </w:r>
      <w:r>
        <w:rPr>
          <w:rFonts w:ascii="Times New Roman;sans-serif" w:hAnsi="Times New Roman;sans-serif"/>
          <w:b w:val="false"/>
          <w:color w:val="000000"/>
          <w:sz w:val="20"/>
        </w:rPr>
        <w:t>With the assistance of our fair value specialists, we evaluated (1) the valuation methodology used and (2) the projections of future growth rates, the discount rate and the determination of market multiples by testing the underlying source information, and for certain assumptions by developing a range of independent estimates and comparing those to the rate selected by management.</w:t>
      </w:r>
    </w:p>
    <w:p>
      <w:pPr>
        <w:pStyle w:val="TextBody"/>
        <w:bidi w:val="0"/>
        <w:spacing w:before="100" w:after="60"/>
        <w:jc w:val="both"/>
        <w:rPr/>
      </w:pPr>
      <w:r>
        <w:rPr/>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before="100" w:after="60"/>
        <w:jc w:val="left"/>
        <w:rPr/>
      </w:pPr>
      <w:r>
        <w:rPr/>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PA</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November 21, 2023</w:t>
      </w:r>
    </w:p>
    <w:p>
      <w:pPr>
        <w:pStyle w:val="TextBody"/>
        <w:bidi w:val="0"/>
        <w:spacing w:before="100" w:after="60"/>
        <w:jc w:val="left"/>
        <w:rPr/>
      </w:pPr>
      <w:r>
        <w:rPr/>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SEPTEMBER 29, 2023 AND SEPTEMBER 30, 2022</w:t>
      </w:r>
    </w:p>
    <w:p>
      <w:pPr>
        <w:pStyle w:val="TextBody"/>
        <w:bidi w:val="0"/>
        <w:spacing w:lineRule="auto" w:line="288" w:before="100" w:after="60"/>
        <w:jc w:val="center"/>
        <w:rPr/>
      </w:pPr>
      <w:r>
        <w:rPr>
          <w:rFonts w:ascii="Times New Roman;sans-serif" w:hAnsi="Times New Roman;sans-serif"/>
          <w:b/>
          <w:color w:val="000000"/>
          <w:sz w:val="20"/>
        </w:rPr>
        <w:t>(in thousands, except share amounts)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47"/>
        <w:gridCol w:w="2041"/>
        <w:gridCol w:w="2027"/>
        <w:gridCol w:w="219"/>
        <w:gridCol w:w="1124"/>
        <w:gridCol w:w="113"/>
        <w:gridCol w:w="109"/>
        <w:gridCol w:w="109"/>
        <w:gridCol w:w="109"/>
        <w:gridCol w:w="219"/>
        <w:gridCol w:w="1123"/>
        <w:gridCol w:w="165"/>
      </w:tblGrid>
      <w:tr>
        <w:trPr/>
        <w:tc>
          <w:tcPr>
            <w:tcW w:w="284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1,963,139 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(less allowances: $56,572 and $56,388)</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5,220,027 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3,291,990 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improvements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 and fixtures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4,686,327 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4,481,711 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5,773,010 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5,517,070 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 Accumulated depreciation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(3,682,507)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2,032,045 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5,579,529 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5,515,124 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16,871,241 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borrowings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1,596,942 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operating lease liabilities </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1,361,866 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5,029,967 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3,285,886 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6,666,572 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7,345,860 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Noncurrent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14)</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 par value $0.01 (authorized: 600,000,000 shares; issued: 301,069,012 shares and 297,555,924 shares;</w:t>
            </w:r>
            <w:r>
              <w:rPr>
                <w:color w:val="000000"/>
              </w:rPr>
              <w:t xml:space="preserve"> </w:t>
            </w:r>
            <w:r>
              <w:rPr>
                <w:rFonts w:ascii="Times New Roman;sans-serif" w:hAnsi="Times New Roman;sans-serif"/>
                <w:b w:val="false"/>
                <w:color w:val="000000"/>
                <w:sz w:val="20"/>
              </w:rPr>
              <w:t>and outstanding: 261,450,373 shares and 258,728,942 shares)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surplus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(shares held in treasury: 39,618,639 shares and 38,826,982 shares)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3,712,718 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16,871,241 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15,082,436 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center"/>
        <w:rPr/>
      </w:pPr>
      <w:r>
        <w:rPr>
          <w:rFonts w:ascii="Times New Roman;sans-serif" w:hAnsi="Times New Roman;sans-serif"/>
          <w:b w:val="false"/>
          <w:color w:val="000000"/>
          <w:sz w:val="18"/>
        </w:rPr>
        <w:t>Th</w:t>
      </w:r>
      <w:r>
        <w:rPr>
          <w:rFonts w:ascii="Times New Roman;sans-serif" w:hAnsi="Times New Roman;sans-serif"/>
          <w:b w:val="false"/>
          <w:color w:val="000000"/>
          <w:sz w:val="20"/>
        </w:rPr>
        <w:t xml:space="preserve">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(LOSS)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YEARS ENDED SEPTEMBER 29, 2023, SEPTEMBER 30, 2022 AND OCTOBER 1, 2021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before="60" w:after="60"/>
        <w:jc w:val="left"/>
        <w:rPr/>
      </w:pPr>
      <w:r>
        <w:rPr/>
      </w:r>
    </w:p>
    <w:tbl>
      <w:tblPr>
        <w:tblW w:w="10147" w:type="dxa"/>
        <w:jc w:val="center"/>
        <w:tblInd w:w="0" w:type="dxa"/>
        <w:tblLayout w:type="fixed"/>
        <w:tblCellMar>
          <w:top w:w="28" w:type="dxa"/>
          <w:left w:w="28" w:type="dxa"/>
          <w:bottom w:w="28" w:type="dxa"/>
          <w:right w:w="28" w:type="dxa"/>
        </w:tblCellMar>
      </w:tblPr>
      <w:tblGrid>
        <w:gridCol w:w="1828"/>
        <w:gridCol w:w="1611"/>
        <w:gridCol w:w="1630"/>
        <w:gridCol w:w="239"/>
        <w:gridCol w:w="1173"/>
        <w:gridCol w:w="133"/>
        <w:gridCol w:w="109"/>
        <w:gridCol w:w="109"/>
        <w:gridCol w:w="109"/>
        <w:gridCol w:w="239"/>
        <w:gridCol w:w="1173"/>
        <w:gridCol w:w="133"/>
        <w:gridCol w:w="109"/>
        <w:gridCol w:w="109"/>
        <w:gridCol w:w="109"/>
        <w:gridCol w:w="199"/>
        <w:gridCol w:w="979"/>
        <w:gridCol w:w="156"/>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18,853,857 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16,326,624 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12,095,965 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17,037,797 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14,767,570 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11,007,080 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546,362 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398,362 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17,990,931 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15,698,259 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11,904,521 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628,365 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Equity Investments, net (see Note 1)</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Defined Benefit Pension Plan Termination</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Financing Costs,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Aramark stockholders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674,108 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 attributable to Aramark stockholders: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YEARS ENDED SEPTEMBER 29, 2023, SEPTEMBER 30, 2022 AND OCTOBER 1, 2021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before="60" w:after="60"/>
        <w:jc w:val="left"/>
        <w:rPr/>
      </w:pPr>
      <w:r>
        <w:rPr/>
      </w:r>
    </w:p>
    <w:tbl>
      <w:tblPr>
        <w:tblW w:w="10133" w:type="dxa"/>
        <w:jc w:val="center"/>
        <w:tblInd w:w="0" w:type="dxa"/>
        <w:tblLayout w:type="fixed"/>
        <w:tblCellMar>
          <w:top w:w="28" w:type="dxa"/>
          <w:left w:w="28" w:type="dxa"/>
          <w:bottom w:w="28" w:type="dxa"/>
          <w:right w:w="28" w:type="dxa"/>
        </w:tblCellMar>
      </w:tblPr>
      <w:tblGrid>
        <w:gridCol w:w="1831"/>
        <w:gridCol w:w="1605"/>
        <w:gridCol w:w="1619"/>
        <w:gridCol w:w="284"/>
        <w:gridCol w:w="1114"/>
        <w:gridCol w:w="147"/>
        <w:gridCol w:w="109"/>
        <w:gridCol w:w="109"/>
        <w:gridCol w:w="109"/>
        <w:gridCol w:w="284"/>
        <w:gridCol w:w="1114"/>
        <w:gridCol w:w="147"/>
        <w:gridCol w:w="109"/>
        <w:gridCol w:w="109"/>
        <w:gridCol w:w="109"/>
        <w:gridCol w:w="242"/>
        <w:gridCol w:w="915"/>
        <w:gridCol w:w="177"/>
      </w:tblGrid>
      <w:tr>
        <w:trPr/>
        <w:tc>
          <w:tcPr>
            <w:tcW w:w="183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194,177 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arising during the period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comprehensive income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686,864 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290,617 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687,442 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290,924 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YEARS ENDED SEPTEMBER 29, 2023, SEPTEMBER 30, 2022 AND OCTOBER 1, 2021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1955"/>
        <w:gridCol w:w="1670"/>
        <w:gridCol w:w="1683"/>
        <w:gridCol w:w="247"/>
        <w:gridCol w:w="1100"/>
        <w:gridCol w:w="137"/>
        <w:gridCol w:w="109"/>
        <w:gridCol w:w="109"/>
        <w:gridCol w:w="109"/>
        <w:gridCol w:w="275"/>
        <w:gridCol w:w="1034"/>
        <w:gridCol w:w="152"/>
        <w:gridCol w:w="109"/>
        <w:gridCol w:w="109"/>
        <w:gridCol w:w="109"/>
        <w:gridCol w:w="233"/>
        <w:gridCol w:w="877"/>
        <w:gridCol w:w="188"/>
      </w:tblGrid>
      <w:tr>
        <w:trPr/>
        <w:tc>
          <w:tcPr>
            <w:tcW w:w="195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673,530 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532,327 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550,692 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write-downs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contingent consideration liability (see Note 16)</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(97,336)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(20,749)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equity investments, net (see Note 1)</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(427,803)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(137,934)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defined benefit pension plan termination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(201,485)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(462,685)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(37,858)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421,763 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clients on contracts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(119,217)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(56,865)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(100,918)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other noncurrent liabilities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other assets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activities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766,429 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694,499 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657,079 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and other</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(461,406)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(388,397)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(407,818)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Disposals of property and equipment</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(109,998)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marketable securities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businesses, net of cash acquired</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(340,022)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(265,766)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equity investments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equity investments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685,048 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208,912 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(831,287)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(634,386)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2,786,526 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893,993 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long-term borrowings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(1,929,846)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(2,453,571)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funding under the Receivables Facility</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(104,935)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(315,600)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dividends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41,587 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(26,544)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(2,005,339)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rates on cash and cash equivalents</w:t>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(28,657)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1,633,687 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(203,139)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(1,976,597)</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532,591 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2,509,188 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1,963,139 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329,452 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532,591 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YEARS ENDED SEPTEMBER 29, 2023, SEPTEMBER 30, 2022 AND OCTOBER 1, 2021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2, 2020</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2,735,988 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(908,172)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(90,833)</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($0.44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1, 2021</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(932,671)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($0.44 per share)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674,108 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 ($0.44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29, 2023</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3,712,718 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(981,834)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10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 NATURE OF BUSINESS, BASIS OF PRESENTATION AND SUMMARY OF SIGNIFICANT ACCOUNTING POLICIES: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Aramark (the "Company") is a leading global provider of food and facilities services to education, healthcare, business &amp; industry, and sports, leisure &amp; corrections clients. The Company's core market is the United States, which is supplemented by an additional 14-country footprint. The Company also provides services on a more limited basis in several additional countries and in offshore locations. The Company operated its business in three reportable segments that share many of the same operating characteristics: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Food and Support Services United States ("FSS United States") - Food, refreshment, specialized dietary and support services, including facility maintenance and housekeeping, provided to business, educational and healthcare institutions and in sports, leisure and other facilities.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Food and Support Services International ("FSS International") - Food, refreshment, specialized dietary and support services, including facility maintenance and housekeeping, provided to business, educational and healthcare institutions and in sports, leisure and other facilities.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Uniform and Career Apparel ("Uniform") - Provided a full-service employee uniform solution, resulting in a contracted and recurring revenue model. The customer base was serviced by a leading geographic footprint in the United States and Canada with programs focused on uniforms, floor mats, towels, linens, restroom supplies, first-aid supplies, safety products and other workplace supplies. Customers operated in the United States and Canada in a wide range of industries, including manufacturing, hospitality, retail, food processing, pharmaceuticals, healthcare and automotive.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end of fiscal 2023, the Company completed the previously announced separation of its Uniform segment into an independent publicly traded company, Vestis Corporation (“Vestis”), on September 30, 2023.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 With the completion of the separation and distribution, the historical results of the Uniform segment will be presented as discontinued operations in the Company's consolidated financial statements beginning in the first quarter of fiscal 2024. Refer to Note 15 for Uniform reportable segment financial disclosures.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and fiscal 2022, the Company incurred charges of $51.1 million and $9.3 million, respectively, related to the Company's separation and distribution of its Uniform segment, including salaries and benefits, recruiting and relocation costs, accounting and legal related expenses, branding and other costs. Subsequent to September, 29, 2023, the Company incurred approximately $20.0 million of banker fees related to the separation and distribution of its Uniform segment.</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Fiscal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is the fifty-two or fifty-three week period which ends on the Friday nearest September 30th. The fiscal years ended September 29, 2023, September 30, 2022 and October 1, 2021 were each fifty-two week periods.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Standards Updates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Adopted Standards (from most to least recent date of issuance)</w:t>
      </w:r>
    </w:p>
    <w:p>
      <w:pPr>
        <w:pStyle w:val="TextBody"/>
        <w:bidi w:val="0"/>
        <w:spacing w:lineRule="auto" w:line="288" w:before="100" w:after="60"/>
        <w:jc w:val="left"/>
        <w:rPr/>
      </w:pPr>
      <w:r>
        <w:rPr>
          <w:rFonts w:ascii="Times New Roman;sans-serif" w:hAnsi="Times New Roman;sans-serif"/>
          <w:b w:val="false"/>
          <w:color w:val="000000"/>
          <w:sz w:val="20"/>
        </w:rPr>
        <w:t xml:space="preserve">In December 2022, the Financial Accounting Standards Board ("FASB") issued an accounting standards update ("ASU") which defers the sunset date of Topic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xml:space="preserve">, to December 31, 2024 from December 31, 2022 and is effective for the Company upon issuance of the ASU. In January 2021, the FASB issued an ASU, which clarified certain optional expedients and exceptions for contract modifications and hedge accounting that may apply to derivatives that are affected by the discontinuance of the London Interbank Offer Rate ("LIBOR") and the reference rate reform standard. In March 2020, the FASB issued an ASU which provided optional expedients that may be applied to assist with the discontinuance of LIBOR. The expedients allowed companies to ease the potential accounting burden when modifying contracts and hedging relationships that use LIBOR as a reference rate, if certain criteria are met. During fiscal 2020, the Company applied the optional expedient to assert probability of forecasted hedged transactions occurring on its interest rate swap derivative contracts regardless of any expected contract modifications related to reference rate reform. During the third quarter of fiscal 2023, the Company applied the optional expedient related to assessment of effectiveness, whereas the Company elected to continue the method of assessing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effectiveness as documented in the original hedge documentation and elected to apply the optional expedient so that the reference rate on the hypothetical derivative matches the reference rate on the hedging instrument. The Company may apply the optional expedients of this standard through December 31, 2024. The adoption of this guidance did not have a material impact on the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an ASU which requires an entity to provide certain annual disclosures when they have received government assistance. The guidance was effective for the Company in the first quarter of fiscal 2023. The adoption of this guidance did not have a material impact on the consolidated financial statements.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Standards Not Yet Adopted (from most to least recent date of issuance)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the FASB issued an ASU to enhance the transparency of supplier finance programs, which may be referred to as reverse factoring, payables finance or structured payables arrangements. The guidance will require that a buyer in a supplier finance program disclose the program's nature, activity and potential magnitude. The guidance is effective for the Company in the first quarter of fiscal 2024 and early adoption is permitted. The adoption of this guidance is not expected to have a material impact on the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In October 2021, the FASB issued an ASU which required that an entity (acquirer) recognize and measure contract assets and contract liabilities acquired in a business combination in accordance with Accounting Standards Codification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as if it had originated the contracts. The guidance is effective for the Company in the first quarter of fiscal 2024 and early adoption is permitted. The adoption of this guidance is not expected to have a material impact on the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new accounting pronouncements recently issued or newly effective were not applicable to the Company, did not have a material impact on the consolidated financial statements or are not expected to have a material impact on the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when its performance obligation is satisfied upon the transfer of control of the promised product or service to customers in an amount that reflects the consideration the Company expects to be entitled to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Food and Support Services contracts (both profit and loss contracts and client interest contracts) on a gross basis as the Company is the primary obligor and service provider. See Note 7 for additional information on revenue recognition.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 (exclusive of depreciation and amortization)."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may differ from the timing of invoicing to customers. The Company records an accounts receivable balance when revenue is recognized prior to or at the time of invoicing the customer. The majority of the Company’s receivables balances are based on contracts with customers.</w:t>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and reserves for its credit loss exposure based on historical experience, current conditions and reasonable and supportable forecasts that affect the collectability of the reported amount in estimating credit losses. Credit loss expense is classified within "Cost of services provided (exclusive of depreciation and amortization)."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Vendor Consideration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received from vendors includes rebates, allowances and volume discounts and are accounted for as an adjustment to the cost of the vendors' products or services and are reported as a reduction of "Cost of services provided (exclusive of depreciation and amortization),"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 the balance sheet date are deducted from the carrying value of these inventories. Rebates, allowances and volume discounts related to "Property and equipment, net" are deducted from the costs capitalized.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(loss), changes in foreign currency translation adjustments (net of tax), pension plan adjustments (net of tax), changes in the fair value of cash flow hedges (net of tax) and changes to the share of any equity investees' comprehensive income (net of tax).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the components of comprehensive income is as follows (in thousands):</w:t>
      </w:r>
    </w:p>
    <w:tbl>
      <w:tblPr>
        <w:tblW w:w="10405" w:type="dxa"/>
        <w:jc w:val="center"/>
        <w:tblInd w:w="0" w:type="dxa"/>
        <w:tblLayout w:type="fixed"/>
        <w:tblCellMar>
          <w:top w:w="28" w:type="dxa"/>
          <w:left w:w="28" w:type="dxa"/>
          <w:bottom w:w="28" w:type="dxa"/>
          <w:right w:w="28" w:type="dxa"/>
        </w:tblCellMar>
      </w:tblPr>
      <w:tblGrid>
        <w:gridCol w:w="768"/>
        <w:gridCol w:w="261"/>
        <w:gridCol w:w="202"/>
        <w:gridCol w:w="411"/>
        <w:gridCol w:w="250"/>
        <w:gridCol w:w="251"/>
        <w:gridCol w:w="346"/>
        <w:gridCol w:w="315"/>
        <w:gridCol w:w="186"/>
        <w:gridCol w:w="196"/>
        <w:gridCol w:w="736"/>
        <w:gridCol w:w="109"/>
        <w:gridCol w:w="109"/>
        <w:gridCol w:w="109"/>
        <w:gridCol w:w="109"/>
        <w:gridCol w:w="469"/>
        <w:gridCol w:w="267"/>
        <w:gridCol w:w="251"/>
        <w:gridCol w:w="345"/>
        <w:gridCol w:w="316"/>
        <w:gridCol w:w="186"/>
        <w:gridCol w:w="196"/>
        <w:gridCol w:w="736"/>
        <w:gridCol w:w="109"/>
        <w:gridCol w:w="109"/>
        <w:gridCol w:w="109"/>
        <w:gridCol w:w="109"/>
        <w:gridCol w:w="469"/>
        <w:gridCol w:w="267"/>
        <w:gridCol w:w="251"/>
        <w:gridCol w:w="330"/>
        <w:gridCol w:w="331"/>
        <w:gridCol w:w="186"/>
        <w:gridCol w:w="196"/>
        <w:gridCol w:w="661"/>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1, 2021</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Pre-Tax Amount</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Effect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Pre-Tax Amount</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Effect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Pre-Tax Amount</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Effect</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After-Tax Amount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plan adjustments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(96,783)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arising during the period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adjustments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(59,117)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equity investee's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comprehensive income </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152,716 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(56,276)</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126,570 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Aramark stockholders</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center"/>
        <w:rPr/>
      </w:pPr>
      <w:r>
        <w:rPr/>
      </w:r>
    </w:p>
    <w:p>
      <w:pPr>
        <w:pStyle w:val="TextBody"/>
        <w:bidi w:val="0"/>
        <w:spacing w:lineRule="auto" w:line="288" w:before="14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loss consists of the following (in thousands): </w:t>
      </w:r>
    </w:p>
    <w:tbl>
      <w:tblPr>
        <w:tblW w:w="8815" w:type="dxa"/>
        <w:jc w:val="left"/>
        <w:tblInd w:w="0" w:type="dxa"/>
        <w:tblLayout w:type="fixed"/>
        <w:tblCellMar>
          <w:top w:w="28" w:type="dxa"/>
          <w:left w:w="28" w:type="dxa"/>
          <w:bottom w:w="28" w:type="dxa"/>
          <w:right w:w="28" w:type="dxa"/>
        </w:tblCellMar>
      </w:tblPr>
      <w:tblGrid>
        <w:gridCol w:w="1939"/>
        <w:gridCol w:w="1705"/>
        <w:gridCol w:w="1710"/>
        <w:gridCol w:w="292"/>
        <w:gridCol w:w="1102"/>
        <w:gridCol w:w="150"/>
        <w:gridCol w:w="109"/>
        <w:gridCol w:w="109"/>
        <w:gridCol w:w="109"/>
        <w:gridCol w:w="265"/>
        <w:gridCol w:w="1132"/>
        <w:gridCol w:w="193"/>
      </w:tblGrid>
      <w:tr>
        <w:trPr/>
        <w:tc>
          <w:tcPr>
            <w:tcW w:w="193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equity investee's accumulated other comprehensive loss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(98,237)</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Currency Translation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remeasurements was a foreign currency transaction loss of $10.4 million, $3.5 million and $1.8 million during fiscal 2023, fiscal 2022 and fiscal 2021, respectively, to the Consolidated Statements of Income (Loss). The impact of foreign currency transaction gains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losses exclusive of Argentina's operations included in the Company's operating results for fiscal 2023, fiscal 2022 and fiscal 2021 were immaterial to the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Current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of three months or less to be cash equivalents.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insures portions of its risk related to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September 29, 2023.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September 29, 2023 and September 30, 2022, cash and cash equivalents at the Captive were $32.8 million and $23.1 million, respectively. During fiscal 2022, the Captive began investing a portion of its cash and cash equivalents in United States Treasury securities to improve returns on the Captive's assets. The amount of this investment as of September 29, 2023 and September 30, 2022 was $110.7 million and $78.2 million, respectively, and recorded in "Prepayments and other current assets" on the Consolidated Balance Sheets.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valued at the lower of cost (principally the first-in, first-out method) or net realizable value. As of September 29, 2023 and September 30, 2022, the Company's reserve for inventory was $21.0 million and $51.3 million, respectively. The decrease in the Company's reserve was primarily due to the write-off and disposal of personal protective equipment inventory. The inventory reserve is determined based on history and projected customer consumption and specific identification. During the fourth quarter of fiscal 2022, the Company decided to no longer sell personal protective equipment, which required inventory write-downs to zero net realizable value. The Company recorded $19.6 million and $25.4 million in inventory write-down charges to the Consolidated Statements of Income (Loss) during fiscal 2022 and fiscal 2021, respectively, to reflect the net realizable value of PPE inventory within the Uniform segment.</w:t>
      </w:r>
    </w:p>
    <w:p>
      <w:pPr>
        <w:pStyle w:val="TextBody"/>
        <w:bidi w:val="0"/>
        <w:spacing w:lineRule="auto" w:line="288" w:before="100" w:after="60"/>
        <w:jc w:val="left"/>
        <w:rPr/>
      </w:pPr>
      <w:r>
        <w:rPr>
          <w:rFonts w:ascii="Times New Roman;sans-serif" w:hAnsi="Times New Roman;sans-serif"/>
          <w:b w:val="false"/>
          <w:color w:val="000000"/>
          <w:sz w:val="20"/>
        </w:rPr>
        <w:t>The components of inventories are as follows:</w:t>
      </w:r>
      <w:r>
        <w:rPr>
          <w:color w:val="000000"/>
        </w:rPr>
        <w:t> </w:t>
      </w:r>
    </w:p>
    <w:tbl>
      <w:tblPr>
        <w:tblW w:w="6204" w:type="dxa"/>
        <w:jc w:val="left"/>
        <w:tblInd w:w="0" w:type="dxa"/>
        <w:tblLayout w:type="fixed"/>
        <w:tblCellMar>
          <w:top w:w="28" w:type="dxa"/>
          <w:left w:w="28" w:type="dxa"/>
          <w:bottom w:w="28" w:type="dxa"/>
          <w:right w:w="28" w:type="dxa"/>
        </w:tblCellMar>
      </w:tblPr>
      <w:tblGrid>
        <w:gridCol w:w="874"/>
        <w:gridCol w:w="767"/>
        <w:gridCol w:w="774"/>
        <w:gridCol w:w="109"/>
        <w:gridCol w:w="109"/>
        <w:gridCol w:w="109"/>
        <w:gridCol w:w="344"/>
        <w:gridCol w:w="344"/>
        <w:gridCol w:w="857"/>
        <w:gridCol w:w="109"/>
        <w:gridCol w:w="109"/>
        <w:gridCol w:w="109"/>
        <w:gridCol w:w="323"/>
        <w:gridCol w:w="323"/>
        <w:gridCol w:w="94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Career apparel and linens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supplies and novelties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Prepayments and other current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"Prepayments and other current assets" as presented in the Consolidated Balance Sheets (in thousands):</w:t>
      </w:r>
    </w:p>
    <w:tbl>
      <w:tblPr>
        <w:tblW w:w="6143" w:type="dxa"/>
        <w:jc w:val="left"/>
        <w:tblInd w:w="0" w:type="dxa"/>
        <w:tblLayout w:type="fixed"/>
        <w:tblCellMar>
          <w:top w:w="28" w:type="dxa"/>
          <w:left w:w="28" w:type="dxa"/>
          <w:bottom w:w="28" w:type="dxa"/>
          <w:right w:w="28" w:type="dxa"/>
        </w:tblCellMar>
      </w:tblPr>
      <w:tblGrid>
        <w:gridCol w:w="852"/>
        <w:gridCol w:w="751"/>
        <w:gridCol w:w="752"/>
        <w:gridCol w:w="109"/>
        <w:gridCol w:w="109"/>
        <w:gridCol w:w="109"/>
        <w:gridCol w:w="284"/>
        <w:gridCol w:w="1114"/>
        <w:gridCol w:w="147"/>
        <w:gridCol w:w="109"/>
        <w:gridCol w:w="109"/>
        <w:gridCol w:w="109"/>
        <w:gridCol w:w="281"/>
        <w:gridCol w:w="1103"/>
        <w:gridCol w:w="205"/>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Marketable Securities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314,763 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262,195 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17" w:type="dxa"/>
        <w:jc w:val="left"/>
        <w:tblInd w:w="0" w:type="dxa"/>
        <w:tblLayout w:type="fixed"/>
        <w:tblCellMar>
          <w:top w:w="28" w:type="dxa"/>
          <w:left w:w="28" w:type="dxa"/>
          <w:bottom w:w="28" w:type="dxa"/>
          <w:right w:w="28" w:type="dxa"/>
        </w:tblCellMar>
      </w:tblPr>
      <w:tblGrid>
        <w:gridCol w:w="124"/>
        <w:gridCol w:w="109"/>
        <w:gridCol w:w="109"/>
        <w:gridCol w:w="2567"/>
        <w:gridCol w:w="2567"/>
        <w:gridCol w:w="3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Marketable securities represent held-to-maturity debt securities with original maturities greater than three months, which are maturing within one year.</w:t>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generally 10 years to 40 years for buildings and improvements and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years to 20 years for service equipment and fixtures. Depreciation expense during fiscal 2023, fiscal 2022 and fiscal 2021 was $371.7 million, $367.1 million and $378.3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during fiscal 2023, the Company recorded an impairment charge of $26.7 million within its FSS United States and Uniform segments, which is included in "Cost of services provided (exclusive of depreciation and amortization)" on the Consolidated Statements of Income (Loss). During fiscal 2023, the non-cash impairment charges within the FSS United States segment consisted of operating lease right-of-use assets of $8.6 million and property and equipment of $10.4 million. During fiscal 2023, the non-cash impairment charges within the Uniform segment consisted of operating lease right-of-use assets of $7.1 million and other costs of $0.6 million.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"Other Assets" as presented in the Consolidated Balance Sheets (in thousands):</w:t>
      </w:r>
    </w:p>
    <w:tbl>
      <w:tblPr>
        <w:tblW w:w="7762" w:type="dxa"/>
        <w:jc w:val="center"/>
        <w:tblInd w:w="0" w:type="dxa"/>
        <w:tblLayout w:type="fixed"/>
        <w:tblCellMar>
          <w:top w:w="28" w:type="dxa"/>
          <w:left w:w="28" w:type="dxa"/>
          <w:bottom w:w="28" w:type="dxa"/>
          <w:right w:w="28" w:type="dxa"/>
        </w:tblCellMar>
      </w:tblPr>
      <w:tblGrid>
        <w:gridCol w:w="1440"/>
        <w:gridCol w:w="1262"/>
        <w:gridCol w:w="1272"/>
        <w:gridCol w:w="109"/>
        <w:gridCol w:w="109"/>
        <w:gridCol w:w="109"/>
        <w:gridCol w:w="251"/>
        <w:gridCol w:w="1164"/>
        <w:gridCol w:w="130"/>
        <w:gridCol w:w="109"/>
        <w:gridCol w:w="109"/>
        <w:gridCol w:w="109"/>
        <w:gridCol w:w="250"/>
        <w:gridCol w:w="1157"/>
        <w:gridCol w:w="182"/>
      </w:tblGrid>
      <w:tr>
        <w:trPr/>
        <w:tc>
          <w:tcPr>
            <w:tcW w:w="14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to fulfill - Client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to fulfill - Rental merchandise in-service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Miscellaneous investments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Computer software costs, net</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swap agreements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Employee sales commissions</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1,307,942 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1,537,406 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45"/>
        <w:gridCol w:w="2853"/>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Cost to fulfill - Client represent payments made by the Company to enhance the service resources used by the Company to satisfy its performance obligation (see Note 7).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Costs to fulfill - Rental merchandise in-service represent personalized work apparel, linens and other rental items in service at customer locations (see Note 7).</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Miscellaneous investments represent investments in 50% or less owned entities.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Computer software costs represent capitalized costs incurred to purchase or develop software for internal use and are amortized over the estimated useful life of the software, generally a period of three to 10 years. During fiscal 2023, the Company recorded a computer software impairment charge of $8.2 million within its FSS United States segment, which is included in "Cost of services provided (exclusive of depreciation and amortization)" on the Consolidated Statements of Income (Loss).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swaps represent receivable under cash flow hedging agreements based on current forward interest rates (see Note 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sales commissions represent commission payments made to employees related to new or retained business contracts (see Note 7).</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consists primarily of noncurrent deferred tax assets, pension assets, deferred financing costs on certain revolving credit facilities and other noncurrent assets.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accounted for under the equity method of accounting, the carrying amount as of September 29, 2023 and September 30, 2022 was $99.3 million and $224.5 million, respectively. On April 6, 2023, the Company sold its 50% ownership interest in AIM Services Co., Ltd., a leading Japanese food services company, to Mitsui &amp; Co., Ltd. for $535.0 million in cash in a taxable transaction resulting in a pre-tax gain on sale of this equity investment of $377.1 million ($278.7 million net of tax) during fiscal 2023. The pre-tax gain is included in "Gain on Equity Investments, net" on the Consolidated Statements of Income (Loss).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September 29, 2023 and September 30, 2022 was $85.1 million and $180.5 million, respectively. On May 16, 2023, the Company sold a portion of its equity investment ownership interest in the San Antonio Spurs NBA franchise for $98.2 million in cash in a taxable transaction resulting in a pre-tax loss on sale of this equity investment of $1.1 million ($2.2 million net of tax) during fiscal 2023. The pre-tax loss is included in "Gain on Equity Investments, net" on the Consolidated Statements of Income (Loss). On September 22, 2023, the Company sold its ownership interest in an equity investment in a foreign company for $51.9 million in cash in a taxable transaction resulting in a pre-tax gain on sale of this equity investment of $51.8 million ($51.8 million net of tax) during fiscal 2023. The pre-tax gain is included in "Gain on Equity Investments, net" on the Consolidated Statements of Income (Loss). During fiscal 2021, the Company identified an observable price change related to its equity investment without a readily determinable fair value related to the San Antonio Spurs NBA franchise and recognized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gain of $137.9 million included in "Gain on Equity Investments, net" on the Consolidated Statements of Income (Loss).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Accrued Expenses and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"Accrued expenses and other current liabilities" in the Consolidated Balance Sheets (in thousands):</w:t>
      </w:r>
    </w:p>
    <w:tbl>
      <w:tblPr>
        <w:tblW w:w="6577" w:type="dxa"/>
        <w:jc w:val="center"/>
        <w:tblInd w:w="0" w:type="dxa"/>
        <w:tblLayout w:type="fixed"/>
        <w:tblCellMar>
          <w:top w:w="28" w:type="dxa"/>
          <w:left w:w="28" w:type="dxa"/>
          <w:bottom w:w="28" w:type="dxa"/>
          <w:right w:w="28" w:type="dxa"/>
        </w:tblCellMar>
      </w:tblPr>
      <w:tblGrid>
        <w:gridCol w:w="1011"/>
        <w:gridCol w:w="887"/>
        <w:gridCol w:w="891"/>
        <w:gridCol w:w="109"/>
        <w:gridCol w:w="109"/>
        <w:gridCol w:w="109"/>
        <w:gridCol w:w="251"/>
        <w:gridCol w:w="1164"/>
        <w:gridCol w:w="130"/>
        <w:gridCol w:w="109"/>
        <w:gridCol w:w="109"/>
        <w:gridCol w:w="109"/>
        <w:gridCol w:w="250"/>
        <w:gridCol w:w="1157"/>
        <w:gridCol w:w="182"/>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income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360,936 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346,954 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insurance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and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1,361,866 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1,172,071 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Includes consideration received in advance from customers prior to the service being performed ($340.6 million and $324.5 million) or from vendors prior to the goods being consumed ($20.3 million and $22.4 million) in fiscal 2023 and fiscal 2022, respectively.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4"/>
              </w:rPr>
              <w:t>The Company is self-insured for certain obligations related to its employee health care benefit programs as well as for certain risks retained under its general liability, automobile liability, workers’ compensation liability and certain property damage programs. Reserves are estimated through actuarial</w:t>
            </w:r>
            <w:r>
              <w:rPr>
                <w:color w:val="000000"/>
              </w:rPr>
              <w:t xml:space="preserve"> </w:t>
            </w:r>
            <w:r>
              <w:rPr>
                <w:rFonts w:ascii="Times New Roman;sans-serif" w:hAnsi="Times New Roman;sans-serif"/>
                <w:b w:val="false"/>
                <w:color w:val="000000"/>
                <w:sz w:val="14"/>
              </w:rPr>
              <w:t>methods, with the assistance of third-party actuaries using loss development assumptions based on the Company's claims history.</w:t>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Deferred Income Taxes and Other Noncurrent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"Deferred Income Taxes and Other Noncurrent Liabilities" as presented in the Consolidated Balance Sheets (in thousands):</w:t>
      </w:r>
    </w:p>
    <w:tbl>
      <w:tblPr>
        <w:tblW w:w="6817" w:type="dxa"/>
        <w:jc w:val="center"/>
        <w:tblInd w:w="0" w:type="dxa"/>
        <w:tblLayout w:type="fixed"/>
        <w:tblCellMar>
          <w:top w:w="28" w:type="dxa"/>
          <w:left w:w="28" w:type="dxa"/>
          <w:bottom w:w="28" w:type="dxa"/>
          <w:right w:w="28" w:type="dxa"/>
        </w:tblCellMar>
      </w:tblPr>
      <w:tblGrid>
        <w:gridCol w:w="1098"/>
        <w:gridCol w:w="964"/>
        <w:gridCol w:w="967"/>
        <w:gridCol w:w="109"/>
        <w:gridCol w:w="109"/>
        <w:gridCol w:w="109"/>
        <w:gridCol w:w="251"/>
        <w:gridCol w:w="1164"/>
        <w:gridCol w:w="130"/>
        <w:gridCol w:w="109"/>
        <w:gridCol w:w="109"/>
        <w:gridCol w:w="109"/>
        <w:gridCol w:w="250"/>
        <w:gridCol w:w="1157"/>
        <w:gridCol w:w="182"/>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(see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Insurance reserves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noncurrent liabilities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1,106,587 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867"/>
        <w:gridCol w:w="4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rFonts w:ascii="Times New Roman;sans-serif" w:hAnsi="Times New Roman;sans-serif"/>
                <w:b w:val="false"/>
                <w:color w:val="000000"/>
                <w:sz w:val="14"/>
              </w:rPr>
              <w:t>The Company is self-insured for certain obligations for certain risks retained under its general liability, automobile liability, workers’ compensation liability and certain property damage programs. Reserves are estimated through actuarial</w:t>
            </w:r>
            <w:r>
              <w:rPr>
                <w:color w:val="000000"/>
              </w:rPr>
              <w:t xml:space="preserve"> </w:t>
            </w:r>
            <w:r>
              <w:rPr>
                <w:rFonts w:ascii="Times New Roman;sans-serif" w:hAnsi="Times New Roman;sans-serif"/>
                <w:b w:val="false"/>
                <w:color w:val="000000"/>
                <w:sz w:val="14"/>
              </w:rPr>
              <w:t>methods, with the assistance of third-party actuaries using loss development assumptions based on the Company's claims history.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100" w:after="60"/>
              <w:jc w:val="left"/>
              <w:rPr>
                <w:rFonts w:ascii="Times New Roman;sans-serif" w:hAnsi="Times New Roman;sans-serif"/>
                <w:b w:val="false"/>
                <w:color w:val="000000"/>
                <w:sz w:val="14"/>
              </w:rPr>
            </w:pPr>
            <w:r>
              <w:rPr>
                <w:rFonts w:ascii="Times New Roman;sans-serif" w:hAnsi="Times New Roman;sans-serif"/>
                <w:b w:val="false"/>
                <w:color w:val="000000"/>
                <w:sz w:val="14"/>
              </w:rPr>
              <w:t>Fiscal 2022 includes the contingent consideration liabilities related to the Union Supply Group, Inc. acquisition ($45.8 million) and Next Level acquisition ($48.4 million) (see Note 16).</w:t>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COVID-19 adversely affected global economies, disrupted global supply chains and labor force participation and created significant volatility and disruption of financial markets. COVID-19 related disruptions negatively impacted the Company's financial and operating results through the first half of fiscal 2021. The Company's financial results started to improve during the second half of fiscal 2021 and continued to improve throughout fiscal 2022 as COVID-19 restrictions were lifted and operations re-opened.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Coronavirus Aid, Relief and Economic Security Act ("CARES Act") provided for deferred payment of the employer portion of social security taxes through the end of calendar 2020, with 50% of the deferred amount due December 31, 2021 and the remaining 50% due December 31, 2022. Deferred social security taxes of $64.2 million were paid in fiscal 2022 and remaining social security taxes of $64.2 million were paid in fiscal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CARES Act provided an employee retention credit, which is a refundable tax credit against certain employment taxes. During the fiscal year ended October 1, 2021, the Company recorded $15.1 million related to the employee retention credit in "Cost of services provided (exclusive of depreciation and amortization)" on the Company's Consolidated Statements of Income (Loss). As of September 29, 2023, the Company has a $20.4 million receivable balance from the United States government related to the CARES Act, which is recorded in "Receivables" on the Company's Consolidated Balance Sheet.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FSS International and Uniform segments, many foreign jurisdictions in which the Company operates provided companies various forms of relief from COVID-19, including labor related tax credits. These labor related tax credits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allowed companies to receive credits if they retained employees on their payroll, rather than furloughing or terminating employees as a result of the business disruption caused by COVID-19. The Company qualified for these tax credits. The Company recorded $37.0 million and $155.3 million of labor related tax credits within "Cost of services provided (exclusive of depreciation and amortization)" on the Consolidated Statements of Income (Loss) during the fiscal years ended September 30, 2022 and October 1, 2021, respectively, of which $0.4 million and $17.9 million, respectively, were recorded in the Uniform segment with the remaining balances recorded in the FSS International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these labor related tax credits as a reduction to the expense that they were intended to compensate in the period in which the corresponding expense was incurred and there was reasonable assurance the Company would both receive the tax credits and comply with all conditions attached to the tax credits.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bl>
      <w:tblPr>
        <w:tblW w:w="7879" w:type="dxa"/>
        <w:jc w:val="left"/>
        <w:tblInd w:w="0" w:type="dxa"/>
        <w:tblLayout w:type="fixed"/>
        <w:tblCellMar>
          <w:top w:w="28" w:type="dxa"/>
          <w:left w:w="28" w:type="dxa"/>
          <w:bottom w:w="28" w:type="dxa"/>
          <w:right w:w="28" w:type="dxa"/>
        </w:tblCellMar>
      </w:tblPr>
      <w:tblGrid>
        <w:gridCol w:w="897"/>
        <w:gridCol w:w="787"/>
        <w:gridCol w:w="790"/>
        <w:gridCol w:w="109"/>
        <w:gridCol w:w="109"/>
        <w:gridCol w:w="109"/>
        <w:gridCol w:w="348"/>
        <w:gridCol w:w="1017"/>
        <w:gridCol w:w="180"/>
        <w:gridCol w:w="109"/>
        <w:gridCol w:w="109"/>
        <w:gridCol w:w="109"/>
        <w:gridCol w:w="348"/>
        <w:gridCol w:w="1017"/>
        <w:gridCol w:w="180"/>
        <w:gridCol w:w="109"/>
        <w:gridCol w:w="109"/>
        <w:gridCol w:w="109"/>
        <w:gridCol w:w="287"/>
        <w:gridCol w:w="838"/>
        <w:gridCol w:w="20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(refunded)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non-cash activities are as follows: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During fiscal 2023, fiscal 2022 and fiscal 2021, the Company executed finance lease transactions. The present value of the future rental obligations was $47.5 million, $35.8 million and $36.0 million for the respective periods, which is included in "Property and Equipment, at cost" and "Long-Term Borrowings" on the Consolidated Balance Sheets.</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During fiscal 2023, fiscal 2022 and fiscal 2021, cashless settlements of the exercise price and related employee minimum tax withholding liabilities of share-based payment awards were $31.3 million, $17.8 million and $24.5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2. ACQUISITIONS: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Union Supply Group, Inc.</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 2022, the Company completed the acquisition of Union Supply Group, Inc. ("Union Supply"), a commissary goods and services supplier, pursuant to the Stock Purchase Agreement ("Union Supply Purchase Agreement") dated as of April 8, 2022, by and among Aramark Correctional Services, LLC, a wholly owned subsidiary of the Company, and Tom Thomas, in his capacity as the sellers' representative. Upon completion of the acquisition, Union Supply became a wholly owned subsidiary of the Company and its results are included in the Company's FSS United States segment. The cash consideration paid for Union Supply was $199.6 million. The Union Supply Purchase Agreement provided for contingent consideration, which the Company may be required to pay if Union Supply achieves certain adjusted EBITDA levels during calendar year 2023. A contingent consideration liability of $40.2 million was recorded as part of the acquisition with a separate amount that will be accounted for as compensation expense to be recognized in earnings over the earnout period (see Note 16). The acquisition was financed utilizing funds from the Company's Receivables Facility.</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Consideration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Union Supply acquisition as a business combination under the acquisition method of accounting. The Company finalized its allocation of the purchase price for the transaction based upon the fair value of net assets acquired and liabilities assumed at the date of acquisition.</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Recognition and Measurement of Assets Acquired and Liabilities Assumed at Fair Value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 the assets and liabilities assigned as of the acquisition date (in thousands):</w:t>
      </w:r>
    </w:p>
    <w:tbl>
      <w:tblPr>
        <w:tblW w:w="3050" w:type="dxa"/>
        <w:jc w:val="left"/>
        <w:tblInd w:w="0" w:type="dxa"/>
        <w:tblLayout w:type="fixed"/>
        <w:tblCellMar>
          <w:top w:w="28" w:type="dxa"/>
          <w:left w:w="28" w:type="dxa"/>
          <w:bottom w:w="28" w:type="dxa"/>
          <w:right w:w="28" w:type="dxa"/>
        </w:tblCellMar>
      </w:tblPr>
      <w:tblGrid>
        <w:gridCol w:w="672"/>
        <w:gridCol w:w="591"/>
        <w:gridCol w:w="596"/>
        <w:gridCol w:w="211"/>
        <w:gridCol w:w="82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the Company’s allocation of purchase price to the intangible assets acquired by category:</w:t>
      </w:r>
    </w:p>
    <w:tbl>
      <w:tblPr>
        <w:tblW w:w="9881" w:type="dxa"/>
        <w:jc w:val="left"/>
        <w:tblInd w:w="0" w:type="dxa"/>
        <w:tblLayout w:type="fixed"/>
        <w:tblCellMar>
          <w:top w:w="28" w:type="dxa"/>
          <w:left w:w="28" w:type="dxa"/>
          <w:bottom w:w="28" w:type="dxa"/>
          <w:right w:w="28" w:type="dxa"/>
        </w:tblCellMar>
      </w:tblPr>
      <w:tblGrid>
        <w:gridCol w:w="880"/>
        <w:gridCol w:w="774"/>
        <w:gridCol w:w="776"/>
        <w:gridCol w:w="109"/>
        <w:gridCol w:w="109"/>
        <w:gridCol w:w="109"/>
        <w:gridCol w:w="642"/>
        <w:gridCol w:w="1876"/>
        <w:gridCol w:w="332"/>
        <w:gridCol w:w="1251"/>
        <w:gridCol w:w="1251"/>
        <w:gridCol w:w="1772"/>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 (in millions)</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Estimated Useful Life (in years)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$56.9 million of goodwill in connection with its purchase price allocation relating to the Union Supply acquisition, all of which was recognized in the FSS United States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recognition of goodwill include the Company's intent to complement its existing corrections business and expand its customer base. None of the goodwill recognized is expected to be deductible for income tax purposes.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Next Level Hospitality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4, 2021, the Company completed the acquisition of Next Level Hospitality ("Next Level"), a premier provider of culinary and environmental services in the senior living industry, specializing in skilled nursing and rehabilitation facilities, pursuant to the Unit Purchase Agreement ("Next Level Purchase Agreement") dated as of April 28, 2021, by and among Aramark Healthcare Support Services, LLC, a wholly owned subsidiary of the Company, Aramark Services, Inc. ("ASI"), a wholly owned subsidiary of the Company, Next Level Hospitality Services, LLC, Next Level Stockholders and Seth Gribetz, in his capacity as Stockholder Representative. Next Level is a wholly owned subsidiary of the Company and its results are included in the Company's FSS United States segment. The cash consideration paid for Next Level was $226.1 million. In addition, contingent consideration of $78.4 million was recorded as part of the acquisition (see Note 16). The acquisition was financed utilizing cash and cash equivalents on hand.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Consideration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Next Level acquisition as a business combination under the acquisition method of accounting. The Company finalized its allocation of the purchase price for the transaction based upon the fair value of net assets acquired and liabilities assumed at the date of acquisition.</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Recognition and Measurement of Assets Acquired and Liabilities Assumed at Fair Value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assets and liabilities assigned as of the acquisition date (in thousands):</w:t>
      </w:r>
    </w:p>
    <w:tbl>
      <w:tblPr>
        <w:tblW w:w="3050" w:type="dxa"/>
        <w:jc w:val="left"/>
        <w:tblInd w:w="0" w:type="dxa"/>
        <w:tblLayout w:type="fixed"/>
        <w:tblCellMar>
          <w:top w:w="28" w:type="dxa"/>
          <w:left w:w="28" w:type="dxa"/>
          <w:bottom w:w="28" w:type="dxa"/>
          <w:right w:w="28" w:type="dxa"/>
        </w:tblCellMar>
      </w:tblPr>
      <w:tblGrid>
        <w:gridCol w:w="672"/>
        <w:gridCol w:w="591"/>
        <w:gridCol w:w="596"/>
        <w:gridCol w:w="211"/>
        <w:gridCol w:w="82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the Company’s allocation of purchase price to the intangible assets acquired by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9881" w:type="dxa"/>
        <w:jc w:val="left"/>
        <w:tblInd w:w="0" w:type="dxa"/>
        <w:tblLayout w:type="fixed"/>
        <w:tblCellMar>
          <w:top w:w="28" w:type="dxa"/>
          <w:left w:w="28" w:type="dxa"/>
          <w:bottom w:w="28" w:type="dxa"/>
          <w:right w:w="28" w:type="dxa"/>
        </w:tblCellMar>
      </w:tblPr>
      <w:tblGrid>
        <w:gridCol w:w="880"/>
        <w:gridCol w:w="774"/>
        <w:gridCol w:w="776"/>
        <w:gridCol w:w="109"/>
        <w:gridCol w:w="109"/>
        <w:gridCol w:w="109"/>
        <w:gridCol w:w="642"/>
        <w:gridCol w:w="1876"/>
        <w:gridCol w:w="332"/>
        <w:gridCol w:w="1251"/>
        <w:gridCol w:w="1251"/>
        <w:gridCol w:w="1772"/>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 (in millions)</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Estimated Useful Life (in years)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$123.6 million of goodwill in connection with its purchase price allocation relating to the Next Level acquisition, all of which was recognized in the FSS United States reporting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recognition of goodwill include the Company's intent to complement its existing healthcare business and expand its customer base. Goodwill related to the Next Level acquisition is deductible for income tax purposes.</w:t>
      </w:r>
    </w:p>
    <w:p>
      <w:pPr>
        <w:pStyle w:val="TextBody"/>
        <w:bidi w:val="0"/>
        <w:spacing w:lineRule="auto" w:line="288" w:before="10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Other Acquisitions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fiscal 2022 and fiscal 2021, the Company paid net cash consideration of $50.2 million, $140.4 million and $39.7 million, respectively, for various acquisitions, excluding the purchase of Union Supply and Next Level. The revenue, net income, assets and liabilities of the acquisitions did not have a material impact on the Company's consolidated financial statements.</w:t>
      </w:r>
    </w:p>
    <w:p>
      <w:pPr>
        <w:pStyle w:val="TextBody"/>
        <w:bidi w:val="0"/>
        <w:spacing w:lineRule="auto" w:line="288" w:before="100" w:after="60"/>
        <w:jc w:val="both"/>
        <w:rPr>
          <w:rFonts w:ascii="Times New Roman;sans-serif" w:hAnsi="Times New Roman;sans-serif"/>
          <w:b/>
          <w:i/>
          <w:color w:val="000000"/>
          <w:sz w:val="20"/>
        </w:rPr>
      </w:pPr>
      <w:r>
        <w:rPr>
          <w:rFonts w:ascii="Times New Roman;sans-serif" w:hAnsi="Times New Roman;sans-serif"/>
          <w:b/>
          <w:i/>
          <w:color w:val="000000"/>
          <w:sz w:val="20"/>
        </w:rPr>
        <w:t>Merger and Integration Costs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2021, the Company incurred merger and integration costs of $22.2 million, as a result of the AmeriPride acquisition that occurred during fiscal year 2018. The expenses mainly related to costs for transitional employees and integration related consulting costs and charges related to plant consolidations, mainly asset write-downs, the implementation of a new route accounting system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3. SEVERANCE:</w:t>
      </w:r>
    </w:p>
    <w:p>
      <w:pPr>
        <w:pStyle w:val="TextBody"/>
        <w:bidi w:val="0"/>
        <w:spacing w:lineRule="auto" w:line="288" w:before="100" w:after="60"/>
        <w:jc w:val="left"/>
        <w:rPr/>
      </w:pPr>
      <w:r>
        <w:rPr>
          <w:rFonts w:ascii="Times New Roman;sans-serif" w:hAnsi="Times New Roman;sans-serif"/>
          <w:b w:val="false"/>
          <w:color w:val="212529"/>
          <w:sz w:val="20"/>
        </w:rPr>
        <w:t xml:space="preserve">During fiscal 2023, the Company approved headcount reductions to streamline and improve the efficiency and effectiveness of operational and administrative functions. As a result of these actions, severance charges of </w:t>
      </w:r>
      <w:r>
        <w:rPr>
          <w:rFonts w:ascii="Times New Roman;sans-serif" w:hAnsi="Times New Roman;sans-serif"/>
          <w:b w:val="false"/>
          <w:color w:val="000000"/>
          <w:sz w:val="20"/>
        </w:rPr>
        <w:t>$41.7 million were recorded in "Cost of services provided (exclusive of depreciation and amortization)" on the Consolidated Statements of Income (Loss) for the fiscal year ended September 29,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severance charges by segment related to the fiscal 2023 actions recognized in the Consolidated Statements of Income (Loss) for the fiscal year ended September 29, 2023 (in millions):</w:t>
      </w:r>
    </w:p>
    <w:tbl>
      <w:tblPr>
        <w:tblW w:w="2435" w:type="dxa"/>
        <w:jc w:val="left"/>
        <w:tblInd w:w="0" w:type="dxa"/>
        <w:tblLayout w:type="fixed"/>
        <w:tblCellMar>
          <w:top w:w="28" w:type="dxa"/>
          <w:left w:w="28" w:type="dxa"/>
          <w:bottom w:w="28" w:type="dxa"/>
          <w:right w:w="28" w:type="dxa"/>
        </w:tblCellMar>
      </w:tblPr>
      <w:tblGrid>
        <w:gridCol w:w="565"/>
        <w:gridCol w:w="496"/>
        <w:gridCol w:w="498"/>
        <w:gridCol w:w="211"/>
        <w:gridCol w:w="51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made changes to its organization to streamline and improve the efficiency and effectiveness of its operations and overhead functions within the FSS United States and FSS International segments. These actions included headcount reductions, which resulted in severance charges of $19.6 million during the fiscal year ended September 30, 2022, which were recorded in “Cost of services provided (exclusive of depreciation and amortization)” on the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severance charges by segment related to the fiscal 2022 actions recognized in the Consolidated Statements of Income (Loss) for the fiscal year ended September 30, 2022 (in millions):</w:t>
      </w:r>
    </w:p>
    <w:tbl>
      <w:tblPr>
        <w:tblW w:w="2435" w:type="dxa"/>
        <w:jc w:val="left"/>
        <w:tblInd w:w="0" w:type="dxa"/>
        <w:tblLayout w:type="fixed"/>
        <w:tblCellMar>
          <w:top w:w="28" w:type="dxa"/>
          <w:left w:w="28" w:type="dxa"/>
          <w:bottom w:w="28" w:type="dxa"/>
          <w:right w:w="28" w:type="dxa"/>
        </w:tblCellMar>
      </w:tblPr>
      <w:tblGrid>
        <w:gridCol w:w="565"/>
        <w:gridCol w:w="496"/>
        <w:gridCol w:w="498"/>
        <w:gridCol w:w="211"/>
        <w:gridCol w:w="51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2021, the Uniform segment approved action plans to streamline and improve the efficiency and effectiveness of the segment's general and administrative functions. Part of this action plan also included a series of facility consolidations and closures. As a result of these actions, severance charges of $9.0 million were recorded within “Cost of services provided (exclusive of depreciation and amortization)” on the Consolidated Statements of Income (Loss) for the fiscal year ended October 1, 2021. As of September 29, 2023, there are no unpaid obligations related to this severance program.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2020, the Company made changes to its organization as a result of COVID-19. The Company reversed $16.3 million of unpaid obligations related to this severance obligation during fiscal 2021, which were recorded in both "Cost of services provided (exclusive of depreciation and amortization)" and "Selling and general corporate expenses" on the Consolidated Statements of Income (Loss). As of September 29, 2023, there are no unpaid obligations related to this severance program.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unpaid obligations for severance and related costs as of September 29, 2023, which are included in "Accrued payroll and related expenses" on the Consolidated Balance Sheets (in millions): </w:t>
      </w:r>
    </w:p>
    <w:tbl>
      <w:tblPr>
        <w:tblW w:w="8517" w:type="dxa"/>
        <w:jc w:val="left"/>
        <w:tblInd w:w="0" w:type="dxa"/>
        <w:tblLayout w:type="fixed"/>
        <w:tblCellMar>
          <w:top w:w="28" w:type="dxa"/>
          <w:left w:w="28" w:type="dxa"/>
          <w:bottom w:w="28" w:type="dxa"/>
          <w:right w:w="28" w:type="dxa"/>
        </w:tblCellMar>
      </w:tblPr>
      <w:tblGrid>
        <w:gridCol w:w="699"/>
        <w:gridCol w:w="616"/>
        <w:gridCol w:w="620"/>
        <w:gridCol w:w="392"/>
        <w:gridCol w:w="949"/>
        <w:gridCol w:w="204"/>
        <w:gridCol w:w="109"/>
        <w:gridCol w:w="109"/>
        <w:gridCol w:w="109"/>
        <w:gridCol w:w="395"/>
        <w:gridCol w:w="959"/>
        <w:gridCol w:w="206"/>
        <w:gridCol w:w="109"/>
        <w:gridCol w:w="109"/>
        <w:gridCol w:w="109"/>
        <w:gridCol w:w="211"/>
        <w:gridCol w:w="586"/>
        <w:gridCol w:w="109"/>
        <w:gridCol w:w="109"/>
        <w:gridCol w:w="109"/>
        <w:gridCol w:w="109"/>
        <w:gridCol w:w="382"/>
        <w:gridCol w:w="927"/>
        <w:gridCol w:w="281"/>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(Reversals)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2022 Severance</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 Severance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Reorganization</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4. GOODWILL AND OTHER INTANGIBLE ASSETS: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The Company performs its assessment of goodwill at the reporting unit level. Within the FSS International segment, each country or region is evaluated separately since such operating units are relatively autonomous and separate goodwill balances have been recorded for each entity. The Company performs its annual impairment test as of the end of the fiscal month of August. If results of the qualitative assessment indicate a more likely than not determination or if a qualitative assessment is not performed, a quantitative test is performed by comparing the estimated fair value, calculated using a discounted cash flow method or market based method, of each reporting unit with its estimated net book value.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2023, the Company performed the annual impairment test for goodwill for each of the reporting units using a quantitative testing approach. The Company compared the estimated fair value using a discounted cash flow method of each reporting unit or market based method for certain reporting units with its book value. Based on the evaluation performed, the Company determined that the fair value of each of the reporting units significantly exceeded its respective carrying amount, and therefore, the Company determined that goodwill was not impaired.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and the underlying margin projection assumptions, future growth rates and the discount rate. If assumptions or estimates in the fair value calculations change or if future cash flows or future growth rates vary from what was expected, this may impact the impairment analysis and could reduce the underlying cash flows used to estimate fair values and result in a decline in fair value that may trigger future impairment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total goodwill during fiscal 2023 are as follows (in thousands):</w:t>
      </w:r>
    </w:p>
    <w:tbl>
      <w:tblPr>
        <w:tblW w:w="8539" w:type="dxa"/>
        <w:jc w:val="center"/>
        <w:tblInd w:w="0" w:type="dxa"/>
        <w:tblLayout w:type="fixed"/>
        <w:tblCellMar>
          <w:top w:w="28" w:type="dxa"/>
          <w:left w:w="28" w:type="dxa"/>
          <w:bottom w:w="28" w:type="dxa"/>
          <w:right w:w="28" w:type="dxa"/>
        </w:tblCellMar>
      </w:tblPr>
      <w:tblGrid>
        <w:gridCol w:w="564"/>
        <w:gridCol w:w="496"/>
        <w:gridCol w:w="500"/>
        <w:gridCol w:w="251"/>
        <w:gridCol w:w="1164"/>
        <w:gridCol w:w="130"/>
        <w:gridCol w:w="109"/>
        <w:gridCol w:w="109"/>
        <w:gridCol w:w="109"/>
        <w:gridCol w:w="211"/>
        <w:gridCol w:w="721"/>
        <w:gridCol w:w="109"/>
        <w:gridCol w:w="109"/>
        <w:gridCol w:w="109"/>
        <w:gridCol w:w="109"/>
        <w:gridCol w:w="109"/>
        <w:gridCol w:w="109"/>
        <w:gridCol w:w="325"/>
        <w:gridCol w:w="1112"/>
        <w:gridCol w:w="168"/>
        <w:gridCol w:w="109"/>
        <w:gridCol w:w="109"/>
        <w:gridCol w:w="109"/>
        <w:gridCol w:w="250"/>
        <w:gridCol w:w="1157"/>
        <w:gridCol w:w="182"/>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4,150,266 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4,164,392 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5,515,124 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5,579,529 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 of (in thousands): </w:t>
      </w:r>
    </w:p>
    <w:tbl>
      <w:tblPr>
        <w:tblW w:w="10282" w:type="dxa"/>
        <w:jc w:val="center"/>
        <w:tblInd w:w="0" w:type="dxa"/>
        <w:tblLayout w:type="fixed"/>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Amount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acquired customer relationship assets and trade names with values of $20.7 million and $14.5 million, respectively. During fiscal 2022, the Company acquired customer relationship assets and trade names with values of $165.5 million and $56.3 million, respectively. Customer relationship assets are being amortized principally on a straight-line basis over the expected period of benefit with a weighted average life of approximately 14 years. The Aramark, Avendra and a majority of the other trade names are indefinite lived intangible assets and are not amortized, but are evaluated for impairment at least annually or more frequently if events or changes in circumstances indicate that it is more likely than not that the asset is impaired. The Company utilized the "relief-from-royalty" method, which considers the discounted estimated royalty payments that are expected to be avoided as a result of the trade names being owned. The Company completed its annual trade name impairment test for fiscal 2023, which did not result in an impairment charge for the Aramark or Avendra trade name. Amortization of other intangible assets for fiscal 2023, fiscal 2022 and fiscal 2021 was $115.5 million, $108.7 million and $116.5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recorded balances at September 29, 2023, total estimated amortization of all acquisition-related intangible assets for fiscal years 2024 through 2028 are as follows (in thousands): </w:t>
      </w:r>
    </w:p>
    <w:tbl>
      <w:tblPr>
        <w:tblW w:w="1732" w:type="dxa"/>
        <w:jc w:val="left"/>
        <w:tblInd w:w="0" w:type="dxa"/>
        <w:tblLayout w:type="fixed"/>
        <w:tblCellMar>
          <w:top w:w="28" w:type="dxa"/>
          <w:left w:w="28" w:type="dxa"/>
          <w:bottom w:w="28" w:type="dxa"/>
          <w:right w:w="28" w:type="dxa"/>
        </w:tblCellMar>
      </w:tblPr>
      <w:tblGrid>
        <w:gridCol w:w="196"/>
        <w:gridCol w:w="172"/>
        <w:gridCol w:w="173"/>
        <w:gridCol w:w="211"/>
        <w:gridCol w:w="82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5. BORROWINGS: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net, are summarized in the following table (in thousands):</w:t>
      </w:r>
    </w:p>
    <w:tbl>
      <w:tblPr>
        <w:tblW w:w="8978" w:type="dxa"/>
        <w:jc w:val="center"/>
        <w:tblInd w:w="0" w:type="dxa"/>
        <w:tblLayout w:type="fixed"/>
        <w:tblCellMar>
          <w:top w:w="28" w:type="dxa"/>
          <w:left w:w="28" w:type="dxa"/>
          <w:bottom w:w="28" w:type="dxa"/>
          <w:right w:w="28" w:type="dxa"/>
        </w:tblCellMar>
      </w:tblPr>
      <w:tblGrid>
        <w:gridCol w:w="1881"/>
        <w:gridCol w:w="1649"/>
        <w:gridCol w:w="1660"/>
        <w:gridCol w:w="109"/>
        <w:gridCol w:w="109"/>
        <w:gridCol w:w="109"/>
        <w:gridCol w:w="251"/>
        <w:gridCol w:w="1164"/>
        <w:gridCol w:w="130"/>
        <w:gridCol w:w="109"/>
        <w:gridCol w:w="109"/>
        <w:gridCol w:w="109"/>
        <w:gridCol w:w="250"/>
        <w:gridCol w:w="1157"/>
        <w:gridCol w:w="182"/>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due 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January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facility, due 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 senior secured term loan facility, due 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 senior secured term loan facility, due 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3.125% senior notes, due April 2025</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6.375% senior notes, due 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1,492,153 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 due 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8,263,514 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7,410,907 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(1,596,942)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6,666,572 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7,345,860 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2" w:type="dxa"/>
        <w:jc w:val="center"/>
        <w:tblInd w:w="0" w:type="dxa"/>
        <w:tblLayout w:type="fixed"/>
        <w:tblCellMar>
          <w:top w:w="28" w:type="dxa"/>
          <w:left w:w="28" w:type="dxa"/>
          <w:bottom w:w="28" w:type="dxa"/>
          <w:right w:w="28" w:type="dxa"/>
        </w:tblCellMar>
      </w:tblPr>
      <w:tblGrid>
        <w:gridCol w:w="124"/>
        <w:gridCol w:w="109"/>
        <w:gridCol w:w="109"/>
        <w:gridCol w:w="1978"/>
        <w:gridCol w:w="1978"/>
        <w:gridCol w:w="27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675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This is a Euro denominated borrowing. See the disclosure below in the Senior Notes section for further information.</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29, 2023, there were $685.7 million of outstanding foreign currency borrowings.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Senior Secured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senior secured term loan facilities consisting of the following as of September 29, 2023:</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 United States dollar denominated term loan to ASI in the amount of $835.6 million, due 2027 ("United States Term B-4 Loans due 2027"), $724.4 million, due 2028 ("United States Term B-5 Loans due 2028") and $1,078.6 million, due 2030 ("United States Term B-6 Loans due 2030");</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 Canadian dollar denominated term loan to Aramark Canada Ltd. in the amount of C$221.0 million (approximately $162.8 million), due 2026 (the "Canadian Term A-3 Loans due 2026");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A euro denominated term loan to Aramark Investments Limited, a U.K. borrower, in an amount of €90.2 million (approximately $95.3 million), of which €22.5 million (approximately $23.8 million) is due in calendar 2023 (the "Euro Term A-1 Loans due 2023") and the remainder is due in 2026 (the "Euro Term A-2 Loans due 2026"). The Euro Term A-1 Loans due 2023 was repaid in full as of October 2,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includes a revolving credit facility available for loans in United States dollars, Canadian dollars, euros and pounds sterling to ASI and certain foreign borrowers with aggregate commitments of approximately $1.2 billion and has a final maturity date of April 6, 2026. As of September 29, 2023, there was $953.8 million available for borrowing under the revolving credit facility. The Company's revolving credit facility includes a $250.0 million sublimit for letters of credit. The revolving credit facility may be drawn by ASI as well as by certain foreign subsidiaries of ASI. Each foreign borrower is subject to a sublimit of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The revolving credit facility is subject to a commitment fee ranging from a rate of 0.15% to 0.30% per annum. The actual rate within the range is based on a Consolidated Leverage Ratio, as defined in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borrower under the senior secured credit facilities is ASI. In addition, certain subsidiaries of ASI are borrowers of the term loan facilities and/or the revolving credit facility. The Company is not a guarantor under the senior secured credit facilities and is not subject to the covenants or obligations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on the United States Term B-4 Loans due 2027 is 1.75% with respect to Term Benchmark (Adjusted Term Secured Overnight Financing Rate ("SOFR")) borrowings, subject to a SOFR floor of 0.00%, and 0.75% with respect to base-rate borrowings, subject to a minimum base rate of 0.00%. The applicable margin on the United States Term B-5 Loans due 2028 and United States Term B-6 Loans due 2030 is 2.50% with respect to Term Benchmark (Adjusted Term SOFR) borrowings, subject to a SOFR floor of 0.00% and 1.50% with respect to base-rate borrowings, subject to a minimum base rate of 0.00%. The applicable margin spread for the Canadian Term A-3 Loans due 2026, the Euro Term A-1 Loans due 2023, the Euro Term A-2 Loans due 2026 and the senior secured revolving credit facility is 1.125% to 1.625% (as of September 29, 2023 - 1.625%) with respect to Term Benchmark (Adjusted Term SOFR) borrowings, bankers’ acceptance ("BA") rate borrowings and letters of credit fees, subject to a floor of 0.00%, and 0.125% to 0.625% (as of September 29, 2023 - 0.625%) with respect to United States and Canadian base rate borrowings, subject to a floor of 0.00%, and 1.1576% to 1.6576% (as of September 29, 2023 - 1.6576%) with respect to Sterling Overnight Index Average ("SONIA") rate borrowings, subject to a floor of 0.00%. The actual spreads within all ranges referred to above are based on a Consolidated Leverage Ratio, as defined in the Credit Agreement.</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Fiscal 2023 Transactions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the Company repaid $468.0 million of the United States Term B-3 Loans due 2025, and ¥8,409.0 million ($63.0 million) of yen denominated term loans due 2026.</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repaid $100.0 million of United States Term B-3 Loans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ASI and certain of its subsidiaries entered into Amendment No. 12 to the Credit Agreement, dated March 28, 2017, which provides for, among other things, the extension of the maturity date applicable to all of the United States Term B-3 Loans due 2025 through the establishment of the United States Term B-6 Loans due 2030 in an amount equal to approximately $1.1 billion. The new United States Term B-6 Loans due 2030 were funded in full on June 22, 2023 and were applied by the Company to refinance the remaining United States Term B-3 Loans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new United States Term B-6 Loans due 2030 bear interest rate equal to either (a) a forward-looking term rate based on SOFR for the applicable interest period, plus a credit spread adjustment of (i) 0.11448% for borrowings with interest periods of one month, (ii) 0.26161% for borrowings with interest periods of three months and (iii) 0.42826% for borrowings with interest periods of six months (“Adjusted Term SOFR”) or (b) a base rate determined by reference to the highest of (1) the prime rate of the administrative agent, (2) the federal funds rate plus 0.50% and (3) the Adjusted Term SOFR plus 1.00% plus an applicable margin set initially at 2.50% for borrowings based on Adjusted Term SOFR and 1.50% for borrowings based on the base rate. The United States Term B-6 Loans due 2030 require the payment of installments in a quarterly principal amount of $2,750,000 from September 30, 2023 through March 31, 2030, and $1,025,750,000 at maturity. The United States Term B-6 Loans due 2030 are subject to substantially similar terms currently relating to guarantees, collateral, mandatory prepayments and covenants that are applicable to the Company’s other United States Term B Loans outstanding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$8.2 million of costs associated with the issuance of the United States Term B-6 Loans due 2030, which are amortized using the effective interest method over the term of the loans and presented on the Consolidated Balance Sheets as a direct deduction from the carrying value of the loans. Amounts paid for the capitalized third-party costs are included within "Other Financing activities" on the Consolidated Statements of Cash Flows for the fiscal year ended September 29, 2023. The Company also incurred an original issue discount of $11.0 million upon the issuance of the United States Term B-6 Loans due 2030. The discount is included as an adjustment to the carrying value of the loans and is amortized using the effective interest method over the term of loans in accordance with the accounting literature.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Amendment No. 12 to the Credit Agreement and the borrowing repayments, the Company recorded a $2.5 million non-cash loss for the write-off of unamortized deferred debt issuance costs to "Interest and Other Financing Costs, net" on the Consolidated Statements of Income (Loss) during the fiscal year ended September 29,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ASI entered into Amendment No. 13 to the Credit Agreement, dated March 28, 2017, which provides for a transition of the underlying interest rate applicable to all term loans outstanding and revolving credit commitments and loans available and/or outstanding, in each case, under the Credit Agreement, from a LIBOR-based rate to a forward-looking term rate based on SOFR. All borrowings based on SOFR under the Credit Agreement are subject to a credit spread adjustment of (i) 0.11448% for borrowings with interest periods of one month, (ii) 0.26161% for borrowings with interest periods of three months and (iii) 0.42826% for borrowings with interest periods of six months but the associated interest rate margins applicable to all such borrowings remain unchanged. Amendment No. 13 was entered into in preparation for the general cessation of LIBOR-based borrowings in the leverage lending industry as of June 30, 2023.</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Fiscal 2021 Transactions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April 6, 2021, the Company entered into Amendment No. 11 to the Credit Agreement. Amendment No. 11 provided for, among other things, the extension of the maturity date, in each case, applicable to a portion of the revolving credit facility (the "2018 Tranche Revolving Facility"), a portion of the Canadian dollar denominated term loan due October 2023 (the "Canadian Term A-2 Loans due 2023"), a portion of the Euro Term A-1 Loans due 2023, all of the Yen Term C-1 Loans due 2023 and all of the United States dollar denominated term loan due 2024 (the "United States Term B-2 Loans due 2024") and an increase of $200.0 million in commitments available under the 2018 Tranche Revolving Facility, in each case, under the Credit Agreement through the establishment of Replacement Revolving Commitments (as defined in the Credit Agreement), New Revolving Commitments (as defined in the Credit Agreement), borrowings of Extended Term Loans (as defined in the Credit Agreement) and borrowings of Refinancing Term Loans (as defined in the Credit Agreement), as applicable, under the Credit Agreement comprised of (i) in the case of the portion of the 2018 Tranche Revolving Facility which was extended, new 2021 Tranche Revolving Commitments (the "New 2021 Tranche Revolving Commitments") in an amount equal to $1,153.1 million, terminating in April 2026, (ii) in the case of the portion of the Canadian Term A-2 Loans due 2023 which was extended, the Canadian Term A-3 Loans due 2026 in an amount equal to C$276.9 million, due in April 2026, (iii) in the case of the portion of the Euro Term A-1 Loans due 2023 which was extended, the Euro Term A-2 Loans due 2026 in an amount equal to €78.8 million, due in April 2026, (iv) in the case of the Yen Term C-1 Loans due 2023, the Yen Term C-2 Loans due 2026 in an amount equal to ¥9,343.3 million, due in April 2026 and (v) in the case of the United States Term B-2 Loans due 2024, the United States Term B-5 Loans due 2028 in an amount equal to $833.0 million, due in April 2028. The Canadian Term A-3 Loans due 2026, Euro Term A-2 Loans due 2026, Yen Term C-2 Loans due 2026 and United States Term B-5 Loans due 2028 were funded in full on April 6, 2021 and were applied by the Company to refinance in part the Canadian Term A-2 Loans due 2023 and Euro Term A-1 Loans due 2023 and to refinance in full the Yen Term C-1 Loans due 2023 and United States Term B-2 Loans due 2024, in each case, previously outstanding under the Credit Agreement. As of April 6, 2021 and after giving effect to Amendment No. 11, $53.7 million of 2018 Tranche Revolving Commitments, €33.6 million of Euro Term A-1 Loans due 2023 and C$27.1 million of Canadian Term A-2 Loans due 2023 were outstanding under the Credit Agreement, as amended by Amendment No. 11, in each case due in October 2023 (which date is unchanged from the previous maturity date). The Canadian Term A-2 Loans due 2023 were repaid in full as of October 1, 2021.</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New 2021 Tranche Revolving Commitments are subject to substantially similar terms currently relating to guarantees, collateral, mandatory prepayments and covenants that are applicable to the Company’s existing 2018 Tranche Revolving Facility outstanding under the Credit Agreement. For the avoidance of doubt, the remaining 2018 Revolving Tranche Commitments shall be available only in United States dollars and shall bear interest and accrue unused fees at rates consistent with the 2021 Tranche Revolving Facility.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Canadian Term A-3 Loans due 2026 are subject to substantially similar terms currently relating to guarantees, collateral, mandatory prepayments and covenants that are applicable to the Company’s Canadian Term A-2 Loans due 2023 under the Credit Agreement. Amortization payments in respect of the remaining Canadian Term A-2 Loans due 2023 have been reduced on a pro rata basis to reflect the partial refinancing thereof.</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Euro Term A-2 Loans due 2026 are subject to substantially similar terms currently relating to guarantees, collateral, mandatory prepayments and covenants that are applicable to the Company’s existing Euro Term A-1 Loans due 2023 outstanding under the Credit Agreement. Amortization payments in respect of the remaining Euro Term A-1 Loans have been reduced on a pro rata basis to reflect the partial refinancing thereof.</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Term B-5 Loans due 2028 are subject to substantially similar terms currently relating to guarantees, collateral, mandatory prepayments and covenants that are applicable to the Company’s existing United States Term B Loans outstanding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third-party costs of $16.8 million related to banker fees, rating agency fees and legal fees directly attributable to the refinancings in Amendment No. 11, which are included in "Long-Term Borrowings" and "Other Assets" on the Consolidated Balance Sheets. Amounts paid for the capitalized third-party costs are included within "Other Financing activities" on the Consolidated Statements of Cash Flows for the fiscal year ended October 1, 2021. Additionally the Company recorded a $2.7 million non-cash loss for the write-off of unamortized deferred financing costs on the revolving credit facility and United States Term B-2 Loans due 2024 to "Interest and Other Financing Costs, net" in the Consolidated Statements of Income (Loss) for the fiscal year ended October 1, 2021.</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optional prepayments of $194.1 million of outstanding United States dollar and Canadian dollar term loans during fiscal 2021.</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Incremental Facilities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Prepayments and Amortization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the Company to prepay outstanding term loans, subject to certain exceptions, with: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50% of ASI's annual excess cash flow (as defined in the Credit Agreement) with step-downs to 25% and 0% upon ASI's reaching certain Consolidated Secured Debt Ratio thresholds; provided, further, that such prepayment shall only be required to the extent excess cash flow for the applicable year exceeds $10.0 million;</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100% of the net cash proceeds of any incurrence of debt, but excluding proceeds from certain debt permitted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customary "breakage" costs with respect to LIBOR loans. Prepaid term loans may not be reborrowed.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If a change of control as defined in the Credit Agreement occurs, this will cause an event of default under the Credit Agreement. Upon an event of default, the new senior secured credit facilities may be accelerated, in which case the Company would be required to repay all outstanding loans plus accrued and unpaid interest and all other amounts outstanding under the new senior secured credit facilities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Canadian Term A-3 Loans due 2026 require the payment of installments in quarterly principal amounts of C$6.9 million from September 30, 2024 through March 31, 2025, C$10.4 million from June 30, 2025 through March 31, 2026 and C$159.2 million at maturity.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Euro Term A-2 Loans due 2026 require the payment of installments in quarterly principal amounts of €1.5 million from December 30, 2023 through March 31, 2024, €2.0 million from June 30, 2024 through March 31, 2025, €3.0 million from June 30, 2025 through March 31, 2026 and €45.3 million at maturity.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Term B-5 Loans due 2028 require the payment of $730.5 million at maturity.</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United States Guarantors. All obligations under the Credit Agreement, and the guarantees of those obligations, are secured by (i) a pledge of 100% of the capital stock of ASI, (ii) pledges of 100% of the capital stock (or 65% of voting stock and 100% of non-voting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stock, in the case of the stock of foreign subsidiaries) held by ASI, Aramark Intermediate HoldCo Corporation or any of the United States Guarantors and (iii) a security interest in, and mortgages on, substantially all tangible assets of Aramark Intermediate HoldCo Corporation, ASI or any of the United States Guarantors.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Certain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 number of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amounts to ASI from its restricted subsidiaries; make certain acquisitions; engage in certain transactions with affiliates; amend material agreements governing ASI's subordinated debt (or any indebtedness that refinances its subordinated debt); and fundamentally change ASI's business. The Credit Agreement also contains certain customary affirmative covenants, such as financial and other reporting, and certain events of default. At September 29, 2023, ASI was in compliance with all of these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in the consolidated balance sheets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United States Term B-4 Loans due 2027, United States Term B-5 Loans due 2028 and United States Term B-6 Loans due 2030 which lenders shall not benefit from the maximum Consolidated Secured Debt Ratio) failed to waive any such default, would also constitute a default under the indentures governing the senior notes. The actual ratio at September 29, 2023 was 1.76x.</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The minimum Interest Coverage Ratio is at least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 additional funding provided for under the Credit Agreement and pursuant to specified exceptions, and make certain restricted payments, other than pursuant to certain exceptions. The actual ratio was 3.63x for the fiscal year ended September 29,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Uniform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2023, the Uniform segment and certain of its subsidiaries entered into a credit agreement ("Uniform Credit Agreement") in anticipation of the separation and distribution of the Uniform segment, including senior secured term loan facilities consisting of the following as of September 29, 2023:</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A United States dollar denominated term loan to the Uniform segment in the amount of $800.0 million, due September 2025 ("United States Term A-1 Loans due September 2025"); and</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A United States dollar denominated term loan to the Uniform segment in the amount of $700.0 million, due September 2028 ("United States Term A-2 Loans due September 2028"). The United States Term A-2 Loans require the payment of installments in quarterly principal amounts of $8.8 million through June 30, 2028 and $533.8 million at maturity.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Uniform Credit Agreement also includes a revolving credit facility available for loans in United States dollars and Canadian dollars with aggregate commitments of $300.0 million as of September 29, 2023. As of September 29, 2023, there were no borrowings under the revolving credit facility. The revolving credit facility includes a $50.0 million sublimit for swingline loans and a $30.0 million sublimit for letters of credit. The revolving credit facility may be drawn by the Uniform segment as well as by certain foreign subsidiaries. Each foreign borrower is subject to a sublimit of $100.0 million with respect to borrowings under the revolving credit facility. In addition to paying interest on outstanding principal under the senior secured credit facilities, the Uniform segment is required to pay a commitment fee to the lenders under the revolving credit facility in respect of the unutilized commitments thereunder. The revolving credit facility is subject to a commitment fee ranging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rate of 0.20% to 0.30% per annum. The actual rate within the range is based on a Consolidated Total Net Leverage Ratio, as defined in the Uniform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on the United States Term A-1 Loans due September 2025 and the United States Term A-2 Loans due September 2028 for fiscal 2024 is 2.25% with respect to SOFR borrowings, subject to a floor of 0.00%. The applicable margin on the United States Term A-1 Loans due September 2025 and the United States Term A-2 Loans due September 2028 for fiscal 2025 and thereafter ranges from 1.50% to 2.50% based on the Consolidated Total Net Leverage Ratio, as defined in the Uniform Credit Agreement. The effective interest rate for the United States Term A-1 Loans due September 2025 and the United States Term A-2 Loans due September 2028 was 7.74%.</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Uniform Credit Agreement may be prepaid at any time. The Uniform Credit Agreement requires the Uniform segment to prepay outstanding term loans, subject to certain exceptions, with:</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100% of the net cash proceeds of all non-ordinary course asset sales or other dispositions of property subject to certain exceptions and customary reinvestment rights; provided, further, that such prepayment shall only be required to the extent net cash proceeds exceeds the greater of (a) $30.0 million and (b) 7.5% of Covenant Adjusted EBITDA;</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100% of the net cash proceeds of all casualty events with respect to any equipment, fixed assets, or real property; provided, further, that such prepayment shall only be required to the extent proceeds related to the event in excess of $10.0 million are not reinvested within the reinvestment period; and</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100% of the net cash proceeds of any incurrence of debt, but excluding proceeds from certain debt permitted under the Uniform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All obligations under the Uniform Credit agreement are unconditionally guaranteed by the Uniform segment and, subject to certain exceptions, substantially all of the Uniform segment's existing and future wholly-owned domestic subsidiaries. All obligations under the Uniform Credit Agreement, and the guarantees of those obligations, are secured by (i) pledges of 100% of the capital stock of the Uniform segment's domestic subsidiaries, (ii) pledges of 65% of the capital stock of the Uniform segment's foreign subsidiaries, and (iii) a security interest in, and mortgages on, substantially all tangible assets of the Uniform segment or any of the guarantors.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Uniform Credit Agreement contains a number of covenants that, among other things, restrict, subject to certain exceptions, the Uniform segment's ability and the ability of its restricted subsidiaries to: incur additional indebtedness; issue preferred stock or provide guarantees; create liens on assets; engage in mergers or consolidations; sell or dispose of assets; pay dividends, make distributions or repurchase its capital stock; engage in certain transactions with affiliates; make investments, loans or advances; create restrictions on the payment of dividends or other amounts to the Uniform segment from its restricted subsidiaries; amend material agreements governing the Uniform segment's subordinated debt; repay or repurchase any subordinated debt, except as scheduled or at maturity; make certain acquisitions; change the Uniform segment's fiscal year; and fundamentally change the Uniform segment’s business. The Uniform Credit Agreement also contains certain customary affirmative covenants, such as financial and other reporting, and certain events of default.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Uniform Credit Agreement requires the Uniform segment to maintain a maximum Consolidated Total Net Leverage Ratio, defined as consolidated total indebtedness over unrestricted cash divided by Covenant Adjusted EBITDA, not to exceed 5.25x for any fiscal quarter ending prior to March 31, 2025, and not to exceed 4.50x for any fiscal quarter ending on or after March 31, 2025, subject to certain exceptions. Consolidated total indebtedness is defined in the Uniform Credit Agreement as total indebtedness consisting of debt for borrowed money, finance leases, disqualified and preferred stock and advances under any Receivables Facility. Covenant Adjusted EBITDA is defined in the Uniform Credit Agreement as consolidated net income increased by interest expense, taxes, depreciation and amortization expense, initial public company costs, restructuring charges, write-offs and noncash charges, non-controlling interest expense, net cost savings in connection with any acquisition, disposition, or other permitted investment under the Uniform Credit Agreement, share-based compensation expense, non-recurring or unusual gains and losses, reimbursable insurance costs, cash expenses related to earn outs, and insured losses.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Uniform Credit Agreement establishes a minimum Interest Coverage Ratio, defined as Covenant Adjusted EBITDA divided by consolidated interest expense. The minimum Interest Coverage Ratio is required to be at least 2.00x for the term of the Uniform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29, 2023, the Company was in compliance with all covenants under the Uniform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$11.1 million of costs associated with the issuance of the United States Term A-1 Loans due September 2025 and United States Term A-2 Loans due September 2028, which are amortized using the effective interest method over the term of the loans and presented on the Consolidated Balance Sheets as a direct deduction from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value of the loans. Amounts paid for the capitalized third-party costs are included within "Other Financing activities" on the Consolidated Statements of Cash Flows for the fiscal year ended September 29,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Uniform credit agreement, which includes the revolving credit facility, $800.0 million United States Term A-1 Loans due September 2025 and $700.0 million United States Term A-2 Loans due September 2028 will be removed from the Company’s Consolidated Balance Sheets as a result of the separation and distribution of the Uniform segment on September 30, 2023.</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6.375% Senior Notes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2020, ASI issued $1,500.0 million aggregate principal amount of 6.375% Senior Notes due May 1, 2025 (the "6.375% 2025 Notes"). The Company capitalized upon issuance third-party costs of $22.3 million directly attributable to the 6.375% 2025 Notes.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6.375% 2025 Notes were issued pursuant to an indenture, dated as of April 27, 2020 (the "6.375% 2025 Notes Indenture"), entered into by and among ASI, the Company and certain other Aramark entities, as guarantors, and the U.S. Bank National Association, as trustee. The 6.375% 2025 Notes were issued at par.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6.375% 2025 Notes are senior unsecured obligations of ASI. The 6.375% 2025 Notes rank equal in right of payment to all of the Issuer's existing and future senior indebtedness and will rank senior in right of payment to the Issuer's future subordinated indebtedness. The 6.375% 2025 Notes are guaranteed on a senior, unsecured basis by the Company and substantially all of the domestic subsidiaries of ASI. The guarantees of the 6.375% 2025 Notes rank equal in right of payment to all of the senior obligations of such guarantor. The 6.375% 2025 Notes are effectively subordinated to all of ASI's existing and future secured indebtedness, to the extent of the value of the assets securing that indebtedness, and structurally subordinated to all of the liabilities of any of ASI's subsidiaries that do not guarantee the 6.375% 2025 Notes. Interest on the 6.375% 2025 Notes is payable on May 1 and November 1 of each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certain types of changes of control, the holders of the 6.375% 2025 Notes may require ASI to purchase for cash all or a portion of their 6.375% 2025 Notes at a purchase price equal to 101% of the principal amount of such 6.375% 2025 Notes, plus accrued and unpaid interest, if any, to, but not including, the purchase date.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6.375% 2025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6.375% 2025 Notes Indenture also provides for events of default which, if any of them occurs, would permit or require the principal of and accrued interest on the applicable series of 6.375% 2025 Notes to become or to be declared due and payable. Further, a failure to pay any obligations under the 6.375%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15, 2023, ASI filed a redemption notice to redeem the entire $1,500.0 million 6.375% 2025 Notes on October 2, 2023. As of September 29, 2023, the 6.375% 2025 Notes was recorded in "Current maturities of long-term borrowings" on the Consolidated Balance Sheets. On October 2, 2023, the Company repaid the $1,500.0 million 6.375% 2025 Notes from existing cash on hand at year-end in conjunction with the separation and distribution of the Uniform segment.</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5.000% Senior Notes due 2028</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18, 2018, ASI issued $1,150.0 million aggregate principal amount of 5.000% Senior Notes due February 1, 2028 (the "2028 Notes"). The net proceeds from the 2028 Notes were used to finance the AmeriPride acquisition that occurred in fiscal 2018, to pay down certain borrowings under the revolving credit facility and to pay fees related to the transaction. The Company capitalized third-party costs of $14.2 million directly attributable to the 2028 Notes, which are included in "Long-Term Borrowings" on the Consolidated Balance Sheets and are being amortized over the debt period.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 the 2028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5.000% Senior Notes due 2025 and 3.125% Senior Notes due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2017, ASI issued $600.0 million of 5.000% Senior Notes due April 1, 2025 (the "5.000% 2025 Notes"). The 5.000% 2025 Notes were issued pursuant to an indenture (the "5.000% 2025 Notes Indenture"), entered into by and among ASI, the Company and certain other Aramark entities, as guarantors, and The Bank of New York Mellon, as trustee. The 5.000% 2025 Notes were issued at par. On March 27, 2017, Aramark International Finance S.à.r.l. ("AIFS"), an indirect wholly owned subsidiary of the Company, issued €325.0 million of 3.125% Senior Notes due April 1, 2025 (the "3.125% 2025 Notes" and, together with the 5.000% 2025 Notes, the "2025 Notes"). The 3.125% 2025 Notes were issued pursuant to an indenture (the "3.125% 2025 Notes Indenture"), entered into by and among AIFS, the Company and certain other Aramark entities, as guarantors, The Bank of New York Mellon, as trustee and registrar, and The Bank of New York Mellon, London Branch, as paying agent and transfer agent. The 3.125% 2025 Notes were issued at par.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Notes are senior unsecured obligations of the respective Issuers. Each series of the 2025 Notes ranks equal in right of payment to all of the respective Issuer's existing and future senior indebtedness, including the senior secured credit facilities under the Credit Agreement, and, in the case of the 5.000% 2025 Notes with respect to ASI and will rank senior in right of payment to the respective Issuer's future subordinated indebtedness. The 2025 Notes are guaranteed on a senior, unsecured basis by the Company and substantially all of the domestic subsidiaries of ASI and the 3.125% 2025 Notes are guaranteed on a senior, unsecured basis by ASI. The guarantees of the 2025 Notes rank equal in right of payment to all of the senior obligations of such guarantor, including guarantees of the senior secured credit facilities and the 2028 Notes, as applicable, and in the case of the 3.125% 2025 Notes with respect to ASI, ASI’s obligations under the senior secured credit facilities, the 5.000% 2025 Notes and the 2028 Notes. Each series of the 2025 Notes and the related guarantees thereof are effectively subordinated to all of the respective Issuers' existing and future secured indebtedness, including obligations and/or guarantees of the senior secured credit facilities under the Credit Agreement, to the extent of the value of the assets securing that indebtedness, and structurally subordinated to all of the liabilities of any of ASI's subsidiaries that do not guarantee the 2025 Notes. Interest on the 2025 Notes is payable on April 1 and October 1 of each year.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certain types of changes of control, the holders of the 2025 Notes may require the applicable Issuer to purchase for cash all or a portion of their 2025 Notes at a purchase price equal to 101% of the principal amount of such 2025 Notes, plus accrued and unpaid interest, if any, to, but not including, the purchase date. ASI has the option to redeem all or a portion of the 5.000% 2025 Notes at any time at the redemption prices set forth in the 5.000% 2025 Notes Indenture, plus accrued and unpaid interest. Beginning April 1, 2020, AIFS has the option to redeem all or a portion of the 3.125% 2025 Notes at any time at the redemption prices set forth in the 3.125% 2025 Notes Indenture, plus accrued and unpaid interest.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5.000% 2025 Notes Indenture and the 3.125% 2025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5.000% 2025 Notes Indenture and the 3.125% 2025 Notes Indenture also provide for events of default which, if any of them occurs, would permit or require the principal of and accrued interest on the applicable series of 2025 Notes to become or to be declared due and payable. Further, a failure to pay any obligations under the 5.000% 2025 Notes Indenture or the 3.125%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made optional prepayments of $48.5 million on the 5.000% 2025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4.750% Senior Notes due 2026</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June 2, 2021, the Company redeemed the aggregate $500.0 million principal amount outstanding on the 4.750% 2026 Notes at a redemption price of 102.375% of the aggregate principal amount together with accrued and unpaid interest. The Company recorded $16.0 million of charges to "Interest and Other Financing Costs, net" on the Consolidated Statements of Income (Loss) for the fiscal year ended October 1, 2021, consisting of the payment of a $11.9 million call premium and a $4.1 million non-cash loss for the write-off of unamortized deferred financing costs on the 4.750% 2026 Notes. The amount paid for the call premium is included within "Other financing activities" on the Consolidated Statements of Cash Flows for the fiscal year ended October 1, 2021.</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Receivables Facility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Receivables Facility agreement with four financial institutions where it sells on a continuous basis an undivided interest in all eligible trade accounts receivable, as defined in the Receivables Facility. Amounts borrowed under the Receivables Facility fluctuate monthly based on the Company's funding requirements and the level of qualified receivables available to collateralize the Receivables Facility. On July 19, 2023, the Company increased the purchase limit available under the Receivables Facility from $500.0 million to $600.0 million and extended the scheduled maturity date from June 2024 to July 2026. All other terms and conditions of the agreement remained largely unchanged.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Receivables Facility, the Company formed ARAMARK Receivables, LLC, a wholly-owned, consolidated, bankruptcy-remote subsidiary. ARAMARK Receivables, LLC was formed for the sole purpose of buying and selling 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 </w:t>
      </w:r>
    </w:p>
    <w:p>
      <w:pPr>
        <w:pStyle w:val="TextBody"/>
        <w:bidi w:val="0"/>
        <w:spacing w:lineRule="auto" w:line="288" w:before="100" w:after="6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September 29, 2023, there are no outstanding borrowings under the Receivables Facility. As of</w:t>
      </w:r>
      <w:r>
        <w:rPr>
          <w:color w:val="000000"/>
        </w:rPr>
        <w:t xml:space="preserve"> </w:t>
      </w:r>
      <w:r>
        <w:rPr>
          <w:rFonts w:ascii="Times New Roman;sans-serif" w:hAnsi="Times New Roman;sans-serif"/>
          <w:b w:val="false"/>
          <w:color w:val="000000"/>
          <w:sz w:val="20"/>
        </w:rPr>
        <w:t xml:space="preserve">September 30, 2022, there were $104.9 million outstanding borrowings under the Receivables Facility.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Future Maturities and Interest and Other Financing Costs, net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29, 2023, annual maturities on long-term borrowings maturing in the next five fiscal years and thereafter (excluding the $47.1 million reduction to long-term borrowings from debt issuance costs, $10.7 million reduction from the discount on the United States Term B-6 Loans due 2030 and $0.5 million reduction from the discount on the United States Term B-4 Loans due 2027) are as follows (in thousands):</w:t>
      </w:r>
    </w:p>
    <w:tbl>
      <w:tblPr>
        <w:tblW w:w="2287" w:type="dxa"/>
        <w:jc w:val="center"/>
        <w:tblInd w:w="0" w:type="dxa"/>
        <w:tblLayout w:type="fixed"/>
        <w:tblCellMar>
          <w:top w:w="28" w:type="dxa"/>
          <w:left w:w="28" w:type="dxa"/>
          <w:bottom w:w="28" w:type="dxa"/>
          <w:right w:w="28" w:type="dxa"/>
        </w:tblCellMar>
      </w:tblPr>
      <w:tblGrid>
        <w:gridCol w:w="342"/>
        <w:gridCol w:w="300"/>
        <w:gridCol w:w="304"/>
        <w:gridCol w:w="211"/>
        <w:gridCol w:w="97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interest and other financing costs, net, are summarized as follows (in thousands):</w:t>
      </w:r>
    </w:p>
    <w:tbl>
      <w:tblPr>
        <w:tblW w:w="7249" w:type="dxa"/>
        <w:jc w:val="left"/>
        <w:tblInd w:w="0" w:type="dxa"/>
        <w:tblLayout w:type="fixed"/>
        <w:tblCellMar>
          <w:top w:w="28" w:type="dxa"/>
          <w:left w:w="28" w:type="dxa"/>
          <w:bottom w:w="28" w:type="dxa"/>
          <w:right w:w="28" w:type="dxa"/>
        </w:tblCellMar>
      </w:tblPr>
      <w:tblGrid>
        <w:gridCol w:w="668"/>
        <w:gridCol w:w="585"/>
        <w:gridCol w:w="591"/>
        <w:gridCol w:w="109"/>
        <w:gridCol w:w="109"/>
        <w:gridCol w:w="109"/>
        <w:gridCol w:w="284"/>
        <w:gridCol w:w="1114"/>
        <w:gridCol w:w="147"/>
        <w:gridCol w:w="109"/>
        <w:gridCol w:w="109"/>
        <w:gridCol w:w="109"/>
        <w:gridCol w:w="284"/>
        <w:gridCol w:w="1114"/>
        <w:gridCol w:w="147"/>
        <w:gridCol w:w="109"/>
        <w:gridCol w:w="109"/>
        <w:gridCol w:w="109"/>
        <w:gridCol w:w="236"/>
        <w:gridCol w:w="926"/>
        <w:gridCol w:w="172"/>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439,585 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372,727 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6. DERIVATIVE INSTRUMENTS: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contractual derivative arrangements to manage changes in market conditions related to interest on debt obligations and exposure to fluctuating gasoline and diesel fuel prices. Derivative instruments utilized during the period include interest rate swap agreements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Cash Flow Hedges </w:t>
      </w:r>
    </w:p>
    <w:p>
      <w:pPr>
        <w:pStyle w:val="TextBody"/>
        <w:bidi w:val="0"/>
        <w:spacing w:lineRule="auto" w:line="288" w:before="100" w:after="60"/>
        <w:jc w:val="left"/>
        <w:rPr/>
      </w:pPr>
      <w:r>
        <w:rPr>
          <w:rFonts w:ascii="Times New Roman;sans-serif" w:hAnsi="Times New Roman;sans-serif"/>
          <w:b w:val="false"/>
          <w:color w:val="000000"/>
          <w:sz w:val="20"/>
        </w:rPr>
        <w:t xml:space="preserve">The Company has approximately $2.2 billion notional amount of outstanding interest rate swap agreements as of September 29, 2023, which fix the rate on a like amount of variable rate borrowings with varying maturities through December of fiscal 2028. During fiscal 2023, the Company entered into $150.0 million notional amount of interest rate swap agreements to hedge the cash flow risk of variability in interest payments on variable rate borrowings and $1.2 billion notional amount of previously forward starting interest rate swap agreements became effective. In addition, interest rate swaps with notional amounts of $1.6 billion matured during fiscal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entered into bilateral agreements with its swap counterparties to transition all of its interest rate swap agreements to use SOFR as the reference rate in anticipation of the discontinuance of LIBOR. There are no changes to interest rate swap parties, notional amounts or settlement dates as a result of these amendments. As of September 29, 2023, all of the Company's interest rate swap agreements were indexed to SOFR.</w:t>
      </w:r>
    </w:p>
    <w:p>
      <w:pPr>
        <w:pStyle w:val="TextBody"/>
        <w:bidi w:val="0"/>
        <w:spacing w:lineRule="auto" w:line="288" w:before="100" w:after="60"/>
        <w:jc w:val="left"/>
        <w:rPr/>
      </w:pPr>
      <w:r>
        <w:rPr>
          <w:rFonts w:ascii="Times New Roman;sans-serif" w:hAnsi="Times New Roman;sans-serif"/>
          <w:b w:val="false"/>
          <w:color w:val="000000"/>
          <w:sz w:val="20"/>
        </w:rPr>
        <w:t xml:space="preserve">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w:t>
      </w:r>
      <w:r>
        <w:rPr>
          <w:rFonts w:ascii="Times New Roman;sans-serif" w:hAnsi="Times New Roman;sans-serif"/>
          <w:b w:val="false"/>
          <w:color w:val="000000"/>
          <w:sz w:val="20"/>
          <w:shd w:fill="FFFFFF" w:val="clear"/>
        </w:rPr>
        <w:t>September 29,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September 30, 2022</w:t>
      </w:r>
      <w:r>
        <w:rPr>
          <w:rFonts w:ascii="Times New Roman;sans-serif" w:hAnsi="Times New Roman;sans-serif"/>
          <w:b w:val="false"/>
          <w:color w:val="000000"/>
          <w:sz w:val="20"/>
        </w:rPr>
        <w:t xml:space="preserve">, $109.1 million and $114.7 million, respectively, of unrealized net of tax gains related to the interest rate swaps were included in "Accumulated other comprehensive loss."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effect of the Company's derivatives designated as cash flow hedging instruments on Other comprehensive income (in thousands): </w:t>
      </w:r>
    </w:p>
    <w:tbl>
      <w:tblPr>
        <w:tblW w:w="7717" w:type="dxa"/>
        <w:jc w:val="left"/>
        <w:tblInd w:w="0" w:type="dxa"/>
        <w:tblLayout w:type="fixed"/>
        <w:tblCellMar>
          <w:top w:w="28" w:type="dxa"/>
          <w:left w:w="28" w:type="dxa"/>
          <w:bottom w:w="28" w:type="dxa"/>
          <w:right w:w="28" w:type="dxa"/>
        </w:tblCellMar>
      </w:tblPr>
      <w:tblGrid>
        <w:gridCol w:w="955"/>
        <w:gridCol w:w="840"/>
        <w:gridCol w:w="845"/>
        <w:gridCol w:w="313"/>
        <w:gridCol w:w="1070"/>
        <w:gridCol w:w="161"/>
        <w:gridCol w:w="109"/>
        <w:gridCol w:w="109"/>
        <w:gridCol w:w="109"/>
        <w:gridCol w:w="284"/>
        <w:gridCol w:w="1114"/>
        <w:gridCol w:w="147"/>
        <w:gridCol w:w="109"/>
        <w:gridCol w:w="109"/>
        <w:gridCol w:w="109"/>
        <w:gridCol w:w="287"/>
        <w:gridCol w:w="838"/>
        <w:gridCol w:w="209"/>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swap agreements</w:t>
            </w:r>
            <w:r>
              <w:rPr>
                <w:rFonts w:ascii="Times New Roman;sans-serif" w:hAnsi="Times New Roman;sans-serif"/>
                <w:b w:val="false"/>
                <w:color w:val="000000"/>
                <w:sz w:val="13"/>
              </w:rPr>
              <w:t>(1)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01" w:type="dxa"/>
        <w:jc w:val="left"/>
        <w:tblInd w:w="0" w:type="dxa"/>
        <w:tblLayout w:type="fixed"/>
        <w:tblCellMar>
          <w:top w:w="28" w:type="dxa"/>
          <w:left w:w="28" w:type="dxa"/>
          <w:bottom w:w="28" w:type="dxa"/>
          <w:right w:w="28" w:type="dxa"/>
        </w:tblCellMar>
      </w:tblPr>
      <w:tblGrid>
        <w:gridCol w:w="124"/>
        <w:gridCol w:w="109"/>
        <w:gridCol w:w="109"/>
        <w:gridCol w:w="1158"/>
        <w:gridCol w:w="1158"/>
        <w:gridCol w:w="16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the amounts driven by changes in forward interest rates.</w:t>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Derivatives not Designated in Hedging Relationships</w:t>
      </w:r>
    </w:p>
    <w:p>
      <w:pPr>
        <w:pStyle w:val="TextBody"/>
        <w:bidi w:val="0"/>
        <w:spacing w:lineRule="auto" w:line="288" w:before="100" w:after="60"/>
        <w:jc w:val="left"/>
        <w:rPr/>
      </w:pPr>
      <w:r>
        <w:rPr>
          <w:rFonts w:ascii="Times New Roman;sans-serif" w:hAnsi="Times New Roman;sans-serif"/>
          <w:b w:val="false"/>
          <w:color w:val="000000"/>
          <w:sz w:val="20"/>
        </w:rPr>
        <w:t xml:space="preserve">The Company entered into a series of pay fixed/receive floating gasoline and diesel fuel agreements based on the Department of Energy weekly retail on-highway index in order to limit its exposure to price fluctuations for gasoline and diesel fuel. As of </w:t>
      </w:r>
      <w:r>
        <w:rPr>
          <w:rFonts w:ascii="Times New Roman;sans-serif" w:hAnsi="Times New Roman;sans-serif"/>
          <w:b w:val="false"/>
          <w:color w:val="000000"/>
          <w:sz w:val="20"/>
          <w:shd w:fill="FFFFFF" w:val="clear"/>
        </w:rPr>
        <w:t>September 29, 2023</w:t>
      </w:r>
      <w:r>
        <w:rPr>
          <w:rFonts w:ascii="Times New Roman;sans-serif" w:hAnsi="Times New Roman;sans-serif"/>
          <w:b w:val="false"/>
          <w:color w:val="000000"/>
          <w:sz w:val="20"/>
        </w:rPr>
        <w:t>, the Company has contracts for approximately 6.6 million gallons outstanding through June of fiscal 2024. The majority of these gasoline and diesel fuel agreements support the Uniform segment with the remaining agreements supporting the FSS United States segment, whereas the impact will be immaterial following the separation and distribution of the Uniform segment subsequent to fiscal year-end (see Note 1). The Company does not record its gasoline and diesel fuel agreements as hedges for accounting purposes. The impact on earnings related to the change in fair value of these unsettled contracts was a gain of $2.6 million for fiscal 2023, a loss of $5.2 million for fiscal 2022 and a gain of $4.4 million for fiscal 2021. The change in fair value for unsettled contracts is included in "Selling and general corporate expenses" on the Consolidated Statements of Income (Loss). When the contracts settle, the gain or loss is recorded in "Cost of services provided (exclusive of depreciation and amortization)" on the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S-29</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and fair value, using Level 2 inputs (see Note 16 for a description of the fair value levels), of the Company's derivatives designated and not designated as hedging instruments on the Consolidated Balance Sheets (in thousands): </w:t>
      </w:r>
    </w:p>
    <w:tbl>
      <w:tblPr>
        <w:tblW w:w="10205" w:type="dxa"/>
        <w:jc w:val="center"/>
        <w:tblInd w:w="0" w:type="dxa"/>
        <w:tblLayout w:type="fixed"/>
        <w:tblCellMar>
          <w:top w:w="28" w:type="dxa"/>
          <w:left w:w="28" w:type="dxa"/>
          <w:bottom w:w="28" w:type="dxa"/>
          <w:right w:w="28" w:type="dxa"/>
        </w:tblCellMar>
      </w:tblPr>
      <w:tblGrid>
        <w:gridCol w:w="1176"/>
        <w:gridCol w:w="1002"/>
        <w:gridCol w:w="1010"/>
        <w:gridCol w:w="109"/>
        <w:gridCol w:w="109"/>
        <w:gridCol w:w="109"/>
        <w:gridCol w:w="988"/>
        <w:gridCol w:w="988"/>
        <w:gridCol w:w="990"/>
        <w:gridCol w:w="109"/>
        <w:gridCol w:w="109"/>
        <w:gridCol w:w="109"/>
        <w:gridCol w:w="277"/>
        <w:gridCol w:w="1089"/>
        <w:gridCol w:w="143"/>
        <w:gridCol w:w="109"/>
        <w:gridCol w:w="109"/>
        <w:gridCol w:w="109"/>
        <w:gridCol w:w="275"/>
        <w:gridCol w:w="1079"/>
        <w:gridCol w:w="207"/>
      </w:tblGrid>
      <w:tr>
        <w:trPr/>
        <w:tc>
          <w:tcPr>
            <w:tcW w:w="117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155,033 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of the (gain) loss reclassified from "Accumulated other comprehensive loss" into earnings for derivatives designated as hedging instruments and the location of the loss (gain) for the Company's derivatives not designated as hedging instruments on the Consolidated Statements of Income (Loss) (in thousands): </w:t>
      </w:r>
    </w:p>
    <w:tbl>
      <w:tblPr>
        <w:tblW w:w="10205" w:type="dxa"/>
        <w:jc w:val="left"/>
        <w:tblInd w:w="0" w:type="dxa"/>
        <w:tblLayout w:type="fixed"/>
        <w:tblCellMar>
          <w:top w:w="28" w:type="dxa"/>
          <w:left w:w="28" w:type="dxa"/>
          <w:bottom w:w="28" w:type="dxa"/>
          <w:right w:w="28" w:type="dxa"/>
        </w:tblCellMar>
      </w:tblPr>
      <w:tblGrid>
        <w:gridCol w:w="629"/>
        <w:gridCol w:w="543"/>
        <w:gridCol w:w="546"/>
        <w:gridCol w:w="109"/>
        <w:gridCol w:w="109"/>
        <w:gridCol w:w="109"/>
        <w:gridCol w:w="1214"/>
        <w:gridCol w:w="1214"/>
        <w:gridCol w:w="1217"/>
        <w:gridCol w:w="109"/>
        <w:gridCol w:w="109"/>
        <w:gridCol w:w="109"/>
        <w:gridCol w:w="233"/>
        <w:gridCol w:w="838"/>
        <w:gridCol w:w="120"/>
        <w:gridCol w:w="109"/>
        <w:gridCol w:w="109"/>
        <w:gridCol w:w="109"/>
        <w:gridCol w:w="239"/>
        <w:gridCol w:w="818"/>
        <w:gridCol w:w="123"/>
        <w:gridCol w:w="109"/>
        <w:gridCol w:w="109"/>
        <w:gridCol w:w="109"/>
        <w:gridCol w:w="224"/>
        <w:gridCol w:w="767"/>
        <w:gridCol w:w="172"/>
      </w:tblGrid>
      <w:tr>
        <w:trPr/>
        <w:tc>
          <w:tcPr>
            <w:tcW w:w="62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swap agreements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Gasoline and diesel fuel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 Selling and general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301" w:type="dxa"/>
        <w:jc w:val="left"/>
        <w:tblInd w:w="0" w:type="dxa"/>
        <w:tblLayout w:type="fixed"/>
        <w:tblCellMar>
          <w:top w:w="28" w:type="dxa"/>
          <w:left w:w="28" w:type="dxa"/>
          <w:bottom w:w="28" w:type="dxa"/>
          <w:right w:w="28" w:type="dxa"/>
        </w:tblCellMar>
      </w:tblPr>
      <w:tblGrid>
        <w:gridCol w:w="124"/>
        <w:gridCol w:w="109"/>
        <w:gridCol w:w="109"/>
        <w:gridCol w:w="1158"/>
        <w:gridCol w:w="1158"/>
        <w:gridCol w:w="16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the amounts driven by changes in forward interest rates.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the Company has a Euro denominated term loan in the amount of €90.2 million. The term loan was designated as a hedge of the Company's net Euro currency exposure represented by certain holdings in the Company's European affiliates.</w:t>
      </w:r>
    </w:p>
    <w:p>
      <w:pPr>
        <w:pStyle w:val="TextBody"/>
        <w:bidi w:val="0"/>
        <w:spacing w:lineRule="auto" w:line="288" w:before="100" w:after="60"/>
        <w:jc w:val="left"/>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20"/>
          <w:shd w:fill="FFFFFF" w:val="clear"/>
        </w:rPr>
        <w:t>September 29, 2023</w:t>
      </w:r>
      <w:r>
        <w:rPr>
          <w:rFonts w:ascii="Times New Roman;sans-serif" w:hAnsi="Times New Roman;sans-serif"/>
          <w:b w:val="false"/>
          <w:color w:val="000000"/>
          <w:sz w:val="20"/>
        </w:rPr>
        <w:t xml:space="preserve">, the net of tax gain expected to be reclassified from "Accumulated other comprehensive loss" into earnings over the next twelve months based on current market rates is approximately $53.7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7. REVENUE RECOGNITION: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S-30</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revenue source (in millions):</w:t>
      </w:r>
    </w:p>
    <w:tbl>
      <w:tblPr>
        <w:tblW w:w="8269" w:type="dxa"/>
        <w:jc w:val="center"/>
        <w:tblInd w:w="0" w:type="dxa"/>
        <w:tblLayout w:type="fixed"/>
        <w:tblCellMar>
          <w:top w:w="28" w:type="dxa"/>
          <w:left w:w="28" w:type="dxa"/>
          <w:bottom w:w="28" w:type="dxa"/>
          <w:right w:w="28" w:type="dxa"/>
        </w:tblCellMar>
      </w:tblPr>
      <w:tblGrid>
        <w:gridCol w:w="995"/>
        <w:gridCol w:w="873"/>
        <w:gridCol w:w="877"/>
        <w:gridCol w:w="109"/>
        <w:gridCol w:w="109"/>
        <w:gridCol w:w="109"/>
        <w:gridCol w:w="273"/>
        <w:gridCol w:w="1130"/>
        <w:gridCol w:w="141"/>
        <w:gridCol w:w="109"/>
        <w:gridCol w:w="109"/>
        <w:gridCol w:w="109"/>
        <w:gridCol w:w="273"/>
        <w:gridCol w:w="1130"/>
        <w:gridCol w:w="141"/>
        <w:gridCol w:w="109"/>
        <w:gridCol w:w="109"/>
        <w:gridCol w:w="109"/>
        <w:gridCol w:w="248"/>
        <w:gridCol w:w="1026"/>
        <w:gridCol w:w="181"/>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October 1, 2021</w:t>
            </w:r>
            <w:r>
              <w:rPr>
                <w:rFonts w:ascii="Times New Roman;sans-serif" w:hAnsi="Times New Roman;sans-serif"/>
                <w:b/>
                <w:color w:val="000000"/>
                <w:sz w:val="10"/>
              </w:rPr>
              <w:t>(1)</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Facilities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18,853.9 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02" w:type="dxa"/>
        <w:jc w:val="left"/>
        <w:tblInd w:w="0" w:type="dxa"/>
        <w:tblLayout w:type="fixed"/>
        <w:tblCellMar>
          <w:top w:w="28" w:type="dxa"/>
          <w:left w:w="28" w:type="dxa"/>
          <w:bottom w:w="28" w:type="dxa"/>
          <w:right w:w="28" w:type="dxa"/>
        </w:tblCellMar>
      </w:tblPr>
      <w:tblGrid>
        <w:gridCol w:w="124"/>
        <w:gridCol w:w="109"/>
        <w:gridCol w:w="109"/>
        <w:gridCol w:w="1685"/>
        <w:gridCol w:w="1685"/>
        <w:gridCol w:w="2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COVID-19 had a negative impact on revenue for the fiscal year ended October 1, 2021 (see Note 1).</w:t>
            </w:r>
          </w:p>
        </w:tc>
      </w:tr>
    </w:tbl>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defers sales commissions earned by its sales force that are considered to be incremental and recoverable costs of obtaining a contract tied to its food, facilities and uniform services. The deferred costs are amortized using the portfolio approach on a straight line basis over the average period of benefit, approximately 8.1 years, and are assessed for impairment on a periodic basis. Determination of the amortization period and the subsequent assessment for impairment of the contract cost asset requires judgment. Employee sales commissions are recorded within "Other Assets" on the Consolidated Balance Sheets (see Note 1). </w:t>
      </w:r>
    </w:p>
    <w:p>
      <w:pPr>
        <w:pStyle w:val="TextBody"/>
        <w:bidi w:val="0"/>
        <w:spacing w:lineRule="auto" w:line="288" w:before="100" w:after="60"/>
        <w:jc w:val="left"/>
        <w:rPr/>
      </w:pPr>
      <w:r>
        <w:rPr>
          <w:rFonts w:ascii="Times New Roman;sans-serif" w:hAnsi="Times New Roman;sans-serif"/>
          <w:b w:val="false"/>
          <w:color w:val="000000"/>
          <w:sz w:val="20"/>
        </w:rPr>
        <w:t xml:space="preserve">Leasehold improvements and costs to fulfill contracts include payments made by the Company to enhance the service resources used by the Company to satisfy its performance obligation. These amounts are amortized on a straight-line basis over the contract period. If a contract is terminated prior to its maturity date, the Company is typically reimbursed for the unamortized amount. As of September 29, 2023 and </w:t>
      </w:r>
      <w:r>
        <w:rPr>
          <w:rFonts w:ascii="Times New Roman;sans-serif" w:hAnsi="Times New Roman;sans-serif"/>
          <w:b w:val="false"/>
          <w:color w:val="000000"/>
          <w:sz w:val="20"/>
          <w:shd w:fill="FFFFFF" w:val="clear"/>
        </w:rPr>
        <w:t xml:space="preserve">September 30, 2022, the Company had </w:t>
      </w:r>
      <w:r>
        <w:rPr>
          <w:rFonts w:ascii="Times New Roman;sans-serif" w:hAnsi="Times New Roman;sans-serif"/>
          <w:b w:val="false"/>
          <w:color w:val="000000"/>
          <w:sz w:val="20"/>
        </w:rPr>
        <w:t>$775.1 million</w:t>
      </w:r>
      <w:r>
        <w:rPr>
          <w:color w:val="000000"/>
          <w:shd w:fill="FFFFFF" w:val="clear"/>
        </w:rPr>
        <w:t xml:space="preserve"> </w:t>
      </w:r>
      <w:r>
        <w:rPr>
          <w:rFonts w:ascii="Times New Roman;sans-serif" w:hAnsi="Times New Roman;sans-serif"/>
          <w:b w:val="false"/>
          <w:color w:val="000000"/>
          <w:sz w:val="20"/>
          <w:shd w:fill="FFFFFF" w:val="clear"/>
        </w:rPr>
        <w:t>and $751.8 million of leasehold improvements capitalized in "Property and equipment, net" on the Consolidated Balance Sheets. Cost to fulfill</w:t>
      </w:r>
      <w:r>
        <w:rPr>
          <w:color w:val="000000"/>
        </w:rPr>
        <w:t xml:space="preserve"> </w:t>
      </w:r>
      <w:r>
        <w:rPr>
          <w:rFonts w:ascii="Times New Roman;sans-serif" w:hAnsi="Times New Roman;sans-serif"/>
          <w:b w:val="false"/>
          <w:color w:val="000000"/>
          <w:sz w:val="20"/>
        </w:rPr>
        <w:t xml:space="preserve">- Client is recorded within "Other Assets" on the Consolidated Balance Sheets (see Note 1).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rent is amortized over the contract period. If a contract is terminated prior to its maturity date, the Company is typically reimbursed for the unamortized amount. Long-term prepaid rent is recorded within "Operating Lease Right-of use Assets" on the Consolidated Balance Sheets (see Note 8).</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costs to fulfill contracts represent personalized work apparel, linens and other rental items in service in the Uniform segment. The amounts are recorded at cost and are amortized over their estimated useful lives, which primarily range from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S-31</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to four years. The amortization rates used are based on the Company's specific experience. </w:t>
      </w:r>
      <w:r>
        <w:rPr>
          <w:rFonts w:ascii="Times New Roman;sans-serif" w:hAnsi="Times New Roman;sans-serif"/>
          <w:b w:val="false"/>
          <w:color w:val="000000"/>
          <w:sz w:val="20"/>
          <w:shd w:fill="FFFFFF" w:val="clear"/>
        </w:rPr>
        <w:t>Cost to fulfill</w:t>
      </w:r>
      <w:r>
        <w:rPr>
          <w:color w:val="000000"/>
        </w:rPr>
        <w:t xml:space="preserve"> </w:t>
      </w:r>
      <w:r>
        <w:rPr>
          <w:rFonts w:ascii="Times New Roman;sans-serif" w:hAnsi="Times New Roman;sans-serif"/>
          <w:b w:val="false"/>
          <w:color w:val="000000"/>
          <w:sz w:val="20"/>
        </w:rPr>
        <w:t xml:space="preserve">- Rental merchandise in-service are recorded within "Other Assets" on the Consolidated Balance Sheets (see Note 1).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of the expense recorded on the Consolidated Statements of Income (Loss) related to the Company's contract balances (in millions):</w:t>
      </w:r>
    </w:p>
    <w:tbl>
      <w:tblPr>
        <w:tblW w:w="10205" w:type="dxa"/>
        <w:jc w:val="left"/>
        <w:tblInd w:w="0" w:type="dxa"/>
        <w:tblLayout w:type="fixed"/>
        <w:tblCellMar>
          <w:top w:w="28" w:type="dxa"/>
          <w:left w:w="28" w:type="dxa"/>
          <w:bottom w:w="28" w:type="dxa"/>
          <w:right w:w="28" w:type="dxa"/>
        </w:tblCellMar>
      </w:tblPr>
      <w:tblGrid>
        <w:gridCol w:w="890"/>
        <w:gridCol w:w="729"/>
        <w:gridCol w:w="731"/>
        <w:gridCol w:w="109"/>
        <w:gridCol w:w="109"/>
        <w:gridCol w:w="109"/>
        <w:gridCol w:w="1162"/>
        <w:gridCol w:w="981"/>
        <w:gridCol w:w="984"/>
        <w:gridCol w:w="109"/>
        <w:gridCol w:w="109"/>
        <w:gridCol w:w="109"/>
        <w:gridCol w:w="293"/>
        <w:gridCol w:w="710"/>
        <w:gridCol w:w="152"/>
        <w:gridCol w:w="109"/>
        <w:gridCol w:w="109"/>
        <w:gridCol w:w="109"/>
        <w:gridCol w:w="293"/>
        <w:gridCol w:w="710"/>
        <w:gridCol w:w="152"/>
        <w:gridCol w:w="109"/>
        <w:gridCol w:w="109"/>
        <w:gridCol w:w="109"/>
        <w:gridCol w:w="265"/>
        <w:gridCol w:w="643"/>
        <w:gridCol w:w="202"/>
      </w:tblGrid>
      <w:tr>
        <w:trPr/>
        <w:tc>
          <w:tcPr>
            <w:tcW w:w="89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 Client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 Rental merchandise 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is recognized in "Accrued expenses and other current liabilities" and "Deferred Income Taxes and Other Noncurrent Liabilities" on the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which are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29, 2023, deferred income increased related to customer prepayments and decreased related to income recognized during the period as a result of satisfying the performance obligation or return of funds related to non-performance. For the fiscal year ended September 29, 2023, the Company recognized $298.9 million of revenue that was included in deferred income at the beginning of the period. Deferred income balances are summarized in the following table (in millions):</w:t>
      </w:r>
    </w:p>
    <w:tbl>
      <w:tblPr>
        <w:tblW w:w="5243" w:type="dxa"/>
        <w:jc w:val="center"/>
        <w:tblInd w:w="0" w:type="dxa"/>
        <w:tblLayout w:type="fixed"/>
        <w:tblCellMar>
          <w:top w:w="28" w:type="dxa"/>
          <w:left w:w="28" w:type="dxa"/>
          <w:bottom w:w="28" w:type="dxa"/>
          <w:right w:w="28" w:type="dxa"/>
        </w:tblCellMar>
      </w:tblPr>
      <w:tblGrid>
        <w:gridCol w:w="527"/>
        <w:gridCol w:w="463"/>
        <w:gridCol w:w="464"/>
        <w:gridCol w:w="109"/>
        <w:gridCol w:w="109"/>
        <w:gridCol w:w="109"/>
        <w:gridCol w:w="348"/>
        <w:gridCol w:w="1017"/>
        <w:gridCol w:w="180"/>
        <w:gridCol w:w="109"/>
        <w:gridCol w:w="109"/>
        <w:gridCol w:w="109"/>
        <w:gridCol w:w="342"/>
        <w:gridCol w:w="999"/>
        <w:gridCol w:w="24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fixed or variable lease payments. The Company assesses whether an arrangement is a lease, or contains a lease, upon inception of the related contract. A right-of-use asset and corresponding lease liability are not recorded for leases with an initial term of 12 months or less ("short-term leases"). Certain of the Company's lease arrangements, primarily vehicle leases, with terms of one to 12 years, contain provisions related to residual value guarantees. The maximum potential liability to the Company under such arrangements was approximately $29.3 million at September 29, 2023 if the terminal fair value of vehicles coming off lease was zero. Consistent with past experience, management does not expect any significant payments will be required pursuant to these arrangements. No amounts have been accrued for guarantee arrangements at September 29,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operating lease liabilities and operating lease right-of-use assets on its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Deferred rent, tenant improvement allowances and prepaid rent are included in the operating lease right-of-use asset balances. Lease expense is recognized on a straight-line basis over the expected lease term. The Company has lease agreements with lease and non-lease components. Non-lease components are combined with the related lease components and accounted for as lease components for all classes of underlying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payments, which primarily consist of leases associated with the Company's revenue contracts with customers, real estate taxes, common area maintenance charges, insurance costs and other operating expenses, are not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S-32</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discount its future minimum lease payments using the interest rate implicit in the lease or, if that rate cannot be readily determined, its incremental borrowing rate. The Company primarily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pStyle w:val="TextBody"/>
        <w:bidi w:val="0"/>
        <w:spacing w:lineRule="auto" w:line="288" w:before="100" w:after="60"/>
        <w:jc w:val="left"/>
        <w:rPr/>
      </w:pPr>
      <w:r>
        <w:rPr>
          <w:rFonts w:ascii="Times New Roman;sans-serif" w:hAnsi="Times New Roman;sans-serif"/>
          <w:b w:val="false"/>
          <w:color w:val="000000"/>
          <w:sz w:val="20"/>
        </w:rPr>
        <w:t>The following table summarizes the location of the operating and finance leases in the Company’s Consolidated Balance Sheets (in thousands), as well as the weighted average remaining lease term</w:t>
      </w:r>
      <w:r>
        <w:rPr>
          <w:color w:val="000000"/>
        </w:rPr>
        <w:t xml:space="preserve"> </w:t>
      </w:r>
      <w:r>
        <w:rPr>
          <w:rFonts w:ascii="Times New Roman;sans-serif" w:hAnsi="Times New Roman;sans-serif"/>
          <w:b w:val="false"/>
          <w:color w:val="000000"/>
          <w:sz w:val="20"/>
        </w:rPr>
        <w:t>and weighted average discount rate:</w:t>
      </w:r>
    </w:p>
    <w:tbl>
      <w:tblPr>
        <w:tblW w:w="10205" w:type="dxa"/>
        <w:jc w:val="center"/>
        <w:tblInd w:w="0" w:type="dxa"/>
        <w:tblLayout w:type="fixed"/>
        <w:tblCellMar>
          <w:top w:w="28" w:type="dxa"/>
          <w:left w:w="28" w:type="dxa"/>
          <w:bottom w:w="28" w:type="dxa"/>
          <w:right w:w="28" w:type="dxa"/>
        </w:tblCellMar>
      </w:tblPr>
      <w:tblGrid>
        <w:gridCol w:w="1157"/>
        <w:gridCol w:w="1000"/>
        <w:gridCol w:w="1018"/>
        <w:gridCol w:w="109"/>
        <w:gridCol w:w="109"/>
        <w:gridCol w:w="109"/>
        <w:gridCol w:w="1013"/>
        <w:gridCol w:w="915"/>
        <w:gridCol w:w="909"/>
        <w:gridCol w:w="109"/>
        <w:gridCol w:w="109"/>
        <w:gridCol w:w="109"/>
        <w:gridCol w:w="237"/>
        <w:gridCol w:w="930"/>
        <w:gridCol w:w="305"/>
        <w:gridCol w:w="109"/>
        <w:gridCol w:w="109"/>
        <w:gridCol w:w="109"/>
        <w:gridCol w:w="237"/>
        <w:gridCol w:w="930"/>
        <w:gridCol w:w="305"/>
        <w:gridCol w:w="109"/>
        <w:gridCol w:w="159"/>
      </w:tblGrid>
      <w:tr>
        <w:trPr/>
        <w:tc>
          <w:tcPr>
            <w:tcW w:w="115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630,158 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592,145 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782,709 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729,695 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527,971 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521,854 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8171" w:type="dxa"/>
        <w:jc w:val="left"/>
        <w:tblInd w:w="0" w:type="dxa"/>
        <w:tblLayout w:type="fixed"/>
        <w:tblCellMar>
          <w:top w:w="28" w:type="dxa"/>
          <w:left w:w="28" w:type="dxa"/>
          <w:bottom w:w="28" w:type="dxa"/>
          <w:right w:w="28" w:type="dxa"/>
        </w:tblCellMar>
      </w:tblPr>
      <w:tblGrid>
        <w:gridCol w:w="124"/>
        <w:gridCol w:w="109"/>
        <w:gridCol w:w="109"/>
        <w:gridCol w:w="2289"/>
        <w:gridCol w:w="2289"/>
        <w:gridCol w:w="3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Includes $320.1 million and $260.2 million of long-term prepaid rent as of September 29, 2023 and September 30, 2022,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During fiscal 2023, the Company recorded impairment charges to its Operating Lease Right-of-use Assets (see Note 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S-33</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of lease related costs on the Consolidated Statements of Income (Loss) (in thousands):</w:t>
      </w:r>
    </w:p>
    <w:tbl>
      <w:tblPr>
        <w:tblW w:w="10205" w:type="dxa"/>
        <w:jc w:val="center"/>
        <w:tblInd w:w="0" w:type="dxa"/>
        <w:tblLayout w:type="fixed"/>
        <w:tblCellMar>
          <w:top w:w="28" w:type="dxa"/>
          <w:left w:w="28" w:type="dxa"/>
          <w:bottom w:w="28" w:type="dxa"/>
          <w:right w:w="28" w:type="dxa"/>
        </w:tblCellMar>
      </w:tblPr>
      <w:tblGrid>
        <w:gridCol w:w="835"/>
        <w:gridCol w:w="702"/>
        <w:gridCol w:w="529"/>
        <w:gridCol w:w="109"/>
        <w:gridCol w:w="109"/>
        <w:gridCol w:w="109"/>
        <w:gridCol w:w="1073"/>
        <w:gridCol w:w="870"/>
        <w:gridCol w:w="873"/>
        <w:gridCol w:w="109"/>
        <w:gridCol w:w="109"/>
        <w:gridCol w:w="109"/>
        <w:gridCol w:w="225"/>
        <w:gridCol w:w="1043"/>
        <w:gridCol w:w="116"/>
        <w:gridCol w:w="109"/>
        <w:gridCol w:w="109"/>
        <w:gridCol w:w="109"/>
        <w:gridCol w:w="225"/>
        <w:gridCol w:w="1043"/>
        <w:gridCol w:w="116"/>
        <w:gridCol w:w="109"/>
        <w:gridCol w:w="109"/>
        <w:gridCol w:w="109"/>
        <w:gridCol w:w="219"/>
        <w:gridCol w:w="861"/>
        <w:gridCol w:w="167"/>
      </w:tblGrid>
      <w:tr>
        <w:trPr/>
        <w:tc>
          <w:tcPr>
            <w:tcW w:w="83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Variable lease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cost</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1,194,108 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545,389 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Excludes sublease income, which is immaterial.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Includes $903.4 million, $745.6 million and $325.3 million of costs related to leases associated with revenue contracts with customers for fiscal 2023, 2022 and 2021, respectively. These costs represent the rent the Company pays its clients to operate at their locations, typically based on a percentage of sales. Variable lease costs during fiscal 2021 was impacted by COVID-19.</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Excludes variable lease costs, which are immaterial.</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periods reported is as follows (in thousands):</w:t>
      </w:r>
    </w:p>
    <w:tbl>
      <w:tblPr>
        <w:tblW w:w="10205" w:type="dxa"/>
        <w:jc w:val="center"/>
        <w:tblInd w:w="0" w:type="dxa"/>
        <w:tblLayout w:type="fixed"/>
        <w:tblCellMar>
          <w:top w:w="28" w:type="dxa"/>
          <w:left w:w="28" w:type="dxa"/>
          <w:bottom w:w="28" w:type="dxa"/>
          <w:right w:w="28" w:type="dxa"/>
        </w:tblCellMar>
      </w:tblPr>
      <w:tblGrid>
        <w:gridCol w:w="1807"/>
        <w:gridCol w:w="1584"/>
        <w:gridCol w:w="1592"/>
        <w:gridCol w:w="109"/>
        <w:gridCol w:w="109"/>
        <w:gridCol w:w="109"/>
        <w:gridCol w:w="269"/>
        <w:gridCol w:w="1057"/>
        <w:gridCol w:w="139"/>
        <w:gridCol w:w="109"/>
        <w:gridCol w:w="109"/>
        <w:gridCol w:w="109"/>
        <w:gridCol w:w="269"/>
        <w:gridCol w:w="1057"/>
        <w:gridCol w:w="139"/>
        <w:gridCol w:w="109"/>
        <w:gridCol w:w="109"/>
        <w:gridCol w:w="109"/>
        <w:gridCol w:w="231"/>
        <w:gridCol w:w="906"/>
        <w:gridCol w:w="174"/>
      </w:tblGrid>
      <w:tr>
        <w:trPr/>
        <w:tc>
          <w:tcPr>
            <w:tcW w:w="180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amounts included in the measurement of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cash flows from operating leases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For fiscal 2023, excludes cash paid for variable and short-term lease costs of $919.0 million and $88.0 million, respectively, that are not included within the measurement of lease liabilities. For fiscal 2022, excludes cash paid for variable and short-term lease costs of $734.2 million and $71.7 million, respectively, that are not included within the measurement of lease liabilities. For fiscal 2021, excludes cash paid for variable and short-term lease costs of $304.5 million and $48.3 million, respectively, that are not included within the measurement of lease liabilities.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S-34</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leases as of September 29, 2023 are as follows (in thousands):</w:t>
      </w:r>
    </w:p>
    <w:tbl>
      <w:tblPr>
        <w:tblW w:w="7476" w:type="dxa"/>
        <w:jc w:val="left"/>
        <w:tblInd w:w="0" w:type="dxa"/>
        <w:tblLayout w:type="fixed"/>
        <w:tblCellMar>
          <w:top w:w="28" w:type="dxa"/>
          <w:left w:w="28" w:type="dxa"/>
          <w:bottom w:w="28" w:type="dxa"/>
          <w:right w:w="28" w:type="dxa"/>
        </w:tblCellMar>
      </w:tblPr>
      <w:tblGrid>
        <w:gridCol w:w="1150"/>
        <w:gridCol w:w="1008"/>
        <w:gridCol w:w="1022"/>
        <w:gridCol w:w="240"/>
        <w:gridCol w:w="941"/>
        <w:gridCol w:w="124"/>
        <w:gridCol w:w="109"/>
        <w:gridCol w:w="109"/>
        <w:gridCol w:w="109"/>
        <w:gridCol w:w="211"/>
        <w:gridCol w:w="826"/>
        <w:gridCol w:w="109"/>
        <w:gridCol w:w="109"/>
        <w:gridCol w:w="109"/>
        <w:gridCol w:w="109"/>
        <w:gridCol w:w="211"/>
        <w:gridCol w:w="82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NOTE 9. EMPLOYEE PENSION AND PROFIT SHARING PLANS:</w:t>
      </w:r>
    </w:p>
    <w:p>
      <w:pPr>
        <w:pStyle w:val="TextBody"/>
        <w:bidi w:val="0"/>
        <w:spacing w:lineRule="auto" w:line="288" w:before="100" w:after="60"/>
        <w:jc w:val="left"/>
        <w:rPr/>
      </w:pPr>
      <w:r>
        <w:rPr>
          <w:rFonts w:ascii="Times New Roman;sans-serif" w:hAnsi="Times New Roman;sans-serif"/>
          <w:b w:val="false"/>
          <w:color w:val="000000"/>
          <w:sz w:val="20"/>
        </w:rPr>
        <w:t xml:space="preserve">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fiscal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 xml:space="preserve">and fiscal </w:t>
      </w:r>
      <w:r>
        <w:rPr>
          <w:rFonts w:ascii="Times New Roman;sans-serif" w:hAnsi="Times New Roman;sans-serif"/>
          <w:b w:val="false"/>
          <w:color w:val="000000"/>
          <w:sz w:val="20"/>
          <w:shd w:fill="FFFFFF" w:val="clear"/>
        </w:rPr>
        <w:t>2021</w:t>
      </w:r>
      <w:r>
        <w:rPr>
          <w:color w:val="000000"/>
        </w:rPr>
        <w:t xml:space="preserve"> </w:t>
      </w:r>
      <w:r>
        <w:rPr>
          <w:rFonts w:ascii="Times New Roman;sans-serif" w:hAnsi="Times New Roman;sans-serif"/>
          <w:b w:val="false"/>
          <w:color w:val="000000"/>
          <w:sz w:val="20"/>
        </w:rPr>
        <w:t>was $30.3 million, $28.6 million and $28.1 million, respectively. The Company also maintains similar contributory and non-contributory defined contribution retirement plans at several of its international operations, primarily in Canada and the United Kingdom. The total expense of these international plans for fiscal 2023, fiscal 2022 and fiscal 2021 was $15.3 million, $15.1 million and $15.2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periodic pension cost for the Company's single-employer defined benefit pension plans for fiscal 2023, fiscal 2022 and fiscal 2021 (in thousands):</w:t>
      </w:r>
    </w:p>
    <w:tbl>
      <w:tblPr>
        <w:tblW w:w="8688" w:type="dxa"/>
        <w:jc w:val="left"/>
        <w:tblInd w:w="0" w:type="dxa"/>
        <w:tblLayout w:type="fixed"/>
        <w:tblCellMar>
          <w:top w:w="28" w:type="dxa"/>
          <w:left w:w="28" w:type="dxa"/>
          <w:bottom w:w="28" w:type="dxa"/>
          <w:right w:w="28" w:type="dxa"/>
        </w:tblCellMar>
      </w:tblPr>
      <w:tblGrid>
        <w:gridCol w:w="1188"/>
        <w:gridCol w:w="1044"/>
        <w:gridCol w:w="1052"/>
        <w:gridCol w:w="109"/>
        <w:gridCol w:w="109"/>
        <w:gridCol w:w="109"/>
        <w:gridCol w:w="398"/>
        <w:gridCol w:w="940"/>
        <w:gridCol w:w="206"/>
        <w:gridCol w:w="109"/>
        <w:gridCol w:w="109"/>
        <w:gridCol w:w="109"/>
        <w:gridCol w:w="348"/>
        <w:gridCol w:w="1017"/>
        <w:gridCol w:w="180"/>
        <w:gridCol w:w="109"/>
        <w:gridCol w:w="109"/>
        <w:gridCol w:w="109"/>
        <w:gridCol w:w="259"/>
        <w:gridCol w:w="886"/>
        <w:gridCol w:w="189"/>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Settlements and curtailments</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During fiscal 2021, the Company terminated certain Canadian single-employer defined benefit pension plans and recognized a non-cash loss of $60.9 million on the Consolidated Statements of Income (Loss).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S-35</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The following table sets forth changes in the projected benefit obligation and the fair value of plan assets for these plans (in thousands):</w:t>
      </w:r>
      <w:r>
        <w:rPr>
          <w:color w:val="000000"/>
        </w:rPr>
        <w:t> </w:t>
      </w:r>
    </w:p>
    <w:tbl>
      <w:tblPr>
        <w:tblW w:w="6772" w:type="dxa"/>
        <w:jc w:val="left"/>
        <w:tblInd w:w="0" w:type="dxa"/>
        <w:tblLayout w:type="fixed"/>
        <w:tblCellMar>
          <w:top w:w="28" w:type="dxa"/>
          <w:left w:w="28" w:type="dxa"/>
          <w:bottom w:w="28" w:type="dxa"/>
          <w:right w:w="28" w:type="dxa"/>
        </w:tblCellMar>
      </w:tblPr>
      <w:tblGrid>
        <w:gridCol w:w="1079"/>
        <w:gridCol w:w="951"/>
        <w:gridCol w:w="954"/>
        <w:gridCol w:w="109"/>
        <w:gridCol w:w="109"/>
        <w:gridCol w:w="109"/>
        <w:gridCol w:w="284"/>
        <w:gridCol w:w="1114"/>
        <w:gridCol w:w="147"/>
        <w:gridCol w:w="109"/>
        <w:gridCol w:w="109"/>
        <w:gridCol w:w="109"/>
        <w:gridCol w:w="281"/>
        <w:gridCol w:w="1103"/>
        <w:gridCol w:w="205"/>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on the Consolidated Balance Sheets consist of the following (in thousands):</w:t>
      </w:r>
    </w:p>
    <w:tbl>
      <w:tblPr>
        <w:tblW w:w="10205" w:type="dxa"/>
        <w:jc w:val="center"/>
        <w:tblInd w:w="0" w:type="dxa"/>
        <w:tblLayout w:type="fixed"/>
        <w:tblCellMar>
          <w:top w:w="28" w:type="dxa"/>
          <w:left w:w="28" w:type="dxa"/>
          <w:bottom w:w="28" w:type="dxa"/>
          <w:right w:w="28" w:type="dxa"/>
        </w:tblCellMar>
      </w:tblPr>
      <w:tblGrid>
        <w:gridCol w:w="2361"/>
        <w:gridCol w:w="2058"/>
        <w:gridCol w:w="2064"/>
        <w:gridCol w:w="109"/>
        <w:gridCol w:w="109"/>
        <w:gridCol w:w="109"/>
        <w:gridCol w:w="306"/>
        <w:gridCol w:w="1046"/>
        <w:gridCol w:w="157"/>
        <w:gridCol w:w="109"/>
        <w:gridCol w:w="109"/>
        <w:gridCol w:w="109"/>
        <w:gridCol w:w="302"/>
        <w:gridCol w:w="1033"/>
        <w:gridCol w:w="224"/>
      </w:tblGrid>
      <w:tr>
        <w:trPr/>
        <w:tc>
          <w:tcPr>
            <w:tcW w:w="236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benefit asset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benefit liability (included in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 (included in Accumulated other comprehensive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pension expense of the respective fiscal years:</w:t>
      </w:r>
    </w:p>
    <w:tbl>
      <w:tblPr>
        <w:tblW w:w="6609" w:type="dxa"/>
        <w:jc w:val="center"/>
        <w:tblInd w:w="0" w:type="dxa"/>
        <w:tblLayout w:type="fixed"/>
        <w:tblCellMar>
          <w:top w:w="28" w:type="dxa"/>
          <w:left w:w="28" w:type="dxa"/>
          <w:bottom w:w="28" w:type="dxa"/>
          <w:right w:w="28" w:type="dxa"/>
        </w:tblCellMar>
      </w:tblPr>
      <w:tblGrid>
        <w:gridCol w:w="1020"/>
        <w:gridCol w:w="895"/>
        <w:gridCol w:w="905"/>
        <w:gridCol w:w="109"/>
        <w:gridCol w:w="109"/>
        <w:gridCol w:w="109"/>
        <w:gridCol w:w="344"/>
        <w:gridCol w:w="344"/>
        <w:gridCol w:w="857"/>
        <w:gridCol w:w="109"/>
        <w:gridCol w:w="109"/>
        <w:gridCol w:w="109"/>
        <w:gridCol w:w="323"/>
        <w:gridCol w:w="323"/>
        <w:gridCol w:w="944"/>
      </w:tblGrid>
      <w:tr>
        <w:trPr/>
        <w:tc>
          <w:tcPr>
            <w:tcW w:w="10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rate of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funded status of the respective fiscal years:</w:t>
      </w:r>
    </w:p>
    <w:tbl>
      <w:tblPr>
        <w:tblW w:w="6383" w:type="dxa"/>
        <w:jc w:val="center"/>
        <w:tblInd w:w="0" w:type="dxa"/>
        <w:tblLayout w:type="fixed"/>
        <w:tblCellMar>
          <w:top w:w="28" w:type="dxa"/>
          <w:left w:w="28" w:type="dxa"/>
          <w:bottom w:w="28" w:type="dxa"/>
          <w:right w:w="28" w:type="dxa"/>
        </w:tblCellMar>
      </w:tblPr>
      <w:tblGrid>
        <w:gridCol w:w="938"/>
        <w:gridCol w:w="823"/>
        <w:gridCol w:w="833"/>
        <w:gridCol w:w="109"/>
        <w:gridCol w:w="109"/>
        <w:gridCol w:w="109"/>
        <w:gridCol w:w="344"/>
        <w:gridCol w:w="344"/>
        <w:gridCol w:w="857"/>
        <w:gridCol w:w="109"/>
        <w:gridCol w:w="109"/>
        <w:gridCol w:w="109"/>
        <w:gridCol w:w="323"/>
        <w:gridCol w:w="323"/>
        <w:gridCol w:w="944"/>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Assumptions, including discount rate, expected return on assets, compensation increases and health care trends, are adjusted annually, as necessary, based on prevailing market conditions and actual experience. The Company applies a spot-rate approach for the discount rate used in the calculation of pension interest and service cost. The spot-rate approach applies separate discount rates for each projected benefit payment in the calculation.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as of September 29, 2023 was $120.5 million. During fiscal 2023, actuarial losses of $7.1 million were recognized in other comprehensive income (before taxes) and $0.4 million of actuarial losses were recognized as net periodic pension cost during such period.</w:t>
      </w:r>
    </w:p>
    <w:p>
      <w:pPr>
        <w:pStyle w:val="TextBody"/>
        <w:bidi w:val="0"/>
        <w:spacing w:lineRule="auto" w:line="288" w:before="100" w:after="60"/>
        <w:jc w:val="left"/>
        <w:rPr/>
      </w:pPr>
      <w:r>
        <w:rPr>
          <w:rFonts w:ascii="Times New Roman;sans-serif" w:hAnsi="Times New Roman;sans-serif"/>
          <w:b w:val="false"/>
          <w:color w:val="000000"/>
          <w:sz w:val="20"/>
        </w:rPr>
        <w:t xml:space="preserve">The accumulated benefit obligation as of </w:t>
      </w:r>
      <w:r>
        <w:rPr>
          <w:rFonts w:ascii="Times New Roman;sans-serif" w:hAnsi="Times New Roman;sans-serif"/>
          <w:b w:val="false"/>
          <w:color w:val="000000"/>
          <w:sz w:val="20"/>
          <w:shd w:fill="FFFFFF" w:val="clear"/>
        </w:rPr>
        <w:t>September 30, 2022</w:t>
      </w:r>
      <w:r>
        <w:rPr>
          <w:color w:val="000000"/>
        </w:rPr>
        <w:t xml:space="preserve"> </w:t>
      </w:r>
      <w:r>
        <w:rPr>
          <w:rFonts w:ascii="Times New Roman;sans-serif" w:hAnsi="Times New Roman;sans-serif"/>
          <w:b w:val="false"/>
          <w:color w:val="000000"/>
          <w:sz w:val="20"/>
        </w:rPr>
        <w:t xml:space="preserve">was $122.5 million. During fiscal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actuarial gains of $14.6 million were recognized in other comprehensive income (before taxes) and $4.6 million of actuarial losses were recognized as net periodic pension cost during such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605" cy="14605"/>
                <wp:effectExtent l="0" t="0" r="0" b="0"/>
                <wp:wrapNone/>
                <wp:docPr id="90" name="Frame8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S-36</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The following table sets forth information for the Company's single-employer pension plans with an accumulated benefit obligation in excess of plan assets as of </w:t>
      </w:r>
      <w:r>
        <w:rPr>
          <w:rFonts w:ascii="Times New Roman;sans-serif" w:hAnsi="Times New Roman;sans-serif"/>
          <w:b w:val="false"/>
          <w:color w:val="000000"/>
          <w:sz w:val="20"/>
          <w:shd w:fill="FFFFFF" w:val="clear"/>
        </w:rPr>
        <w:t>September 29,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September 30, 2022</w:t>
      </w:r>
      <w:r>
        <w:rPr>
          <w:color w:val="000000"/>
        </w:rPr>
        <w:t xml:space="preserve"> </w:t>
      </w:r>
      <w:r>
        <w:rPr>
          <w:rFonts w:ascii="Times New Roman;sans-serif" w:hAnsi="Times New Roman;sans-serif"/>
          <w:b w:val="false"/>
          <w:color w:val="000000"/>
          <w:sz w:val="20"/>
        </w:rPr>
        <w:t>(in thousands):</w:t>
      </w:r>
    </w:p>
    <w:tbl>
      <w:tblPr>
        <w:tblW w:w="6503" w:type="dxa"/>
        <w:jc w:val="left"/>
        <w:tblInd w:w="0" w:type="dxa"/>
        <w:tblLayout w:type="fixed"/>
        <w:tblCellMar>
          <w:top w:w="28" w:type="dxa"/>
          <w:left w:w="28" w:type="dxa"/>
          <w:bottom w:w="28" w:type="dxa"/>
          <w:right w:w="28" w:type="dxa"/>
        </w:tblCellMar>
      </w:tblPr>
      <w:tblGrid>
        <w:gridCol w:w="982"/>
        <w:gridCol w:w="865"/>
        <w:gridCol w:w="867"/>
        <w:gridCol w:w="109"/>
        <w:gridCol w:w="109"/>
        <w:gridCol w:w="109"/>
        <w:gridCol w:w="348"/>
        <w:gridCol w:w="1017"/>
        <w:gridCol w:w="180"/>
        <w:gridCol w:w="109"/>
        <w:gridCol w:w="109"/>
        <w:gridCol w:w="109"/>
        <w:gridCol w:w="342"/>
        <w:gridCol w:w="999"/>
        <w:gridCol w:w="249"/>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Assets of the plans are generally invested with the goal of principal preservation and enhancement over the long-term. The primary goal is total return, consistent with prudent investment management. The Company's investment policies also require an appropriate level of diversification across the asset categories. As the Company contemplates or moves toward the wind down of plans, it has shifted toward a more conservative investment approach with a higher proportion of fixed income and cash investments to ensure adequate liquidity at the time of wind down. The current overall capital structure and targeted ranges for asset classes are 5-15% invested in equity securities, 75-95% invested in debt securities and 0-10% in real estate investments and cash and cash equivalents. Performance of the plans is monitored on a regular basis and adjustments of the asset allocations are made when deemed necessary.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long-term rate of return on assets has been determined based on an estimated weighted-average of long-term returns of major asset classes, taking into account historical performance of plan assets, the current interest rate environment, plan demographics, acceptable risk levels and the estimated value of active asset management.</w:t>
      </w:r>
    </w:p>
    <w:p>
      <w:pPr>
        <w:pStyle w:val="TextBody"/>
        <w:bidi w:val="0"/>
        <w:spacing w:lineRule="auto" w:line="288" w:before="100" w:after="60"/>
        <w:jc w:val="left"/>
        <w:rPr/>
      </w:pPr>
      <w:r>
        <w:rPr>
          <w:rFonts w:ascii="Times New Roman;sans-serif" w:hAnsi="Times New Roman;sans-serif"/>
          <w:b w:val="false"/>
          <w:color w:val="000000"/>
          <w:sz w:val="20"/>
        </w:rPr>
        <w:t xml:space="preserve">The fair value of plan assets for the Company's defined benefit pension plans as of </w:t>
      </w:r>
      <w:r>
        <w:rPr>
          <w:rFonts w:ascii="Times New Roman;sans-serif" w:hAnsi="Times New Roman;sans-serif"/>
          <w:b w:val="false"/>
          <w:color w:val="000000"/>
          <w:sz w:val="20"/>
          <w:shd w:fill="FFFFFF" w:val="clear"/>
        </w:rPr>
        <w:t>September 29,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September 30, 2022</w:t>
      </w:r>
      <w:r>
        <w:rPr>
          <w:color w:val="000000"/>
        </w:rPr>
        <w:t xml:space="preserve"> </w:t>
      </w:r>
      <w:r>
        <w:rPr>
          <w:rFonts w:ascii="Times New Roman;sans-serif" w:hAnsi="Times New Roman;sans-serif"/>
          <w:b w:val="false"/>
          <w:color w:val="000000"/>
          <w:sz w:val="20"/>
        </w:rPr>
        <w:t>is as follows (see Note 16 for a description of the fair value levels) (in thousands):</w:t>
      </w:r>
    </w:p>
    <w:tbl>
      <w:tblPr>
        <w:tblW w:w="10205" w:type="dxa"/>
        <w:jc w:val="left"/>
        <w:tblInd w:w="0" w:type="dxa"/>
        <w:tblLayout w:type="fixed"/>
        <w:tblCellMar>
          <w:top w:w="28" w:type="dxa"/>
          <w:left w:w="28" w:type="dxa"/>
          <w:bottom w:w="28" w:type="dxa"/>
          <w:right w:w="28" w:type="dxa"/>
        </w:tblCellMar>
      </w:tblPr>
      <w:tblGrid>
        <w:gridCol w:w="606"/>
        <w:gridCol w:w="532"/>
        <w:gridCol w:w="535"/>
        <w:gridCol w:w="109"/>
        <w:gridCol w:w="109"/>
        <w:gridCol w:w="109"/>
        <w:gridCol w:w="248"/>
        <w:gridCol w:w="972"/>
        <w:gridCol w:w="128"/>
        <w:gridCol w:w="109"/>
        <w:gridCol w:w="109"/>
        <w:gridCol w:w="109"/>
        <w:gridCol w:w="374"/>
        <w:gridCol w:w="1285"/>
        <w:gridCol w:w="195"/>
        <w:gridCol w:w="109"/>
        <w:gridCol w:w="109"/>
        <w:gridCol w:w="109"/>
        <w:gridCol w:w="368"/>
        <w:gridCol w:w="1446"/>
        <w:gridCol w:w="192"/>
        <w:gridCol w:w="109"/>
        <w:gridCol w:w="109"/>
        <w:gridCol w:w="109"/>
        <w:gridCol w:w="432"/>
        <w:gridCol w:w="1262"/>
        <w:gridCol w:w="322"/>
      </w:tblGrid>
      <w:tr>
        <w:trPr/>
        <w:tc>
          <w:tcPr>
            <w:tcW w:w="60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143,310 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investment funds is based on the value of the underlying assets, as reported to the Plan by the trustees. They are comprised of a portfolio of underlying securities that can be valued based on trading information on active markets.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direct cash holdings, which are valued based on cost, and short-term deposits and investments in money market funds, for which fair value measurements are all based on quoted prices for similar assets or liabilities in markets that are active. Investments in equity securities and equity funds include publicly-traded international companies that are diversified across industry, country and stock market capitalization. Investments in fixed income funds primarily consist of international corporate bonds and government securities. For equity securities, the investments are predominantly valued using a market approach based on the closing fair market prices of identical instruments in the principal market on which they are traded. For investment funds, fair value is calculated by applying the Plan's percentage ownership in the fund to the total market value of the account's underlying securities and is therefore categorized as Level 2, as the Plan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S-37</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directly own shares in these underlying investments. Substantially all of the real estate investments are in international markets.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It is the Company's policy to fund at least the minimum required contributions as outlined in the required statutory actuarial valuation for each plan. The following table sets forth the benefits expected to be paid in the next five fiscal years and in aggregate for the five fiscal years thereafter by the Company's defined benefit pension plans (in thousands):</w:t>
      </w:r>
    </w:p>
    <w:tbl>
      <w:tblPr>
        <w:tblW w:w="2661" w:type="dxa"/>
        <w:jc w:val="center"/>
        <w:tblInd w:w="0" w:type="dxa"/>
        <w:tblLayout w:type="fixed"/>
        <w:tblCellMar>
          <w:top w:w="28" w:type="dxa"/>
          <w:left w:w="28" w:type="dxa"/>
          <w:bottom w:w="28" w:type="dxa"/>
          <w:right w:w="28" w:type="dxa"/>
        </w:tblCellMar>
      </w:tblPr>
      <w:tblGrid>
        <w:gridCol w:w="606"/>
        <w:gridCol w:w="534"/>
        <w:gridCol w:w="540"/>
        <w:gridCol w:w="211"/>
        <w:gridCol w:w="61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2029 – 2033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benefit payments above are based on assumptions about future events. Actual benefit payments may vary significantly from these estimates.</w:t>
      </w:r>
    </w:p>
    <w:p>
      <w:pPr>
        <w:pStyle w:val="TextBody"/>
        <w:bidi w:val="0"/>
        <w:spacing w:lineRule="auto" w:line="288" w:before="100" w:after="60"/>
        <w:jc w:val="left"/>
        <w:rPr/>
      </w:pPr>
      <w:r>
        <w:rPr>
          <w:rFonts w:ascii="Times New Roman;sans-serif" w:hAnsi="Times New Roman;sans-serif"/>
          <w:b w:val="false"/>
          <w:color w:val="000000"/>
          <w:sz w:val="20"/>
        </w:rPr>
        <w:t xml:space="preserve">The expected contributions to be paid to the Company's defined benefit pension plans during fiscal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are approximately $1.0 million.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Multiemployer Defined Benefit Pension Plans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pStyle w:val="TextBody"/>
        <w:bidi w:val="0"/>
        <w:spacing w:lineRule="auto" w:line="288" w:before="10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a.Assets contributed to the multiemployer plan by one employer may be used to provide benefits to employees of other participating employers.</w:t>
      </w:r>
    </w:p>
    <w:p>
      <w:pPr>
        <w:pStyle w:val="TextBody"/>
        <w:bidi w:val="0"/>
        <w:spacing w:lineRule="auto" w:line="288" w:before="10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b.If a participating employer stops contributing to the plan, the unfunded obligations of the plan may be borne by the remaining participating employers.</w:t>
      </w:r>
    </w:p>
    <w:p>
      <w:pPr>
        <w:pStyle w:val="TextBody"/>
        <w:bidi w:val="0"/>
        <w:spacing w:lineRule="auto" w:line="288" w:before="10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c.If the Company chooses to stop participating in some of its multiemployer plans, the Company may be required to pay those plans an amount based on the underfunded status of the plan, referred to as a withdrawal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S-38</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pPr>
      <w:r>
        <w:rPr>
          <w:rFonts w:ascii="Times New Roman;sans-serif" w:hAnsi="Times New Roman;sans-serif"/>
          <w:b w:val="false"/>
          <w:color w:val="000000"/>
          <w:sz w:val="20"/>
        </w:rPr>
        <w:t xml:space="preserve">The Company's participation in these plans for fiscal </w:t>
      </w:r>
      <w:r>
        <w:rPr>
          <w:rFonts w:ascii="Times New Roman;sans-serif" w:hAnsi="Times New Roman;sans-serif"/>
          <w:b w:val="false"/>
          <w:color w:val="000000"/>
          <w:sz w:val="20"/>
          <w:shd w:fill="FFFFFF" w:val="clear"/>
        </w:rPr>
        <w:t>2023</w:t>
      </w:r>
      <w:r>
        <w:rPr>
          <w:color w:val="000000"/>
        </w:rPr>
        <w:t xml:space="preserve"> </w:t>
      </w:r>
      <w:r>
        <w:rPr>
          <w:rFonts w:ascii="Times New Roman;sans-serif" w:hAnsi="Times New Roman;sans-serif"/>
          <w:b w:val="false"/>
          <w:color w:val="000000"/>
          <w:sz w:val="20"/>
        </w:rPr>
        <w:t xml:space="preserve">is outlined in the table below. The "EIN/Pension Plan Number" column provides the Employee Identification Number (EIN) and the three-digit plan number, if applicable. Unless otherwise noted, the most recent Pension Protection Act (PPA) zone status available in 2023 and 2022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and plans in the critical zone are generally less than 65% funded.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2023, fiscal 2022 and fiscal 2021 contributions. </w:t>
      </w:r>
    </w:p>
    <w:tbl>
      <w:tblPr>
        <w:tblW w:w="10205" w:type="dxa"/>
        <w:jc w:val="center"/>
        <w:tblInd w:w="0" w:type="dxa"/>
        <w:tblLayout w:type="fixed"/>
        <w:tblCellMar>
          <w:top w:w="28" w:type="dxa"/>
          <w:left w:w="28" w:type="dxa"/>
          <w:bottom w:w="28" w:type="dxa"/>
          <w:right w:w="28" w:type="dxa"/>
        </w:tblCellMar>
      </w:tblPr>
      <w:tblGrid>
        <w:gridCol w:w="720"/>
        <w:gridCol w:w="443"/>
        <w:gridCol w:w="447"/>
        <w:gridCol w:w="332"/>
        <w:gridCol w:w="251"/>
        <w:gridCol w:w="252"/>
        <w:gridCol w:w="347"/>
        <w:gridCol w:w="301"/>
        <w:gridCol w:w="217"/>
        <w:gridCol w:w="347"/>
        <w:gridCol w:w="300"/>
        <w:gridCol w:w="219"/>
        <w:gridCol w:w="570"/>
        <w:gridCol w:w="314"/>
        <w:gridCol w:w="315"/>
        <w:gridCol w:w="196"/>
        <w:gridCol w:w="646"/>
        <w:gridCol w:w="109"/>
        <w:gridCol w:w="196"/>
        <w:gridCol w:w="646"/>
        <w:gridCol w:w="109"/>
        <w:gridCol w:w="196"/>
        <w:gridCol w:w="646"/>
        <w:gridCol w:w="109"/>
        <w:gridCol w:w="285"/>
        <w:gridCol w:w="285"/>
        <w:gridCol w:w="286"/>
        <w:gridCol w:w="325"/>
        <w:gridCol w:w="325"/>
        <w:gridCol w:w="471"/>
      </w:tblGrid>
      <w:tr>
        <w:trPr/>
        <w:tc>
          <w:tcPr>
            <w:tcW w:w="72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w:t>
              <w:br/>
              <w:t>Fund</w:t>
            </w:r>
          </w:p>
        </w:tc>
        <w:tc>
          <w:tcPr>
            <w:tcW w:w="8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EIN/Pension</w:t>
              <w:br/>
              <w:t>Plan Number</w:t>
            </w:r>
          </w:p>
        </w:tc>
        <w:tc>
          <w:tcPr>
            <w:tcW w:w="17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Protection</w:t>
              <w:br/>
              <w:t>Act Zone Status</w:t>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FIP/RP Status Pending/ Implemented</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Contributions by the Company</w:t>
              <w:br/>
              <w:t>(in thousands)</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 of Expiration Dates of CBAs</w:t>
            </w:r>
          </w:p>
        </w:tc>
      </w:tr>
      <w:tr>
        <w:trPr/>
        <w:tc>
          <w:tcPr>
            <w:tcW w:w="1610" w:type="dxa"/>
            <w:gridSpan w:val="3"/>
            <w:vMerge w:val="continue"/>
            <w:tcBorders/>
            <w:tcMar>
              <w:top w:w="0" w:type="dxa"/>
              <w:left w:w="0" w:type="dxa"/>
              <w:bottom w:w="0" w:type="dxa"/>
              <w:right w:w="0" w:type="dxa"/>
            </w:tcMar>
            <w:vAlign w:val="center"/>
          </w:tcPr>
          <w:p>
            <w:pPr>
              <w:pStyle w:val="Normal"/>
              <w:bidi w:val="0"/>
              <w:jc w:val="left"/>
              <w:rPr/>
            </w:pPr>
            <w:r>
              <w:rPr/>
            </w:r>
          </w:p>
        </w:tc>
        <w:tc>
          <w:tcPr>
            <w:tcW w:w="835" w:type="dxa"/>
            <w:gridSpan w:val="3"/>
            <w:vMerge w:val="continue"/>
            <w:tcBorders/>
            <w:tcMar>
              <w:top w:w="0" w:type="dxa"/>
              <w:left w:w="0" w:type="dxa"/>
              <w:bottom w:w="0" w:type="dxa"/>
              <w:right w:w="0" w:type="dxa"/>
            </w:tcMar>
            <w:vAlign w:val="center"/>
          </w:tcPr>
          <w:p>
            <w:pPr>
              <w:pStyle w:val="Normal"/>
              <w:bidi w:val="0"/>
              <w:jc w:val="left"/>
              <w:rPr/>
            </w:pPr>
            <w:r>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Surcharge</w:t>
              <w:br/>
              <w:t>Imposed</w:t>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National Retirement Fund</w:t>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13-6130178/ 001</w:t>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w:t>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8/4/2023 - 8/28/2026</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 HERE Retirement Fund</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82-0994119/ 001</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12/31/2022 - 1/1/2026</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Local 1102 Retirement Trust</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13-1847329/ 001</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9/30/2024</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Central States SE and SW Areas Pension Plan</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36-6044243/ 001</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3/8/2024 - 9/22/2028</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Plan for Hospital &amp; Health Care Employees Philadelphia &amp; Vicinity</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23-2627428/ 001</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1/31/2023</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SEIU National Industry Pension Fund </w:t>
            </w:r>
            <w:r>
              <w:rPr>
                <w:rFonts w:ascii="Times New Roman;sans-serif" w:hAnsi="Times New Roman;sans-serif"/>
                <w:b w:val="false"/>
                <w:color w:val="000000"/>
                <w:sz w:val="10"/>
              </w:rPr>
              <w:t>(1)</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52-6148540/ 001</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3/31/2021 - 6/30/2025</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 Wholesale &amp; Department Store International Union and Industry Pension Fund</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63-0708442/ 001</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Critical and Declining</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7/5/2023 - 5/31/2027</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funds</w:t>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contributions</w:t>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02" w:type="dxa"/>
        <w:jc w:val="center"/>
        <w:tblInd w:w="0" w:type="dxa"/>
        <w:tblLayout w:type="fixed"/>
        <w:tblCellMar>
          <w:top w:w="28" w:type="dxa"/>
          <w:left w:w="28" w:type="dxa"/>
          <w:bottom w:w="28" w:type="dxa"/>
          <w:right w:w="28" w:type="dxa"/>
        </w:tblCellMar>
      </w:tblPr>
      <w:tblGrid>
        <w:gridCol w:w="124"/>
        <w:gridCol w:w="109"/>
        <w:gridCol w:w="109"/>
        <w:gridCol w:w="378"/>
        <w:gridCol w:w="378"/>
        <w:gridCol w:w="378"/>
        <w:gridCol w:w="378"/>
        <w:gridCol w:w="378"/>
        <w:gridCol w:w="378"/>
        <w:gridCol w:w="378"/>
        <w:gridCol w:w="378"/>
        <w:gridCol w:w="378"/>
        <w:gridCol w:w="378"/>
        <w:gridCol w:w="378"/>
        <w:gridCol w:w="378"/>
        <w:gridCol w:w="378"/>
        <w:gridCol w:w="378"/>
        <w:gridCol w:w="378"/>
        <w:gridCol w:w="378"/>
        <w:gridCol w:w="378"/>
        <w:gridCol w:w="5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6960"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Approximately 50% of the Company's participants in this fund are covered by a single CBA that expires on 4/14/2025.</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provided more than 5 percent of the total contributions for the following plans and plan years: </w:t>
      </w:r>
    </w:p>
    <w:tbl>
      <w:tblPr>
        <w:tblW w:w="10205" w:type="dxa"/>
        <w:jc w:val="left"/>
        <w:tblInd w:w="0" w:type="dxa"/>
        <w:tblLayout w:type="fixed"/>
        <w:tblCellMar>
          <w:top w:w="28" w:type="dxa"/>
          <w:left w:w="28" w:type="dxa"/>
          <w:bottom w:w="28" w:type="dxa"/>
          <w:right w:w="28" w:type="dxa"/>
        </w:tblCellMar>
      </w:tblPr>
      <w:tblGrid>
        <w:gridCol w:w="1630"/>
        <w:gridCol w:w="1357"/>
        <w:gridCol w:w="1377"/>
        <w:gridCol w:w="109"/>
        <w:gridCol w:w="109"/>
        <w:gridCol w:w="109"/>
        <w:gridCol w:w="1614"/>
        <w:gridCol w:w="1614"/>
        <w:gridCol w:w="2286"/>
      </w:tblGrid>
      <w:tr>
        <w:trPr/>
        <w:tc>
          <w:tcPr>
            <w:tcW w:w="163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w:t>
              <w:br/>
              <w:t>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Contributions to the plan exceeded more than 5% of total contributions (as of the plan's year-end)</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Local 1102 Retirement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12/31/2022, 12/31/2021 and 12/31/2020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National Retirement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12/31/2022 and 12/31/2020</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 Wholesale &amp; Department Store International Union and Industry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12/31/2022, 12/31/2021 and 12/31/2020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Plan for Hospital &amp; Health Care Employees Philadelphia &amp; Vicinity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12/31/2022</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At the date the Company's financial statements were issued, Forms 5500 were not available for the plan years ending in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Under this method, the Provision (Benefit) for Income Taxes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("DTAs") when it is more likely than not that a tax benefit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S-39</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(Loss) Before Income Taxes by source of income (loss) are as follows (in thousands):</w:t>
      </w:r>
    </w:p>
    <w:tbl>
      <w:tblPr>
        <w:tblW w:w="7174" w:type="dxa"/>
        <w:jc w:val="left"/>
        <w:tblInd w:w="0" w:type="dxa"/>
        <w:tblLayout w:type="fixed"/>
        <w:tblCellMar>
          <w:top w:w="28" w:type="dxa"/>
          <w:left w:w="28" w:type="dxa"/>
          <w:bottom w:w="28" w:type="dxa"/>
          <w:right w:w="28" w:type="dxa"/>
        </w:tblCellMar>
      </w:tblPr>
      <w:tblGrid>
        <w:gridCol w:w="642"/>
        <w:gridCol w:w="562"/>
        <w:gridCol w:w="565"/>
        <w:gridCol w:w="109"/>
        <w:gridCol w:w="109"/>
        <w:gridCol w:w="109"/>
        <w:gridCol w:w="284"/>
        <w:gridCol w:w="1114"/>
        <w:gridCol w:w="147"/>
        <w:gridCol w:w="109"/>
        <w:gridCol w:w="109"/>
        <w:gridCol w:w="109"/>
        <w:gridCol w:w="284"/>
        <w:gridCol w:w="1114"/>
        <w:gridCol w:w="147"/>
        <w:gridCol w:w="109"/>
        <w:gridCol w:w="109"/>
        <w:gridCol w:w="109"/>
        <w:gridCol w:w="222"/>
        <w:gridCol w:w="950"/>
        <w:gridCol w:w="162"/>
      </w:tblGrid>
      <w:tr>
        <w:trPr/>
        <w:tc>
          <w:tcPr>
            <w:tcW w:w="6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391,460 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Non-United States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851,144 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255,638 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616" w:type="dxa"/>
        <w:jc w:val="left"/>
        <w:tblInd w:w="0" w:type="dxa"/>
        <w:tblLayout w:type="fixed"/>
        <w:tblCellMar>
          <w:top w:w="28" w:type="dxa"/>
          <w:left w:w="28" w:type="dxa"/>
          <w:bottom w:w="28" w:type="dxa"/>
          <w:right w:w="28" w:type="dxa"/>
        </w:tblCellMar>
      </w:tblPr>
      <w:tblGrid>
        <w:gridCol w:w="124"/>
        <w:gridCol w:w="109"/>
        <w:gridCol w:w="109"/>
        <w:gridCol w:w="1248"/>
        <w:gridCol w:w="1248"/>
        <w:gridCol w:w="17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Fiscal 2023 includes gains from sale of equity investments (see Note 1).</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consists of (in thousands):</w:t>
      </w:r>
    </w:p>
    <w:tbl>
      <w:tblPr>
        <w:tblW w:w="7009" w:type="dxa"/>
        <w:jc w:val="left"/>
        <w:tblInd w:w="0" w:type="dxa"/>
        <w:tblLayout w:type="fixed"/>
        <w:tblCellMar>
          <w:top w:w="28" w:type="dxa"/>
          <w:left w:w="28" w:type="dxa"/>
          <w:bottom w:w="28" w:type="dxa"/>
          <w:right w:w="28" w:type="dxa"/>
        </w:tblCellMar>
      </w:tblPr>
      <w:tblGrid>
        <w:gridCol w:w="579"/>
        <w:gridCol w:w="511"/>
        <w:gridCol w:w="515"/>
        <w:gridCol w:w="109"/>
        <w:gridCol w:w="109"/>
        <w:gridCol w:w="109"/>
        <w:gridCol w:w="284"/>
        <w:gridCol w:w="1114"/>
        <w:gridCol w:w="147"/>
        <w:gridCol w:w="109"/>
        <w:gridCol w:w="109"/>
        <w:gridCol w:w="109"/>
        <w:gridCol w:w="313"/>
        <w:gridCol w:w="1070"/>
        <w:gridCol w:w="161"/>
        <w:gridCol w:w="109"/>
        <w:gridCol w:w="109"/>
        <w:gridCol w:w="109"/>
        <w:gridCol w:w="242"/>
        <w:gridCol w:w="915"/>
        <w:gridCol w:w="177"/>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Federal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(40,633)</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77" w:type="dxa"/>
        <w:jc w:val="left"/>
        <w:tblInd w:w="0" w:type="dxa"/>
        <w:tblLayout w:type="fixed"/>
        <w:tblCellMar>
          <w:top w:w="28" w:type="dxa"/>
          <w:left w:w="28" w:type="dxa"/>
          <w:bottom w:w="28" w:type="dxa"/>
          <w:right w:w="28" w:type="dxa"/>
        </w:tblCellMar>
      </w:tblPr>
      <w:tblGrid>
        <w:gridCol w:w="124"/>
        <w:gridCol w:w="109"/>
        <w:gridCol w:w="109"/>
        <w:gridCol w:w="1796"/>
        <w:gridCol w:w="1796"/>
        <w:gridCol w:w="2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Fiscal 2023 increase in deferred tax expense is a result of the utilization of tax credit carryforward assets.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2021, the Current Provision (Benefit) for Income Taxes includes $16.7 million of tax expense related to an increase in unrecognized tax benefits, offset by a tax benefit of $13.8 million to the Deferred Provision (Benefit) for Income Taxes related to a corresponding decrease in deferred tax liabilities, resulting in a net tax expense to the "Provision (Benefit) for Income Taxes" on the Consolidated Statements of Income (Loss) of $2.9 million related to unrecognized tax benefits.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Current taxes receivable of $10.2 million and $10.8 million at September 29, 2023 and September 30, 2022, respectively, are included in "Prepayments and other current assets" on the Consolidated Balance Sheets. Current income taxes payable of $25.0 million and $2.6 million at September 29, 2023 and September 30, 2022, respectively, are included in "Accrued expenses and other current liabilities" on the Consolidated Balance Sheets. During fiscal 2021, the Company received $93.6 million of proceeds related to the fiscal 2020 income tax return from the net operating losses ("NOLs") generated in fiscal 2020 as a result of the CARES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S-40</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varies from the amount determined by applying the United States Federal statutory rate to Income (Loss) Before Income Taxes as a result of the following (all percentages are as a percentage of Income (Loss) Before Income Taxes):</w:t>
      </w:r>
    </w:p>
    <w:tbl>
      <w:tblPr>
        <w:tblW w:w="9767" w:type="dxa"/>
        <w:jc w:val="center"/>
        <w:tblInd w:w="0" w:type="dxa"/>
        <w:tblLayout w:type="fixed"/>
        <w:tblCellMar>
          <w:top w:w="28" w:type="dxa"/>
          <w:left w:w="28" w:type="dxa"/>
          <w:bottom w:w="28" w:type="dxa"/>
          <w:right w:w="28" w:type="dxa"/>
        </w:tblCellMar>
      </w:tblPr>
      <w:tblGrid>
        <w:gridCol w:w="1561"/>
        <w:gridCol w:w="1376"/>
        <w:gridCol w:w="1382"/>
        <w:gridCol w:w="109"/>
        <w:gridCol w:w="109"/>
        <w:gridCol w:w="109"/>
        <w:gridCol w:w="344"/>
        <w:gridCol w:w="344"/>
        <w:gridCol w:w="857"/>
        <w:gridCol w:w="109"/>
        <w:gridCol w:w="109"/>
        <w:gridCol w:w="109"/>
        <w:gridCol w:w="344"/>
        <w:gridCol w:w="344"/>
        <w:gridCol w:w="857"/>
        <w:gridCol w:w="109"/>
        <w:gridCol w:w="109"/>
        <w:gridCol w:w="109"/>
        <w:gridCol w:w="293"/>
        <w:gridCol w:w="293"/>
        <w:gridCol w:w="791"/>
      </w:tblGrid>
      <w:tr>
        <w:trPr/>
        <w:tc>
          <w:tcPr>
            <w:tcW w:w="156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statutory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taxes,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foreign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book/tax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foreign tax credit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 of investments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CARES Act - Carryback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Defined Benefit Pension Plan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Rate Change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5448" w:type="dxa"/>
            <w:gridSpan w:val="18"/>
            <w:tcBorders/>
          </w:tcPr>
          <w:p>
            <w:pPr>
              <w:pStyle w:val="TableContents"/>
              <w:bidi w:val="0"/>
              <w:spacing w:before="0" w:after="283"/>
              <w:jc w:val="left"/>
              <w:rPr>
                <w:sz w:val="4"/>
                <w:szCs w:val="4"/>
              </w:rPr>
            </w:pPr>
            <w:r>
              <w:rPr>
                <w:sz w:val="4"/>
                <w:szCs w:val="4"/>
              </w:rPr>
            </w:r>
          </w:p>
        </w:tc>
      </w:tr>
    </w:tbl>
    <w:tbl>
      <w:tblPr>
        <w:tblW w:w="9117" w:type="dxa"/>
        <w:jc w:val="left"/>
        <w:tblInd w:w="0" w:type="dxa"/>
        <w:tblLayout w:type="fixed"/>
        <w:tblCellMar>
          <w:top w:w="28" w:type="dxa"/>
          <w:left w:w="28" w:type="dxa"/>
          <w:bottom w:w="28" w:type="dxa"/>
          <w:right w:w="28" w:type="dxa"/>
        </w:tblCellMar>
      </w:tblPr>
      <w:tblGrid>
        <w:gridCol w:w="124"/>
        <w:gridCol w:w="109"/>
        <w:gridCol w:w="109"/>
        <w:gridCol w:w="2563"/>
        <w:gridCol w:w="2563"/>
        <w:gridCol w:w="36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Includes mainly capital tax gains related to the sale of equity investments in AIM offset by capital tax losses in certain investments in foreign entities.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 limitation, developments in tax law and ongoing discussions with tax authorities. Accrued interest and penalties associated with uncertain tax positions are recognized as part of the income tax provision.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the Company considers existing evidence, both positive and negative, that could impact the need for valuation allowances against DTAs. During fiscal 2023 and fiscal 2022, the Company recorded a benefit to the "Provision (Benefit) for Income Taxes" within the Consolidated Statements of Income (Loss) of $3.8 million and $8.5 million, respectively, for the reversal of a valuation allowance at a subsidiary in the FSS International segment. The valuation allowance reversal was driven by the Company's ability to utilize DTAs based on future taxable income expected due to business acquisitions. During fiscal 2021, the Company recorded a valuation allowance against DTAs based on cumulative losses in certain subsidiaries in the FSS International segment of $22.0 million to the "Provision (Benefit) for Income Taxes" on the Consolidated Statements of Income (Loss). The Company continues to monitor operating performance and believes that based on future reversals of deferred tax liabilities ("DTLs") and future taxable income, it is more likely than not that the remaining NOL carryforwards and DTAs will be realized.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recorded a net expense to the "Provision (Benefit) for Income Taxes" on the Consolidated Statements of Income (Loss) of $76.7 million, of which $98.4 million reflects the capital gain on the sale of its AIM Services Co., Ltd. equity investment, offset by $21.7 million of capital losses resulting from the restructuring of certain foreign subsidiaries.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8, 2022, Pennsylvania enacted a corporate net income tax rate reduction over a nine year period. The income tax rate for the 2022 and 2023 tax years are 9.99% and 8.99%, respectively. Starting with the 2024 tax year, the income tax rate is reduced by 0.50% annually until it reaches 4.99% for the 2031 tax year. The Company calculated the impact of the income tax rate reduction on the DTA and DTL balances at September 30, 2022 and recorded a net benefit of $4.2 million to the "Provision (Benefit) for Income Taxes" within the Consolidated Statements of Income (Loss) during fiscal 2022.</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March 27, 2020, the CARES Act was enacted in response to COVID-19. The CARES Act, among other things, permitted NOLs incurred in fiscal years 2019, 2020 and 2021 to be carried back to each of the five preceding taxable years to generate a refund of previously paid income taxes. NOLs arising in fiscal years 2019, 2020, or 2021 are created in years that have a 21.0% federal income tax rate. If these NOLs are carried back to years prior to fiscal year 2018, the resulting refund would be in years with a 35.0% federal income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S-41</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2021, the Company recorded, as a result of the CARES Act, a net benefit to the "Provision (Benefit) for Income Taxes" on the Consolidated Statements of Income (Loss) of $12.0 million, of which $50.3 million reflected the NOLs expected to be carried back to Pre-Tax Cuts and Jobs Act ("TCJA") years at 35.0% as opposed to the current year rate of 21.0%, which more than offsets the $36.5 million valuation allowance on DTAs related to foreign tax credit ("FTC") carryforwards and $1.8 million of tax benefits eliminated by the NOLs carried back. For the fiscal year ended October 1, 2021, the NOL carryback generated a $3.7 million current taxes receivable, along with $71.3 million of FTCs and $11.0 million of general business credits that will be used to offset future federal income tax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net benefit to the "Provision (Benefit) for Income Taxes" on the Consolidated Statements of Income (Loss) of $4.0 million during fiscal 2021 related to the release of certain stranded tax effects when the Company terminated certain Canadian pension plans (see Note 9).</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and September 30, 2022, the components of Deferred Income Taxes are as follows (in thousands):</w:t>
      </w:r>
    </w:p>
    <w:tbl>
      <w:tblPr>
        <w:tblW w:w="8168" w:type="dxa"/>
        <w:jc w:val="center"/>
        <w:tblInd w:w="0" w:type="dxa"/>
        <w:tblLayout w:type="fixed"/>
        <w:tblCellMar>
          <w:top w:w="28" w:type="dxa"/>
          <w:left w:w="28" w:type="dxa"/>
          <w:bottom w:w="28" w:type="dxa"/>
          <w:right w:w="28" w:type="dxa"/>
        </w:tblCellMar>
      </w:tblPr>
      <w:tblGrid>
        <w:gridCol w:w="1584"/>
        <w:gridCol w:w="1394"/>
        <w:gridCol w:w="1402"/>
        <w:gridCol w:w="109"/>
        <w:gridCol w:w="109"/>
        <w:gridCol w:w="109"/>
        <w:gridCol w:w="284"/>
        <w:gridCol w:w="1114"/>
        <w:gridCol w:w="147"/>
        <w:gridCol w:w="109"/>
        <w:gridCol w:w="109"/>
        <w:gridCol w:w="109"/>
        <w:gridCol w:w="281"/>
        <w:gridCol w:w="1103"/>
        <w:gridCol w:w="205"/>
      </w:tblGrid>
      <w:tr>
        <w:trPr/>
        <w:tc>
          <w:tcPr>
            <w:tcW w:w="158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including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 Rental merchandise in-service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954,747 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NOL/credit carryforwards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 before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406,763 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567,968 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583,832 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470,606 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Rollforward of the valuation allowance is as follows:</w:t>
      </w:r>
    </w:p>
    <w:tbl>
      <w:tblPr>
        <w:tblW w:w="6097" w:type="dxa"/>
        <w:jc w:val="left"/>
        <w:tblInd w:w="0" w:type="dxa"/>
        <w:tblLayout w:type="fixed"/>
        <w:tblCellMar>
          <w:top w:w="28" w:type="dxa"/>
          <w:left w:w="28" w:type="dxa"/>
          <w:bottom w:w="28" w:type="dxa"/>
          <w:right w:w="28" w:type="dxa"/>
        </w:tblCellMar>
      </w:tblPr>
      <w:tblGrid>
        <w:gridCol w:w="836"/>
        <w:gridCol w:w="735"/>
        <w:gridCol w:w="738"/>
        <w:gridCol w:w="109"/>
        <w:gridCol w:w="109"/>
        <w:gridCol w:w="109"/>
        <w:gridCol w:w="292"/>
        <w:gridCol w:w="1102"/>
        <w:gridCol w:w="150"/>
        <w:gridCol w:w="109"/>
        <w:gridCol w:w="109"/>
        <w:gridCol w:w="109"/>
        <w:gridCol w:w="289"/>
        <w:gridCol w:w="1090"/>
        <w:gridCol w:w="21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(97,472)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Subtractions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(78,194)</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(83,827)</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subtractions in fiscal 2023 and fiscal 2022 are mainly driven by the reversal of a valuation allowance based on future taxable income expected due to acquisitions of businesses in the FSS International segment. Fiscal 2022 also includes the reversal of valuation allowances related to pensions.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DTLs of $610.5 million and $501.4 million as of September 29, 2023 and September 30, 2022, respectively, are included in "Deferred Income Taxes and Other Noncurrent Liabilities" on the Consolidated Balance Sheets. DTAs of $26.7 million and $30.8 million as of September 29, 2023 and September 30, 2022, respectively, are included in "Other Assets" on the Consolidated Balance Sheets.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2023, certain subsidiaries have recorded DTAs of $85.5 million associated with accumulated federal, state and foreign NOL carryforwards. The Company believes it is more likely than not that the benefit from certain state and foreign NOL carryforwards will not be realized. As a result, the Company has a valuation allowance of $47.1 million on the DTAs related to these state and foreign NOL carryforwards as of September 29, 2023. State NOL carryforwards generally begin to expire in 2024 and foreign NOL carryforwards generally have no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S-42</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29, 2023, the Company has $74.4 million of FTC carryforwards, which begin to expire in 2027, along with $0.8 million of general business credits, which begin to expire in 2044, and $10.1 million of interest restriction carryforwards, which do not expire. The Company has a valuation allowance of $31.1 million on the DTAs related to FTC carryforwards as of September 29, 2023.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of certain foreign subsidiaries for which no DTL was recorded amounted to approximately $455.9 million and $347.2 million as of September 29, 2023 and September 30, 2022, respectively. The foreign withholding tax cost associated with remitting these earnings is $27.3 million and $20.4 million as of September 29, 2023 and September 30, 2022, respectively. Such amounts have not been accrued by the Company as it believes those foreign earnings are permanently reinvested.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$70.3 million of total gross unrecognized tax benefits as of September 29, 2023, of which $39.9 million, if recognized, would impact the effective tax rate and $30.4 million would result in an adjustment to the DTL or payable.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gross unrecognized tax benefits follows (in thousands):</w:t>
      </w:r>
    </w:p>
    <w:tbl>
      <w:tblPr>
        <w:tblW w:w="8455" w:type="dxa"/>
        <w:jc w:val="center"/>
        <w:tblInd w:w="0" w:type="dxa"/>
        <w:tblLayout w:type="fixed"/>
        <w:tblCellMar>
          <w:top w:w="28" w:type="dxa"/>
          <w:left w:w="28" w:type="dxa"/>
          <w:bottom w:w="28" w:type="dxa"/>
          <w:right w:w="28" w:type="dxa"/>
        </w:tblCellMar>
      </w:tblPr>
      <w:tblGrid>
        <w:gridCol w:w="1808"/>
        <w:gridCol w:w="1590"/>
        <w:gridCol w:w="1596"/>
        <w:gridCol w:w="313"/>
        <w:gridCol w:w="1070"/>
        <w:gridCol w:w="161"/>
        <w:gridCol w:w="109"/>
        <w:gridCol w:w="109"/>
        <w:gridCol w:w="109"/>
        <w:gridCol w:w="309"/>
        <w:gridCol w:w="1056"/>
        <w:gridCol w:w="225"/>
      </w:tblGrid>
      <w:tr>
        <w:trPr/>
        <w:tc>
          <w:tcPr>
            <w:tcW w:w="180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taken in the current year</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Additions for tax positions taken in prior years</w:t>
            </w:r>
            <w:r>
              <w:rPr>
                <w:rFonts w:ascii="Times New Roman;sans-serif" w:hAnsi="Times New Roman;sans-serif"/>
                <w:b w:val="false"/>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Reductions for remeasurements, settlements and payments</w:t>
            </w:r>
            <w:r>
              <w:rPr>
                <w:rFonts w:ascii="Times New Roman;sans-serif" w:hAnsi="Times New Roman;sans-serif"/>
                <w:b w:val="false"/>
                <w:color w:val="000000"/>
                <w:sz w:val="13"/>
              </w:rPr>
              <w:t>(2)</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statute expiration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70,313 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80,220 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37" w:type="dxa"/>
        <w:jc w:val="left"/>
        <w:tblInd w:w="0" w:type="dxa"/>
        <w:tblLayout w:type="fixed"/>
        <w:tblCellMar>
          <w:top w:w="28" w:type="dxa"/>
          <w:left w:w="28" w:type="dxa"/>
          <w:bottom w:w="28" w:type="dxa"/>
          <w:right w:w="28" w:type="dxa"/>
        </w:tblCellMar>
      </w:tblPr>
      <w:tblGrid>
        <w:gridCol w:w="124"/>
        <w:gridCol w:w="109"/>
        <w:gridCol w:w="109"/>
        <w:gridCol w:w="2603"/>
        <w:gridCol w:w="2603"/>
        <w:gridCol w:w="3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Fiscal 2022 includes a $16.2 million reclass from deferred income tax liabilities for a position taken in prior years primarily related to tangible property.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Fiscal 2023 includes a remeasurement of foreign tax credit assets that are available to reduce a position taken in prior years.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$11.4 million and $9.7 million accrued for interest and penalties as of September 29, 2023 and September 30, 2022, respectively, on the Consolidated Balance Sheets and recorded $1.7 million, $3.1 million and $2.0 million in interest and penalties during fiscal 2023, fiscal 2022 and fiscal 2021, respectively in the Consolidated Statements of Income (Loss). Interest and penalties related to unrecognized tax benefits are recorded in "Provision (Benefit) for Income Taxes" on the Consolidated Statements of Income (Loss). The Company has $9.6 million of FTCs that will reduce the gross unrecognized tax benefit.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are not expected to significantly change within the next 12 months.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 number of years may elapse before a tax reporting year is audited and finally resolved. With few exceptions, the Company is no longer subject to United States federal, state or local examinations by tax authorities before 2015. While it is often difficult to predict the final outcome or the timing of or resolution of a particular tax matter, the Company does not anticipate any adjustments resulting from United States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11. STOCKHOLDERS' EQUITY: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dividend payments to its stockholders (in millions):</w:t>
      </w:r>
    </w:p>
    <w:tbl>
      <w:tblPr>
        <w:tblW w:w="7115" w:type="dxa"/>
        <w:jc w:val="center"/>
        <w:tblInd w:w="0" w:type="dxa"/>
        <w:tblLayout w:type="fixed"/>
        <w:tblCellMar>
          <w:top w:w="28" w:type="dxa"/>
          <w:left w:w="28" w:type="dxa"/>
          <w:bottom w:w="28" w:type="dxa"/>
          <w:right w:w="28" w:type="dxa"/>
        </w:tblCellMar>
      </w:tblPr>
      <w:tblGrid>
        <w:gridCol w:w="619"/>
        <w:gridCol w:w="545"/>
        <w:gridCol w:w="546"/>
        <w:gridCol w:w="109"/>
        <w:gridCol w:w="109"/>
        <w:gridCol w:w="109"/>
        <w:gridCol w:w="348"/>
        <w:gridCol w:w="1017"/>
        <w:gridCol w:w="180"/>
        <w:gridCol w:w="109"/>
        <w:gridCol w:w="109"/>
        <w:gridCol w:w="109"/>
        <w:gridCol w:w="348"/>
        <w:gridCol w:w="1017"/>
        <w:gridCol w:w="180"/>
        <w:gridCol w:w="109"/>
        <w:gridCol w:w="109"/>
        <w:gridCol w:w="109"/>
        <w:gridCol w:w="287"/>
        <w:gridCol w:w="838"/>
        <w:gridCol w:w="209"/>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2023, a $0.095 dividend per share of common stock was declared, payable on December 8, 2023, to shareholders of record on the close of business on November 28, 2023.</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100.0 million shares of preferred stock authorized, with a par value of $0.01 per share. At September 29, 2023 and September 30, 2022, zero shares of preferred stock were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S-43</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12. SHARE-BASED COMPENSATION: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12, 2013, the Board of Directors approved, and the stockholders of Aramark adopted by written consent, the Aramark 2013 Stock Incentive Plan (the "Old 2013 Stock Plan"), which became effective on December 1, 2013 and the amended and restated Old 2013 Stock Plan was approved by the Board of Directors on November 9, 2016 and approved by the stockholders of Aramark on February 1, 2017 (as amended, the "2013 Stock Plan"). The 2013 Stock Plan provides that the total number of shares of common stock that may be issued under the 2013 Stock Plan is 25.5 million. On January 29, 2020, the Company's stockholders approved the Second Amended and Restated 2013 Stock Incentive Plan, which amended and restated the 2013 Stock Plan. The Second Amended and Restated 2013 Stock Incentive Plan provides for up to 7.5 million of new shares authorized for issuance to participants, in addition to the shares that remained available for issuance under the 2013 Stock Plan as of January 29, 2020 that are not subject to outstanding awards under the 2013 Stock Plan. On February 2, 2021, the Company's stockholders approved the Third Amended and Restated 2013 Stock Incentive Plan, which amended and restated the Company's 2013 Incentive Plan last amended on January 29, 2020. The Third Amended and Restated 2013 Stock Incentive Plan provides for up to 3.5 million of new shares authorized for issuance to participants, in addition to the shares that remained available for issuance under the 2013 Stock Plan.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3, 2023, the stockholders of Aramark approved the Aramark 2023 Stock Incentive Plan (the "2023 Stock Plan") to replace the 2013 Stock Plan. The 2023 Stock Plan provides for up to 8.5 million of new shares authorized for issuance to participants, in addition to the shares that remained available for issuance under the 2013 Stock Plan.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share-based compensation expense and related information for Time-Based Options ("TBOs"), Retention Time-Based Options ("TBO-Rs"), Time-Based Restricted Stock Units ("RSUs"), PSUs, Deferred Stock Units and Employee Stock Purchase Plan ("ESPP") recorded within "Selling and general corporate expenses" on the Consolidated Statements of Income (Loss) (in millions). </w:t>
      </w:r>
    </w:p>
    <w:tbl>
      <w:tblPr>
        <w:tblW w:w="9920" w:type="dxa"/>
        <w:jc w:val="center"/>
        <w:tblInd w:w="0" w:type="dxa"/>
        <w:tblLayout w:type="fixed"/>
        <w:tblCellMar>
          <w:top w:w="28" w:type="dxa"/>
          <w:left w:w="28" w:type="dxa"/>
          <w:bottom w:w="28" w:type="dxa"/>
          <w:right w:w="28" w:type="dxa"/>
        </w:tblCellMar>
      </w:tblPr>
      <w:tblGrid>
        <w:gridCol w:w="1625"/>
        <w:gridCol w:w="1425"/>
        <w:gridCol w:w="1465"/>
        <w:gridCol w:w="109"/>
        <w:gridCol w:w="109"/>
        <w:gridCol w:w="109"/>
        <w:gridCol w:w="392"/>
        <w:gridCol w:w="949"/>
        <w:gridCol w:w="204"/>
        <w:gridCol w:w="109"/>
        <w:gridCol w:w="109"/>
        <w:gridCol w:w="109"/>
        <w:gridCol w:w="392"/>
        <w:gridCol w:w="949"/>
        <w:gridCol w:w="204"/>
        <w:gridCol w:w="109"/>
        <w:gridCol w:w="109"/>
        <w:gridCol w:w="109"/>
        <w:gridCol w:w="321"/>
        <w:gridCol w:w="779"/>
        <w:gridCol w:w="234"/>
      </w:tblGrid>
      <w:tr>
        <w:trPr/>
        <w:tc>
          <w:tcPr>
            <w:tcW w:w="16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ESPP</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Exercises/ESPP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Benefit on Share Deliveries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Share-based compensation expense related to the ESPP decreased during fiscal 2023 compared to fiscal 2022 as the Company suspended its ESPP beginning in the second quarter of fiscal 2023. Share-based compensation expense related to the ESPP increased during fiscal 2022 compared to fiscal 2021 as the program was available for the entirety of fiscal 2022 as compared to only a portion of fiscal 2021, and the program expanded to additional countries in fiscal 2022.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tax benefit on option exercises, restricted stock unit and ESPP unit deliveries is included in "Accrued Expenses" on the Consolidated Statements of Cash Flows.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 compensation expense was capitalized. The Company applies an estimated forfeiture assumption of 9.0% per annum based on actual forfeiture activity, which was in effect during each of the fiscal years presented.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unrecognized compensation expense as of September 29, 2023 related to non-vested awards and the weighted-average period they are expected to be recognized:</w:t>
      </w:r>
    </w:p>
    <w:tbl>
      <w:tblPr>
        <w:tblW w:w="6279" w:type="dxa"/>
        <w:jc w:val="center"/>
        <w:tblInd w:w="0" w:type="dxa"/>
        <w:tblLayout w:type="fixed"/>
        <w:tblCellMar>
          <w:top w:w="28" w:type="dxa"/>
          <w:left w:w="28" w:type="dxa"/>
          <w:bottom w:w="28" w:type="dxa"/>
          <w:right w:w="28" w:type="dxa"/>
        </w:tblCellMar>
      </w:tblPr>
      <w:tblGrid>
        <w:gridCol w:w="282"/>
        <w:gridCol w:w="247"/>
        <w:gridCol w:w="252"/>
        <w:gridCol w:w="109"/>
        <w:gridCol w:w="109"/>
        <w:gridCol w:w="109"/>
        <w:gridCol w:w="632"/>
        <w:gridCol w:w="1844"/>
        <w:gridCol w:w="329"/>
        <w:gridCol w:w="109"/>
        <w:gridCol w:w="109"/>
        <w:gridCol w:w="109"/>
        <w:gridCol w:w="597"/>
        <w:gridCol w:w="597"/>
        <w:gridCol w:w="845"/>
      </w:tblGrid>
      <w:tr>
        <w:trPr/>
        <w:tc>
          <w:tcPr>
            <w:tcW w:w="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Period</w:t>
              <w:br/>
              <w:t>(Years)</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S-44</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Stock Options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Time-Based Options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annual TBO grants for fiscal 2023 and fiscal 2022 were awarded in November 2022 and November 2021, respectively, while the Company's annual TBO grants for fiscal 2021 were awarded early in September 2020. The fiscal 2023 TBO grants vest solely based upon continued employment over a four year time period. The fiscal 2022 and 2021 TBO grants vest solely based upon continued employment over a three year time period. All TBOs remain exercisable for 10 years from the date of grant.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TBOs granted was estimated using the Black-Scholes option pricing model. The expected volatility is based on the historic volatility of the Company's stock over the expected term of the stock options. The expected life represents the period of time that options granted are expected to be outstanding and is calculated using the simplified method as permitted under Securities and Exchange Commission ("SEC") rules and regulations due to the method providing a reasonable estimate in comparison to actual experience. The simplified method uses the midpoint between an option's vesting date and contractual term.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weighted average assumptions and related valuations for TBOs.</w:t>
      </w:r>
    </w:p>
    <w:tbl>
      <w:tblPr>
        <w:tblW w:w="8702" w:type="dxa"/>
        <w:jc w:val="center"/>
        <w:tblInd w:w="0" w:type="dxa"/>
        <w:tblLayout w:type="fixed"/>
        <w:tblCellMar>
          <w:top w:w="28" w:type="dxa"/>
          <w:left w:w="28" w:type="dxa"/>
          <w:bottom w:w="28" w:type="dxa"/>
          <w:right w:w="28" w:type="dxa"/>
        </w:tblCellMar>
      </w:tblPr>
      <w:tblGrid>
        <w:gridCol w:w="1190"/>
        <w:gridCol w:w="1045"/>
        <w:gridCol w:w="1049"/>
        <w:gridCol w:w="109"/>
        <w:gridCol w:w="109"/>
        <w:gridCol w:w="109"/>
        <w:gridCol w:w="514"/>
        <w:gridCol w:w="514"/>
        <w:gridCol w:w="516"/>
        <w:gridCol w:w="109"/>
        <w:gridCol w:w="109"/>
        <w:gridCol w:w="109"/>
        <w:gridCol w:w="514"/>
        <w:gridCol w:w="514"/>
        <w:gridCol w:w="516"/>
        <w:gridCol w:w="109"/>
        <w:gridCol w:w="109"/>
        <w:gridCol w:w="109"/>
        <w:gridCol w:w="395"/>
        <w:gridCol w:w="395"/>
        <w:gridCol w:w="559"/>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- 1.19%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 - 1.30%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 - 1.25%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3.65% - 4.28%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 - 2.96%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0.52% - 1.15%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$13.08</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TBO activity is presented below:</w:t>
      </w:r>
    </w:p>
    <w:tbl>
      <w:tblPr>
        <w:tblW w:w="10205" w:type="dxa"/>
        <w:jc w:val="left"/>
        <w:tblInd w:w="0" w:type="dxa"/>
        <w:tblLayout w:type="fixed"/>
        <w:tblCellMar>
          <w:top w:w="28" w:type="dxa"/>
          <w:left w:w="28" w:type="dxa"/>
          <w:bottom w:w="28" w:type="dxa"/>
          <w:right w:w="28" w:type="dxa"/>
        </w:tblCellMar>
      </w:tblPr>
      <w:tblGrid>
        <w:gridCol w:w="826"/>
        <w:gridCol w:w="727"/>
        <w:gridCol w:w="732"/>
        <w:gridCol w:w="109"/>
        <w:gridCol w:w="109"/>
        <w:gridCol w:w="109"/>
        <w:gridCol w:w="330"/>
        <w:gridCol w:w="331"/>
        <w:gridCol w:w="203"/>
        <w:gridCol w:w="109"/>
        <w:gridCol w:w="109"/>
        <w:gridCol w:w="109"/>
        <w:gridCol w:w="456"/>
        <w:gridCol w:w="1336"/>
        <w:gridCol w:w="237"/>
        <w:gridCol w:w="109"/>
        <w:gridCol w:w="109"/>
        <w:gridCol w:w="109"/>
        <w:gridCol w:w="311"/>
        <w:gridCol w:w="1063"/>
        <w:gridCol w:w="160"/>
        <w:gridCol w:w="109"/>
        <w:gridCol w:w="109"/>
        <w:gridCol w:w="109"/>
        <w:gridCol w:w="638"/>
        <w:gridCol w:w="638"/>
        <w:gridCol w:w="909"/>
      </w:tblGrid>
      <w:tr>
        <w:trPr/>
        <w:tc>
          <w:tcPr>
            <w:tcW w:w="8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2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Term</w:t>
              <w:br/>
              <w:t>(Years)</w:t>
            </w:r>
          </w:p>
        </w:tc>
      </w:tr>
      <w:tr>
        <w:trPr/>
        <w:tc>
          <w:tcPr>
            <w:tcW w:w="2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at 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r>
    </w:tbl>
    <w:tbl>
      <w:tblPr>
        <w:tblW w:w="9034" w:type="dxa"/>
        <w:jc w:val="center"/>
        <w:tblInd w:w="0" w:type="dxa"/>
        <w:tblLayout w:type="fixed"/>
        <w:tblCellMar>
          <w:top w:w="28" w:type="dxa"/>
          <w:left w:w="28" w:type="dxa"/>
          <w:bottom w:w="28" w:type="dxa"/>
          <w:right w:w="28" w:type="dxa"/>
        </w:tblCellMar>
      </w:tblPr>
      <w:tblGrid>
        <w:gridCol w:w="1315"/>
        <w:gridCol w:w="1155"/>
        <w:gridCol w:w="1159"/>
        <w:gridCol w:w="109"/>
        <w:gridCol w:w="109"/>
        <w:gridCol w:w="109"/>
        <w:gridCol w:w="392"/>
        <w:gridCol w:w="949"/>
        <w:gridCol w:w="204"/>
        <w:gridCol w:w="109"/>
        <w:gridCol w:w="109"/>
        <w:gridCol w:w="109"/>
        <w:gridCol w:w="449"/>
        <w:gridCol w:w="864"/>
        <w:gridCol w:w="232"/>
        <w:gridCol w:w="109"/>
        <w:gridCol w:w="109"/>
        <w:gridCol w:w="109"/>
        <w:gridCol w:w="321"/>
        <w:gridCol w:w="779"/>
        <w:gridCol w:w="23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intrinsic value exercised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that vested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Retention Time-Based Options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Board of Directors granted special stock option awards for fiscal 2021 to its key business leaders. The option awards have exercise prices that are in all cases materially above the trading price of the Company's common stock as of the date of grant. The options are awarded in six tranches, with exercise prices that start at $35 and increase in $10 increments to an $85 exercise price. All options remain exercisable for 10 years from the date of grant. These awards will vest ratably on the third, fourth and fifth anniversaries of the grant date. The fair value of the TBO-Rs granted was estimated using the Black-Scholes option pricing model, following the same assumptions and methodology used to value the TBOs.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S-45</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TBO-R activity is presented below:</w:t>
      </w:r>
    </w:p>
    <w:tbl>
      <w:tblPr>
        <w:tblW w:w="10205" w:type="dxa"/>
        <w:jc w:val="left"/>
        <w:tblInd w:w="0" w:type="dxa"/>
        <w:tblLayout w:type="fixed"/>
        <w:tblCellMar>
          <w:top w:w="28" w:type="dxa"/>
          <w:left w:w="28" w:type="dxa"/>
          <w:bottom w:w="28" w:type="dxa"/>
          <w:right w:w="28" w:type="dxa"/>
        </w:tblCellMar>
      </w:tblPr>
      <w:tblGrid>
        <w:gridCol w:w="844"/>
        <w:gridCol w:w="742"/>
        <w:gridCol w:w="748"/>
        <w:gridCol w:w="109"/>
        <w:gridCol w:w="109"/>
        <w:gridCol w:w="109"/>
        <w:gridCol w:w="308"/>
        <w:gridCol w:w="308"/>
        <w:gridCol w:w="204"/>
        <w:gridCol w:w="109"/>
        <w:gridCol w:w="109"/>
        <w:gridCol w:w="109"/>
        <w:gridCol w:w="462"/>
        <w:gridCol w:w="1352"/>
        <w:gridCol w:w="240"/>
        <w:gridCol w:w="109"/>
        <w:gridCol w:w="109"/>
        <w:gridCol w:w="109"/>
        <w:gridCol w:w="429"/>
        <w:gridCol w:w="827"/>
        <w:gridCol w:w="222"/>
        <w:gridCol w:w="109"/>
        <w:gridCol w:w="109"/>
        <w:gridCol w:w="109"/>
        <w:gridCol w:w="646"/>
        <w:gridCol w:w="646"/>
        <w:gridCol w:w="919"/>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Term</w:t>
              <w:br/>
              <w:t>(Years)</w:t>
            </w:r>
          </w:p>
        </w:tc>
      </w:tr>
      <w:tr>
        <w:trPr/>
        <w:tc>
          <w:tcPr>
            <w:tcW w:w="2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at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bl>
    <w:tbl>
      <w:tblPr>
        <w:tblW w:w="9034" w:type="dxa"/>
        <w:jc w:val="left"/>
        <w:tblInd w:w="0" w:type="dxa"/>
        <w:tblLayout w:type="fixed"/>
        <w:tblCellMar>
          <w:top w:w="28" w:type="dxa"/>
          <w:left w:w="28" w:type="dxa"/>
          <w:bottom w:w="28" w:type="dxa"/>
          <w:right w:w="28" w:type="dxa"/>
        </w:tblCellMar>
      </w:tblPr>
      <w:tblGrid>
        <w:gridCol w:w="1315"/>
        <w:gridCol w:w="1155"/>
        <w:gridCol w:w="1159"/>
        <w:gridCol w:w="109"/>
        <w:gridCol w:w="109"/>
        <w:gridCol w:w="109"/>
        <w:gridCol w:w="449"/>
        <w:gridCol w:w="864"/>
        <w:gridCol w:w="232"/>
        <w:gridCol w:w="109"/>
        <w:gridCol w:w="109"/>
        <w:gridCol w:w="109"/>
        <w:gridCol w:w="449"/>
        <w:gridCol w:w="864"/>
        <w:gridCol w:w="232"/>
        <w:gridCol w:w="109"/>
        <w:gridCol w:w="109"/>
        <w:gridCol w:w="109"/>
        <w:gridCol w:w="365"/>
        <w:gridCol w:w="703"/>
        <w:gridCol w:w="266"/>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intrinsic value exercised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that vested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Time-Based Restricted Stock Units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annual RSU grants for fiscal 2023 and fiscal 2022 were awarded in November 2022 and November 2021, respectively, while the Company's annual RSU grants for fiscal 2021 were awarded early in September 2020. For RSU grants awarded during or subsequent to November 2022 and prior to September 2020, the RSU agreement provides that 25% of each grant will vest and be settled in shares on each of the first four anniversaries of the grant date, subject to the participant's continued employment with the Company through each such anniversary. For RSU grants awarded between September 2020 and October 2022, the RSU agreement provides that 33% of each grant will vest and be settled in shares on each of the first three anniversaries of the date of grant, subject to the participant's continued employment with the Company through each such anniversary. The grant-date fair value of RSUs is based on the fair value of the Company's common stock. Participants holding RSUs will receive the benefit of any dividends paid on shares in the form of additional RSUs. The unvested units are subject to forfeiture if employment is terminated other than due to death, disability or retirement and the units are nontransferable while subject to forfeiture.</w:t>
      </w:r>
    </w:p>
    <w:tbl>
      <w:tblPr>
        <w:tblW w:w="7713" w:type="dxa"/>
        <w:jc w:val="center"/>
        <w:tblInd w:w="0" w:type="dxa"/>
        <w:tblLayout w:type="fixed"/>
        <w:tblCellMar>
          <w:top w:w="28" w:type="dxa"/>
          <w:left w:w="28" w:type="dxa"/>
          <w:bottom w:w="28" w:type="dxa"/>
          <w:right w:w="28" w:type="dxa"/>
        </w:tblCellMar>
      </w:tblPr>
      <w:tblGrid>
        <w:gridCol w:w="1081"/>
        <w:gridCol w:w="948"/>
        <w:gridCol w:w="955"/>
        <w:gridCol w:w="109"/>
        <w:gridCol w:w="109"/>
        <w:gridCol w:w="109"/>
        <w:gridCol w:w="308"/>
        <w:gridCol w:w="308"/>
        <w:gridCol w:w="235"/>
        <w:gridCol w:w="109"/>
        <w:gridCol w:w="109"/>
        <w:gridCol w:w="109"/>
        <w:gridCol w:w="692"/>
        <w:gridCol w:w="2023"/>
        <w:gridCol w:w="509"/>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Units </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5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49" w:type="dxa"/>
        <w:jc w:val="left"/>
        <w:tblInd w:w="0" w:type="dxa"/>
        <w:tblLayout w:type="fixed"/>
        <w:tblCellMar>
          <w:top w:w="28" w:type="dxa"/>
          <w:left w:w="28" w:type="dxa"/>
          <w:bottom w:w="28" w:type="dxa"/>
          <w:right w:w="28" w:type="dxa"/>
        </w:tblCellMar>
      </w:tblPr>
      <w:tblGrid>
        <w:gridCol w:w="1210"/>
        <w:gridCol w:w="1063"/>
        <w:gridCol w:w="1071"/>
        <w:gridCol w:w="109"/>
        <w:gridCol w:w="109"/>
        <w:gridCol w:w="109"/>
        <w:gridCol w:w="392"/>
        <w:gridCol w:w="949"/>
        <w:gridCol w:w="204"/>
        <w:gridCol w:w="109"/>
        <w:gridCol w:w="109"/>
        <w:gridCol w:w="109"/>
        <w:gridCol w:w="392"/>
        <w:gridCol w:w="949"/>
        <w:gridCol w:w="204"/>
        <w:gridCol w:w="109"/>
        <w:gridCol w:w="109"/>
        <w:gridCol w:w="109"/>
        <w:gridCol w:w="321"/>
        <w:gridCol w:w="779"/>
        <w:gridCol w:w="23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that vested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Performance Stock Units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2013 Stock Plan and 2023 Stock Plan, the Company is authorized to grant PSUs to its employees. A participant is eligible to become vested in a number of PSUs equal to a percentage, higher or lower, of the target number of PSUs granted based on the level of the Company's achievement of the performance condition. During fiscal 2023, the Company granted PSUs subject to the level of achievement of adjusted revenue growth, adjusted earnings per share, actual return on invested capital and total shareholder return for the cumulative performance period of three years and the participant's continued employment with the Company over four years. The Company is accounting for the fiscal 2023 grants as performance-based awards, with a market condition, valued utilizing the Monte Carlo Simulation pricing model, which calculates multiple potential outcomes for an award and establishes fair value based on the most likely outcome. The grant-date fair value of the PSUs is based on the fair value of the Company's common stock. During fiscal 2022, the Company granted PSUs subject to the level of achievement of adjusted revenue growth, adjusted operating income growth and a total shareholder return multiplier for the cumulative performance period of three years and the participant's continued employment with the Company over three years. The Company also granted PSUs during fiscal 2022 subject to the level of achievement of actual return on invested capital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S-46</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performance period of three years and the participant's continued employment with the Company over three years. The Company is accounting for the fiscal 2022 grants as performance-based awards, with a market condition, valued utilizing the Monte Carlo Simulation pricing model. The grant-date fair value of the PSUs is based on the fair value of the Company's common stock. No share-based compensation expense was recorded during fiscal 2022 or fiscal 2021 related to PSUs granted during fiscal 2020 as the performance targets for the awards were not met.</w:t>
      </w:r>
    </w:p>
    <w:p>
      <w:pPr>
        <w:pStyle w:val="TextBody"/>
        <w:bidi w:val="0"/>
        <w:spacing w:lineRule="auto" w:line="26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13, 2023, the Company's Board of Directors, pursuant to the terms of the Third Amended and Restated 2013 Stock Incentive Plan and to reflect the separation and distribution of the Company’s Uniform segment that occurred on September 30, 2023, approved amendments to the performance goals and performance periods for the Company’s outstanding Performance Stock Units ("PSUs"). For the PSUs granted in fiscal 2022, which were subject to performance targets for the three-year period ending September 27, 2024, two-thirds of these PSUs will now be subject to new adjusted performance targets and an adjusted performance period for the two-year period ending September 29, 2023 and the remaining one-third of these PSUs will be subject to new adjusted performance targets for the one-year period ending September 27, 2024. The PSUs granted in fiscal 2023, which were subject to performance targets for the three-year period ending October 3, 2025, were amended to be subject to adjusted performance targets primarily to reflect the Company on a post-spin off basis. The Company's Board of Directors also approved adjustments increasing the maximum aggregate number of shares authorized for awards under the 2023 Stock Plan by an additional 3.5 million shares.</w:t>
      </w:r>
    </w:p>
    <w:tbl>
      <w:tblPr>
        <w:tblW w:w="7522" w:type="dxa"/>
        <w:jc w:val="center"/>
        <w:tblInd w:w="0" w:type="dxa"/>
        <w:tblLayout w:type="fixed"/>
        <w:tblCellMar>
          <w:top w:w="28" w:type="dxa"/>
          <w:left w:w="28" w:type="dxa"/>
          <w:bottom w:w="28" w:type="dxa"/>
          <w:right w:w="28" w:type="dxa"/>
        </w:tblCellMar>
      </w:tblPr>
      <w:tblGrid>
        <w:gridCol w:w="1081"/>
        <w:gridCol w:w="949"/>
        <w:gridCol w:w="955"/>
        <w:gridCol w:w="109"/>
        <w:gridCol w:w="109"/>
        <w:gridCol w:w="109"/>
        <w:gridCol w:w="233"/>
        <w:gridCol w:w="233"/>
        <w:gridCol w:w="193"/>
        <w:gridCol w:w="109"/>
        <w:gridCol w:w="109"/>
        <w:gridCol w:w="109"/>
        <w:gridCol w:w="692"/>
        <w:gridCol w:w="2023"/>
        <w:gridCol w:w="509"/>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Units </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5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Deferred Stock Units </w:t>
      </w:r>
    </w:p>
    <w:p>
      <w:pPr>
        <w:pStyle w:val="TextBody"/>
        <w:bidi w:val="0"/>
        <w:spacing w:lineRule="auto" w:line="288" w:before="100" w:after="60"/>
        <w:jc w:val="left"/>
        <w:rPr/>
      </w:pPr>
      <w:r>
        <w:rPr>
          <w:rFonts w:ascii="Times New Roman;sans-serif" w:hAnsi="Times New Roman;sans-serif"/>
          <w:b w:val="false"/>
          <w:color w:val="000000"/>
          <w:sz w:val="20"/>
        </w:rPr>
        <w:t xml:space="preserve">Deferred Stock Units are issued only to non-employee members of the Board of Directors and represent the right to receive shares of the Company's common stock in the future. Each Deferred Stock Unit will be converted to one share of the Company's common stock either on the first day of the seventh month after which such director ceases to serve as a member of the Board of Directors or at the director's election upon vesting. The grant-date fair value of Deferred Stock Units is based on the fair value of the Company's common stock. The Deferred Stock Units vest on the day prior to the next annual meeting of stockholders (which is generally one year after grant). The Company granted 45,319 Deferred Stock Units during fiscal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In addition, directors may elect to defer their cash retainer into Deferred Stock Units which are fully vested upon issuance.</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Employee Stock Purchase Plan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2021, the Company’s stockholders approved the Aramark 2021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Purchases under the ESPP are made in March, June, September, and December. The aggregate number of shares of common stock that may be issued under the ESPP may not exceed 12.5 million shares. There were 0.4 million, 1.3 million and 0.5 million shares purchased under the ESPP during the fiscal years ended September 29, 2023, September 30, 2022 and October 1, 2021, respectively. The Company suspended its ESPP beginning in the second quarter of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13. EARNINGS (LOSS) PER SHARE: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S-47</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(loss) per share attributable to the Company's stockholders (in thousands, except per share data):</w:t>
      </w:r>
    </w:p>
    <w:tbl>
      <w:tblPr>
        <w:tblW w:w="9950" w:type="dxa"/>
        <w:jc w:val="left"/>
        <w:tblInd w:w="0" w:type="dxa"/>
        <w:tblLayout w:type="fixed"/>
        <w:tblCellMar>
          <w:top w:w="28" w:type="dxa"/>
          <w:left w:w="28" w:type="dxa"/>
          <w:bottom w:w="28" w:type="dxa"/>
          <w:right w:w="28" w:type="dxa"/>
        </w:tblCellMar>
      </w:tblPr>
      <w:tblGrid>
        <w:gridCol w:w="1642"/>
        <w:gridCol w:w="1450"/>
        <w:gridCol w:w="1453"/>
        <w:gridCol w:w="109"/>
        <w:gridCol w:w="109"/>
        <w:gridCol w:w="109"/>
        <w:gridCol w:w="284"/>
        <w:gridCol w:w="1114"/>
        <w:gridCol w:w="147"/>
        <w:gridCol w:w="109"/>
        <w:gridCol w:w="109"/>
        <w:gridCol w:w="109"/>
        <w:gridCol w:w="284"/>
        <w:gridCol w:w="1114"/>
        <w:gridCol w:w="147"/>
        <w:gridCol w:w="109"/>
        <w:gridCol w:w="109"/>
        <w:gridCol w:w="109"/>
        <w:gridCol w:w="242"/>
        <w:gridCol w:w="915"/>
        <w:gridCol w:w="177"/>
      </w:tblGrid>
      <w:tr>
        <w:trPr/>
        <w:tc>
          <w:tcPr>
            <w:tcW w:w="164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Aramark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dilutive securities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259,074 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254,748 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Aramark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Aramark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Incremental shares of 2.0 million have been excluded from the computation of diluted weighted-average shares outstanding for the fiscal year ended October 1, 2021, because the effect would have been antidilutive due to the net loss attributable to Aramark stockholders during the period.</w:t>
            </w:r>
          </w:p>
        </w:tc>
      </w:tr>
    </w:tbl>
    <w:p>
      <w:pPr>
        <w:pStyle w:val="TextBody"/>
        <w:bidi w:val="0"/>
        <w:spacing w:lineRule="auto" w:line="288" w:before="100" w:after="60"/>
        <w:jc w:val="left"/>
        <w:rPr/>
      </w:pPr>
      <w:r>
        <w:rPr>
          <w:rFonts w:ascii="Times New Roman;sans-serif" w:hAnsi="Times New Roman;sans-serif"/>
          <w:b w:val="false"/>
          <w:color w:val="000000"/>
          <w:sz w:val="20"/>
        </w:rPr>
        <w:t xml:space="preserve">Share-based awards to purchase 8.7 million, 9.3 million and 8.8 million shares were outstanding at September 29, 2023, September 30, 2022 and October 1, 2021, respectively, but were not included in the computation of diluted earnings (loss) per common share, as their effect would have been antidilutive. In addition, PSUs related to 0.9 million, 0.5 million and 0.6 million shares were outstanding at </w:t>
      </w:r>
      <w:r>
        <w:rPr>
          <w:rFonts w:ascii="Times New Roman;sans-serif" w:hAnsi="Times New Roman;sans-serif"/>
          <w:b w:val="false"/>
          <w:color w:val="000000"/>
          <w:sz w:val="20"/>
          <w:shd w:fill="FFFFFF" w:val="clear"/>
        </w:rPr>
        <w:t>September 29,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September 30, 2022</w:t>
      </w:r>
      <w:r>
        <w:rPr>
          <w:color w:val="000000"/>
        </w:rPr>
        <w:t xml:space="preserve"> </w:t>
      </w:r>
      <w:r>
        <w:rPr>
          <w:rFonts w:ascii="Times New Roman;sans-serif" w:hAnsi="Times New Roman;sans-serif"/>
          <w:b w:val="false"/>
          <w:color w:val="000000"/>
          <w:sz w:val="20"/>
        </w:rPr>
        <w:t xml:space="preserve">and October 1, 2021, respectively, but were not included in the computation of diluted earnings (loss) per common share, as the performance targets were not yet met.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100" w:after="60"/>
        <w:jc w:val="left"/>
        <w:rPr/>
      </w:pPr>
      <w:r>
        <w:rPr>
          <w:rFonts w:ascii="Times New Roman;sans-serif" w:hAnsi="Times New Roman;sans-serif"/>
          <w:b w:val="false"/>
          <w:color w:val="000000"/>
          <w:sz w:val="20"/>
        </w:rPr>
        <w:t xml:space="preserve">The Company has capital and other purchase commitments of approximately $840.8 million at </w:t>
      </w:r>
      <w:r>
        <w:rPr>
          <w:rFonts w:ascii="Times New Roman;sans-serif" w:hAnsi="Times New Roman;sans-serif"/>
          <w:b w:val="false"/>
          <w:color w:val="000000"/>
          <w:sz w:val="20"/>
          <w:shd w:fill="FFFFFF" w:val="clear"/>
        </w:rPr>
        <w:t>September 29, 2023</w:t>
      </w:r>
      <w:r>
        <w:rPr>
          <w:rFonts w:ascii="Times New Roman;sans-serif" w:hAnsi="Times New Roman;sans-serif"/>
          <w:b w:val="false"/>
          <w:color w:val="000000"/>
          <w:sz w:val="20"/>
        </w:rPr>
        <w:t>, primarily in connection with commitments for capital projects to help finance improvements or renovations at the facilities in which the Company operates.</w:t>
      </w:r>
    </w:p>
    <w:p>
      <w:pPr>
        <w:pStyle w:val="TextBody"/>
        <w:bidi w:val="0"/>
        <w:spacing w:lineRule="auto" w:line="288" w:before="100" w:after="60"/>
        <w:jc w:val="left"/>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20"/>
          <w:shd w:fill="FFFFFF" w:val="clear"/>
        </w:rPr>
        <w:t>September 29, 2023</w:t>
      </w:r>
      <w:r>
        <w:rPr>
          <w:rFonts w:ascii="Times New Roman;sans-serif" w:hAnsi="Times New Roman;sans-serif"/>
          <w:b w:val="false"/>
          <w:color w:val="000000"/>
          <w:sz w:val="20"/>
        </w:rPr>
        <w:t>, the Company also has letters of credit outstanding in the amount of $85.5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involved in a dispute with a client regarding Aramark’s provision of services pursuant to a contract. During fiscal 2022, the Company resolved the matter by entering into a settlement agreement with the client whereby the Company's obligations totaled $13.6 million, resulting in a reversal of previously reserved amounts of $5.7 million, which is included in "Cost of services provided (exclusive of depreciation and amortization)" on the Consolidated Statements of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S-48</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15. BUSINESS SEGMENTS: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its operating results in three reportable segments: FSS United States, FSS International and Uniform. Corporate includes general expenses not specifically allocated to an individual segment and share-based compensation expense (see Note 12). In the Company's Food and Support Services segments, approximately 74% of the global revenue is related to food services and 26% is related to facilities services. COVID-19 had a negative impact on revenue, operating income, capital expenditures and other identifiable assets for all segments in fiscal 2021 (see Note 1). During fiscal years 2023, 2022 and 2021, the Company recorded a gain of $36.3 million, $19.0 million and $10.0 million, respectively, relating to the recovery of the Company’s investment (possessory interest) at one of the National Park Service sites within the FSS United States segment, which is included in “Cost of services provided (exclusive of depreciation and amortization)” on the Consolidated Statements of Income (Loss). During fiscal 2023, the Company sold its 50% ownership interest in AIM Services Co., Ltd. and ownership interests in other equity investments recognizing a $427.8 million net pre-tax gain on the Consolidated Statements of Income (Loss) (see Note 1). During fiscal 2021, the Company identified an observable price change related to its equity investment without a readily determinable fair value related to the San Antonio Spurs NBA franchise and recognized a $137.9 million non-cash gain on the Consolidated Statements of Income (Loss) (see Note 1). The Company terminated certain Canadian defined benefit pension plans and recognized a $60.9 million non-cash loss on the Consolidated Statements of Income (Loss) during fiscal 2021 (see Note 9). Financial information by segment is as follows (in millions):</w:t>
      </w:r>
    </w:p>
    <w:tbl>
      <w:tblPr>
        <w:tblW w:w="6637" w:type="dxa"/>
        <w:jc w:val="left"/>
        <w:tblInd w:w="0" w:type="dxa"/>
        <w:tblLayout w:type="fixed"/>
        <w:tblCellMar>
          <w:top w:w="28" w:type="dxa"/>
          <w:left w:w="28" w:type="dxa"/>
          <w:bottom w:w="28" w:type="dxa"/>
          <w:right w:w="28" w:type="dxa"/>
        </w:tblCellMar>
      </w:tblPr>
      <w:tblGrid>
        <w:gridCol w:w="564"/>
        <w:gridCol w:w="496"/>
        <w:gridCol w:w="500"/>
        <w:gridCol w:w="273"/>
        <w:gridCol w:w="1130"/>
        <w:gridCol w:w="141"/>
        <w:gridCol w:w="109"/>
        <w:gridCol w:w="109"/>
        <w:gridCol w:w="109"/>
        <w:gridCol w:w="273"/>
        <w:gridCol w:w="1130"/>
        <w:gridCol w:w="141"/>
        <w:gridCol w:w="109"/>
        <w:gridCol w:w="109"/>
        <w:gridCol w:w="109"/>
        <w:gridCol w:w="228"/>
        <w:gridCol w:w="941"/>
        <w:gridCol w:w="166"/>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18,853.9 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83" w:type="dxa"/>
        <w:jc w:val="center"/>
        <w:tblInd w:w="0" w:type="dxa"/>
        <w:tblLayout w:type="fixed"/>
        <w:tblCellMar>
          <w:top w:w="28" w:type="dxa"/>
          <w:left w:w="28" w:type="dxa"/>
          <w:bottom w:w="28" w:type="dxa"/>
          <w:right w:w="28" w:type="dxa"/>
        </w:tblCellMar>
      </w:tblPr>
      <w:tblGrid>
        <w:gridCol w:w="1015"/>
        <w:gridCol w:w="892"/>
        <w:gridCol w:w="898"/>
        <w:gridCol w:w="348"/>
        <w:gridCol w:w="1017"/>
        <w:gridCol w:w="180"/>
        <w:gridCol w:w="109"/>
        <w:gridCol w:w="109"/>
        <w:gridCol w:w="109"/>
        <w:gridCol w:w="348"/>
        <w:gridCol w:w="1017"/>
        <w:gridCol w:w="180"/>
        <w:gridCol w:w="109"/>
        <w:gridCol w:w="109"/>
        <w:gridCol w:w="109"/>
        <w:gridCol w:w="287"/>
        <w:gridCol w:w="838"/>
        <w:gridCol w:w="209"/>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7" w:type="dxa"/>
        <w:jc w:val="center"/>
        <w:tblInd w:w="0" w:type="dxa"/>
        <w:tblLayout w:type="fixed"/>
        <w:tblCellMar>
          <w:top w:w="28" w:type="dxa"/>
          <w:left w:w="28" w:type="dxa"/>
          <w:bottom w:w="28" w:type="dxa"/>
          <w:right w:w="28" w:type="dxa"/>
        </w:tblCellMar>
      </w:tblPr>
      <w:tblGrid>
        <w:gridCol w:w="1533"/>
        <w:gridCol w:w="1346"/>
        <w:gridCol w:w="1350"/>
        <w:gridCol w:w="348"/>
        <w:gridCol w:w="1017"/>
        <w:gridCol w:w="180"/>
        <w:gridCol w:w="109"/>
        <w:gridCol w:w="109"/>
        <w:gridCol w:w="109"/>
        <w:gridCol w:w="348"/>
        <w:gridCol w:w="1017"/>
        <w:gridCol w:w="180"/>
        <w:gridCol w:w="109"/>
        <w:gridCol w:w="109"/>
        <w:gridCol w:w="109"/>
        <w:gridCol w:w="266"/>
        <w:gridCol w:w="874"/>
        <w:gridCol w:w="194"/>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(Loss) Before Income Taxes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Equity Investments, net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Defined Benefit Pension Plan Termination</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62" w:type="dxa"/>
        <w:jc w:val="center"/>
        <w:tblInd w:w="0" w:type="dxa"/>
        <w:tblLayout w:type="fixed"/>
        <w:tblCellMar>
          <w:top w:w="28" w:type="dxa"/>
          <w:left w:w="28" w:type="dxa"/>
          <w:bottom w:w="28" w:type="dxa"/>
          <w:right w:w="28" w:type="dxa"/>
        </w:tblCellMar>
      </w:tblPr>
      <w:tblGrid>
        <w:gridCol w:w="864"/>
        <w:gridCol w:w="759"/>
        <w:gridCol w:w="761"/>
        <w:gridCol w:w="348"/>
        <w:gridCol w:w="1017"/>
        <w:gridCol w:w="180"/>
        <w:gridCol w:w="109"/>
        <w:gridCol w:w="109"/>
        <w:gridCol w:w="109"/>
        <w:gridCol w:w="348"/>
        <w:gridCol w:w="1017"/>
        <w:gridCol w:w="180"/>
        <w:gridCol w:w="109"/>
        <w:gridCol w:w="109"/>
        <w:gridCol w:w="109"/>
        <w:gridCol w:w="287"/>
        <w:gridCol w:w="838"/>
        <w:gridCol w:w="20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S-49</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7613" w:type="dxa"/>
        <w:jc w:val="center"/>
        <w:tblInd w:w="0" w:type="dxa"/>
        <w:tblLayout w:type="fixed"/>
        <w:tblCellMar>
          <w:top w:w="28" w:type="dxa"/>
          <w:left w:w="28" w:type="dxa"/>
          <w:bottom w:w="28" w:type="dxa"/>
          <w:right w:w="28" w:type="dxa"/>
        </w:tblCellMar>
      </w:tblPr>
      <w:tblGrid>
        <w:gridCol w:w="918"/>
        <w:gridCol w:w="806"/>
        <w:gridCol w:w="811"/>
        <w:gridCol w:w="348"/>
        <w:gridCol w:w="1017"/>
        <w:gridCol w:w="180"/>
        <w:gridCol w:w="109"/>
        <w:gridCol w:w="109"/>
        <w:gridCol w:w="109"/>
        <w:gridCol w:w="348"/>
        <w:gridCol w:w="1017"/>
        <w:gridCol w:w="180"/>
        <w:gridCol w:w="109"/>
        <w:gridCol w:w="109"/>
        <w:gridCol w:w="109"/>
        <w:gridCol w:w="287"/>
        <w:gridCol w:w="838"/>
        <w:gridCol w:w="209"/>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Capital Expenditures and Other*</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14"/>
        </w:rPr>
      </w:pPr>
      <w:r>
        <w:rPr>
          <w:rFonts w:ascii="Times New Roman;sans-serif" w:hAnsi="Times New Roman;sans-serif"/>
          <w:b w:val="false"/>
          <w:color w:val="000000"/>
          <w:sz w:val="14"/>
        </w:rPr>
        <w:t>* Includes amounts acquired in business combinations</w:t>
      </w:r>
    </w:p>
    <w:tbl>
      <w:tblPr>
        <w:tblW w:w="5020" w:type="dxa"/>
        <w:jc w:val="center"/>
        <w:tblInd w:w="0" w:type="dxa"/>
        <w:tblLayout w:type="fixed"/>
        <w:tblCellMar>
          <w:top w:w="28" w:type="dxa"/>
          <w:left w:w="28" w:type="dxa"/>
          <w:bottom w:w="28" w:type="dxa"/>
          <w:right w:w="28" w:type="dxa"/>
        </w:tblCellMar>
      </w:tblPr>
      <w:tblGrid>
        <w:gridCol w:w="564"/>
        <w:gridCol w:w="496"/>
        <w:gridCol w:w="499"/>
        <w:gridCol w:w="273"/>
        <w:gridCol w:w="1130"/>
        <w:gridCol w:w="141"/>
        <w:gridCol w:w="109"/>
        <w:gridCol w:w="109"/>
        <w:gridCol w:w="109"/>
        <w:gridCol w:w="271"/>
        <w:gridCol w:w="1121"/>
        <w:gridCol w:w="198"/>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w:t>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In anticipation of the separation and distribution of Vestis, the Uniform legal entity executed a cash dividend to Aramark Corporate of approximately $1.5 billion, resulting in an increase of identifiable assets within Corporate.</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geographic data include revenue generated by subsidiaries within that geographic area and net property and equipment based on physical location (in millions):</w:t>
      </w:r>
    </w:p>
    <w:tbl>
      <w:tblPr>
        <w:tblW w:w="6277" w:type="dxa"/>
        <w:jc w:val="left"/>
        <w:tblInd w:w="0" w:type="dxa"/>
        <w:tblLayout w:type="fixed"/>
        <w:tblCellMar>
          <w:top w:w="28" w:type="dxa"/>
          <w:left w:w="28" w:type="dxa"/>
          <w:bottom w:w="28" w:type="dxa"/>
          <w:right w:w="28" w:type="dxa"/>
        </w:tblCellMar>
      </w:tblPr>
      <w:tblGrid>
        <w:gridCol w:w="434"/>
        <w:gridCol w:w="381"/>
        <w:gridCol w:w="385"/>
        <w:gridCol w:w="273"/>
        <w:gridCol w:w="1130"/>
        <w:gridCol w:w="141"/>
        <w:gridCol w:w="109"/>
        <w:gridCol w:w="109"/>
        <w:gridCol w:w="109"/>
        <w:gridCol w:w="273"/>
        <w:gridCol w:w="1130"/>
        <w:gridCol w:w="141"/>
        <w:gridCol w:w="109"/>
        <w:gridCol w:w="109"/>
        <w:gridCol w:w="109"/>
        <w:gridCol w:w="228"/>
        <w:gridCol w:w="941"/>
        <w:gridCol w:w="16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2021</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18,853.9 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96" w:type="dxa"/>
        <w:jc w:val="left"/>
        <w:tblInd w:w="0" w:type="dxa"/>
        <w:tblLayout w:type="fixed"/>
        <w:tblCellMar>
          <w:top w:w="28" w:type="dxa"/>
          <w:left w:w="28" w:type="dxa"/>
          <w:bottom w:w="28" w:type="dxa"/>
          <w:right w:w="28" w:type="dxa"/>
        </w:tblCellMar>
      </w:tblPr>
      <w:tblGrid>
        <w:gridCol w:w="808"/>
        <w:gridCol w:w="711"/>
        <w:gridCol w:w="716"/>
        <w:gridCol w:w="300"/>
        <w:gridCol w:w="1090"/>
        <w:gridCol w:w="155"/>
        <w:gridCol w:w="109"/>
        <w:gridCol w:w="109"/>
        <w:gridCol w:w="109"/>
        <w:gridCol w:w="296"/>
        <w:gridCol w:w="1077"/>
        <w:gridCol w:w="216"/>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and Equipment, net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16. FAIR VALUE OF FINANCIAL ASSETS AND FINANCIAL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Level 1—inputs to the valuation methodology are quoted prices (unadjusted) for identical assets or liabilities in active markets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Level 2—inputs to the valuation methodology include quoted prices for similar assets and liabilities in active markets, and inputs that are observable for the asset or liability, either directly or indirectly, for substantially the full term of the financial instrument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Level 3—inputs to the valuation methodology are unobservable and significant to the fair value measurement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Recurring Fair Value Measurements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instruments consist primarily of cash and cash equivalents, marketable securities, accounts receivable, accounts payable, borrowings and derivatives. Management believes that the carrying value of cash and cash equivalents, marketable securities,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September 29, 2023 and September 30, 2022 was $8,239.6 million and $7,153.4 million, respectively. The carrying value of the Company's debt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S-50</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September 29, 2023 and September 30, 2022 was $8,263.5 million and $7,410.9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Union Supply acquisition completed in fiscal 2022 (see Note 2), the Company recorded a contingent consideration obligation based on the fair value of the expected payments with a separate amount that will be accounted for as compensation expense to be recognized on the Consolidated Statements of Income (Loss)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fiscal 2023, due to lower performance than expected mainly from inflationary cost pressures, the Company adjusted the contingent consideration liability to the fair value of the future expected payment, resulting in a gain net of expenses of $37.3 million, which is comprised of the adjusted contingent consideration liability recorded as part of the acquisition and reversal of a portion of compensation expense previously recognized on the Consolidated Statements of Income (Loss) since the acquisition. The income is included in "Cost of services provided (exclusive of depreciation and amortization)" on the Consolidated Statements of Income (Loss) for the fiscal year ended September 29, 2023. The contingent consideration liability at September 29, 2023 and September 30, 2022 was $8.4 million and $45.8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Next Level acquisition completed in fiscal 2021 (see Note 2), the Company recorded a contingent consideration obligation based on the fair value of the expected payments. During the second quarter of fiscal 2022, the unit purchase agreement with the former owners of Next Level was amended to modify the terms and conditions associated with the contingent consideration. The amended agreement included calendar year 2023, in addition to calendar years 2022 and 2021, as a performance period to earn consideration should Next Level achieve certain adjusted EBITDA levels. The Company performed a fair value assessment of the contingent consideration obligation based on the terms and conditions of the Next Level purchase agreement, as amended,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future earnings and profitability. If assumptions or estimates vary from what was expected, the fair value of the contingent consideration liability may materially change. During fiscal 2023, due to continued lower performance than expected mainly from inflationary cost pressures and the reduced prospective business opportunities, the Company adjusted the contingent consideration liability to the fair value of the future expected payment, resulting in a $48.4 million gain, which is included in "Cost of services provided (exclusive of depreciation and amortization)" on the Consolidated Statements of Income (Loss) for the fiscal year ended September 29, 2023. During fiscal 2022, the Company paid $9.3 million related to the contingent consideration liability, which was for the calendar 2021 performance period. In addition, due to lower performance than expected from inflationary cost pressures, the Company adjusted the contingent consideration liability to the fair value of future expected payments during fiscal 2022, resulting in a $20.7 million gain, which is included in "Cost of services provided (exclusive of depreciation and amortization)" on the Consolidated Statements of Income (Loss). The fair value of the contingent consideration liability at September 29, 2023 and September 30, 2022 was zero and $48.4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S-51</w:t>
                      </w:r>
                    </w:p>
                  </w:txbxContent>
                </v:textbox>
                <w10:wrap type="none"/>
              </v:rect>
            </w:pict>
          </mc:Fallback>
        </mc:AlternateContent>
      </w:r>
    </w:p>
    <w:p>
      <w:pPr>
        <w:pStyle w:val="TextBody"/>
        <w:bidi w:val="0"/>
        <w:spacing w:lineRule="auto" w:line="288" w:before="60" w:after="6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 AND RESERVES</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YEARS ENDED SEPTEMBER 29, 2023, SEPTEMBER 30, 2022 AND OCTOBER 1, 2021 </w:t>
      </w:r>
    </w:p>
    <w:p>
      <w:pPr>
        <w:pStyle w:val="TextBody"/>
        <w:bidi w:val="0"/>
        <w:spacing w:before="60" w:after="60"/>
        <w:jc w:val="left"/>
        <w:rPr/>
      </w:pPr>
      <w:r>
        <w:rPr/>
      </w:r>
    </w:p>
    <w:tbl>
      <w:tblPr>
        <w:tblW w:w="9597" w:type="dxa"/>
        <w:jc w:val="left"/>
        <w:tblInd w:w="0" w:type="dxa"/>
        <w:tblLayout w:type="fixed"/>
        <w:tblCellMar>
          <w:top w:w="28" w:type="dxa"/>
          <w:left w:w="28" w:type="dxa"/>
          <w:bottom w:w="28" w:type="dxa"/>
          <w:right w:w="28" w:type="dxa"/>
        </w:tblCellMar>
      </w:tblPr>
      <w:tblGrid>
        <w:gridCol w:w="830"/>
        <w:gridCol w:w="730"/>
        <w:gridCol w:w="734"/>
        <w:gridCol w:w="109"/>
        <w:gridCol w:w="109"/>
        <w:gridCol w:w="109"/>
        <w:gridCol w:w="349"/>
        <w:gridCol w:w="1195"/>
        <w:gridCol w:w="180"/>
        <w:gridCol w:w="109"/>
        <w:gridCol w:w="109"/>
        <w:gridCol w:w="109"/>
        <w:gridCol w:w="211"/>
        <w:gridCol w:w="721"/>
        <w:gridCol w:w="109"/>
        <w:gridCol w:w="109"/>
        <w:gridCol w:w="109"/>
        <w:gridCol w:w="109"/>
        <w:gridCol w:w="434"/>
        <w:gridCol w:w="1486"/>
        <w:gridCol w:w="224"/>
        <w:gridCol w:w="109"/>
        <w:gridCol w:w="109"/>
        <w:gridCol w:w="109"/>
        <w:gridCol w:w="211"/>
        <w:gridCol w:w="721"/>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Beginning of </w:t>
              <w:b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Charged to </w:t>
              <w:b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Deductions from Reserves</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w:t>
              <w:br/>
              <w:t xml:space="preserve">End of </w:t>
              <w:br/>
              <w:t>Period</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22" w:type="dxa"/>
        <w:jc w:val="center"/>
        <w:tblInd w:w="0" w:type="dxa"/>
        <w:tblLayout w:type="fixed"/>
        <w:tblCellMar>
          <w:top w:w="28" w:type="dxa"/>
          <w:left w:w="28" w:type="dxa"/>
          <w:bottom w:w="28" w:type="dxa"/>
          <w:right w:w="28" w:type="dxa"/>
        </w:tblCellMar>
      </w:tblPr>
      <w:tblGrid>
        <w:gridCol w:w="124"/>
        <w:gridCol w:w="109"/>
        <w:gridCol w:w="109"/>
        <w:gridCol w:w="1543"/>
        <w:gridCol w:w="1543"/>
        <w:gridCol w:w="21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528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Amounts determined not to be collectible and charged against the reserve and translation.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S-52</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Copies of any of the following exhibits are available to Stockholders for the cost of reproduction upon written request to the Secretary, Aramark, 2400 Market Street, Philadelphia, PA 19103.</w:t>
      </w:r>
    </w:p>
    <w:tbl>
      <w:tblPr>
        <w:tblW w:w="10205" w:type="dxa"/>
        <w:jc w:val="center"/>
        <w:tblInd w:w="0" w:type="dxa"/>
        <w:tblLayout w:type="fixed"/>
        <w:tblCellMar>
          <w:top w:w="28" w:type="dxa"/>
          <w:left w:w="28" w:type="dxa"/>
          <w:bottom w:w="28" w:type="dxa"/>
          <w:right w:w="28" w:type="dxa"/>
        </w:tblCellMar>
      </w:tblPr>
      <w:tblGrid>
        <w:gridCol w:w="222"/>
        <w:gridCol w:w="194"/>
        <w:gridCol w:w="196"/>
        <w:gridCol w:w="109"/>
        <w:gridCol w:w="109"/>
        <w:gridCol w:w="109"/>
        <w:gridCol w:w="2955"/>
        <w:gridCol w:w="2955"/>
        <w:gridCol w:w="2982"/>
        <w:gridCol w:w="109"/>
        <w:gridCol w:w="109"/>
        <w:gridCol w:w="156"/>
      </w:tblGrid>
      <w:tr>
        <w:trPr/>
        <w:tc>
          <w:tcPr>
            <w:tcW w:w="2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Description</w:t>
            </w: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Agreement and Plan of Merger, dated October 13, 2017, by and among Avendra LLC, Aramark, Capital Merger Sub, LLC, and Marriott International, Inc., as Holder Representative (incorporated by reference to Exhibit 2.1 to Aramark's Current Report on Form 8-K filed with the SEC on October 16,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Agreement and Plan of Merger, dated October 13, 2017, by and among AmeriPride Services Inc., Aramark, Timberwolf Acquisition Corporation, and Bruce M. Steiner, as Stockholder Representative (incorporated by reference to Exhibit 2.2 to Aramark's Current Report on Form 8-K filed with the SEC on October 16,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ans-serif" w:hAnsi="Times New Roman;sans-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Separation and Distribution Agreement, dated as of September 29, 2023, by and between Aramark and Vestis Corporation (incorporated by reference to Exhibit 2.1 to Aramark’s Current Report on Form 8-K filed with the SEC on October 2, 2023,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Second Amended and Restated Certificate of Incorporation of Aramark (incorporated by reference to Exhibit 3.1 to Aramark’s Current Report on Form 8-K filed with the SEC on January 31, 2020,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Certificate of Ownership and Merger (incorporated by reference to Exhibit 3.1 to Aramark’s Current Report on Form 8-K filed with the SEC on May 15, 2014,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Times New Roman;sans-serif" w:hAnsi="Times New Roman;sans-serif"/>
                  <w:b w:val="false"/>
                  <w:color w:val="000080"/>
                  <w:sz w:val="20"/>
                  <w:u w:val="single"/>
                </w:rPr>
                <w:t>3</w:t>
              </w:r>
            </w:hyperlink>
            <w:hyperlink r:id="rId16">
              <w:r>
                <w:rPr>
                  <w:rStyle w:val="InternetLink"/>
                  <w:rFonts w:ascii="Times New Roman;sans-serif" w:hAnsi="Times New Roman;sans-serif"/>
                  <w:b w:val="false"/>
                  <w:color w:val="000080"/>
                  <w:sz w:val="20"/>
                  <w:u w:val="single"/>
                </w:rPr>
                <w:t>.</w:t>
              </w:r>
            </w:hyperlink>
            <w:hyperlink r:id="rId17">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Fourth Amended and Restated By-Laws of Aramark, dated August 1, 2023 (incorporated by reference to Exhibit 3.1 to Aramark’s Current Report on Form 8-K filed with the SEC on August 3, 2023,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Indenture dated as of March 22, 2017, among Aramark Services, Inc., as issuer, Aramark, as parent guarantor, the subsidiary guarantors named therein and The Bank of New York Mellon, as trustee (incorporated by reference to Exhibit 4.1 of Aramark's Current Report on Form 8-K filed with the SEC on March 28,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Indenture dated as of March 27, 2017, among Aramark International Finance S.à.r.l., as issuer, Aramark, as parent guarantor, Aramark Services, Inc., the other guarantors named therein and The Bank of New York Mellon, as trustee and registrar, and The Bank of New York Mellon, London Branch, as paying agent and transfer agent (incorporated by reference to Exhibit 4.2 of Aramark's Current Report on Form 8-K filed with the SEC on March 28,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Indenture, dated as of January 18, 2018, among Aramark Services, Inc., as issuer, Aramark, as parent guarantor, the subsidiary guarantors named therein and U.S. Bank National Association, as trustee (incorporated by reference to Exhibit 4.1 to Aramark’s Current Report on Form 8-K filed with the SEC on January 24, 2018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Indenture, dated as of April 27, 2020, among Aramark Services, Inc., as issuer, Aramark Intermediate Holdco Corporation, as parent guarantor, the subsidiary guarantors named therein and U.S. Bank National Association, as trustee (incorporated by reference to Exhibit 4.1 of Aramark’s Current Report on Form 8-K filed with the SEC on April 28, 2020,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Times New Roman;sans-serif" w:hAnsi="Times New Roman;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Second Supplemental Indenture governing the 5.000% Senior Notes due April 2025, dated as of April 30, 2021, among the subsidiary guarantors named therein, each a subsidiary of Aramark Services, Inc., and The Bank of New York Mellon, as trustee (incorporated by reference to Exhibit 4.1 to Aramark's Quarterly Report on Form 10-Q filed with the SEC on May 11, 2021,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Times New Roman;sans-serif" w:hAnsi="Times New Roman;sans-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Second Supplemental Indenture governing the 3.125% Senior Notes due April 2025, dated as of April 30, 2021, among the subsidiary guarantors named therein, each a subsidiary of Aramark Services, Inc., and The Bank of New York Mellon, as trustee (incorporated by reference to Exhibit 4.2 to Aramark's Quarterly Report on Form 10-Q filed with the SEC on May 11, 2021,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Times New Roman;sans-serif" w:hAnsi="Times New Roman;sans-serif"/>
                  <w:b w:val="false"/>
                  <w:color w:val="000080"/>
                  <w:sz w:val="20"/>
                  <w:u w:val="single"/>
                </w:rPr>
                <w:t>4.</w:t>
              </w:r>
            </w:hyperlink>
            <w:hyperlink r:id="rId32">
              <w:r>
                <w:rPr>
                  <w:rStyle w:val="InternetLink"/>
                  <w:rFonts w:ascii="Times New Roman;sans-serif" w:hAnsi="Times New Roman;sans-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Second Supplemental Indenture governing the 5.000% Senior Notes due February 2028, dated as of April 30, 2021, among the subsidiary guarantors named therein, each a subsidiary of Aramark Services, Inc., and U.S. Bank National Association, as trustee (incorporated by reference to Exhibit 4.5 to Aramark's Quarterly Report on Form 10-Q filed with the SEC on May 11, 2021,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Times New Roman;sans-serif" w:hAnsi="Times New Roman;sans-serif"/>
                  <w:b w:val="false"/>
                  <w:color w:val="000080"/>
                  <w:sz w:val="20"/>
                  <w:u w:val="single"/>
                </w:rPr>
                <w:t>4.</w:t>
              </w:r>
            </w:hyperlink>
            <w:hyperlink r:id="rId35">
              <w:r>
                <w:rPr>
                  <w:rStyle w:val="InternetLink"/>
                  <w:rFonts w:ascii="Times New Roman;sans-serif" w:hAnsi="Times New Roman;sans-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Third Supplemental Indenture governing the 3.125% Senior Notes due April 2025, dated as of December 16, 2022, among the subsidiary guarantors named therein, each a subsidiary of Aramark Services, Inc., and The Bank of New York Mellon, as trustee (incorporated by reference to Exhibit 4.2 to Aramark's Quarterly Report on Form 10-Q filed with the SEC on February 7, 2023,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7">
              <w:r>
                <w:rPr>
                  <w:rStyle w:val="InternetLink"/>
                  <w:rFonts w:ascii="Times New Roman;sans-serif" w:hAnsi="Times New Roman;sans-serif"/>
                  <w:b w:val="false"/>
                  <w:color w:val="000080"/>
                  <w:sz w:val="20"/>
                  <w:u w:val="single"/>
                </w:rPr>
                <w:t>4.</w:t>
              </w:r>
            </w:hyperlink>
            <w:hyperlink r:id="rId38">
              <w:r>
                <w:rPr>
                  <w:rStyle w:val="InternetLink"/>
                  <w:rFonts w:ascii="Times New Roman;sans-serif" w:hAnsi="Times New Roman;sans-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80"/>
                  <w:sz w:val="20"/>
                  <w:u w:val="single"/>
                </w:rPr>
                <w:t>Third Supplemental Indenture governing the 5.000% Senior Notes due April 2025, dated as of December 16, 2022, among the subsidiary guarantors named therein, each a subsidiary of Aramark Services, Inc., and The Bank of New York Mellon, as trustee</w:t>
              </w:r>
            </w:hyperlink>
            <w:hyperlink r:id="rId40">
              <w:r>
                <w:rPr>
                  <w:rStyle w:val="InternetLink"/>
                  <w:rFonts w:ascii="Times New Roman;sans-serif" w:hAnsi="Times New Roman;sans-serif"/>
                  <w:b w:val="false"/>
                  <w:color w:val="000080"/>
                  <w:sz w:val="20"/>
                  <w:u w:val="single"/>
                </w:rPr>
                <w:t xml:space="preserve"> </w:t>
              </w:r>
            </w:hyperlink>
            <w:hyperlink r:id="rId41">
              <w:r>
                <w:rPr>
                  <w:rStyle w:val="InternetLink"/>
                  <w:rFonts w:ascii="Times New Roman;sans-serif" w:hAnsi="Times New Roman;sans-serif"/>
                  <w:b w:val="false"/>
                  <w:color w:val="000080"/>
                  <w:sz w:val="20"/>
                  <w:u w:val="single"/>
                </w:rPr>
                <w:t>(incorporated by reference to Exhibit 4.</w:t>
              </w:r>
            </w:hyperlink>
            <w:hyperlink r:id="rId42">
              <w:r>
                <w:rPr>
                  <w:rStyle w:val="InternetLink"/>
                  <w:rFonts w:ascii="Times New Roman;sans-serif" w:hAnsi="Times New Roman;sans-serif"/>
                  <w:b w:val="false"/>
                  <w:color w:val="000080"/>
                  <w:sz w:val="20"/>
                  <w:u w:val="single"/>
                </w:rPr>
                <w:t>2</w:t>
              </w:r>
            </w:hyperlink>
            <w:hyperlink r:id="rId43">
              <w:r>
                <w:rPr>
                  <w:rStyle w:val="InternetLink"/>
                  <w:rFonts w:ascii="Times New Roman;sans-serif" w:hAnsi="Times New Roman;sans-serif"/>
                  <w:b w:val="false"/>
                  <w:color w:val="000080"/>
                  <w:sz w:val="20"/>
                  <w:u w:val="single"/>
                </w:rPr>
                <w:t xml:space="preserve"> to Aramark's Quarterly Report on Form 10-Q filed with the SEC on February 7, 2023,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S-53</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3033"/>
        <w:gridCol w:w="2991"/>
        <w:gridCol w:w="2999"/>
        <w:gridCol w:w="109"/>
        <w:gridCol w:w="109"/>
        <w:gridCol w:w="1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4">
              <w:r>
                <w:rPr>
                  <w:rStyle w:val="InternetLink"/>
                  <w:rFonts w:ascii="Times New Roman;sans-serif" w:hAnsi="Times New Roman;sans-serif"/>
                  <w:b w:val="false"/>
                  <w:color w:val="000080"/>
                  <w:sz w:val="20"/>
                  <w:u w:val="single"/>
                </w:rPr>
                <w:t>4.1</w:t>
              </w:r>
            </w:hyperlink>
            <w:hyperlink r:id="rId45">
              <w:r>
                <w:rPr>
                  <w:rStyle w:val="InternetLink"/>
                  <w:rFonts w:ascii="Times New Roman;sans-serif" w:hAnsi="Times New Roman;sans-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 xml:space="preserve">Third Supplemental Indenture governing the 5.000% Senior Notes due February 2028, dated as of December 16, 2022, among the subsidiary guarantors named therein, each a subsidiary of Aramark Services, Inc., and U.S. Bank National Association, as trustee </w:t>
              </w:r>
            </w:hyperlink>
            <w:hyperlink r:id="rId47">
              <w:r>
                <w:rPr>
                  <w:rStyle w:val="InternetLink"/>
                  <w:rFonts w:ascii="Times New Roman;sans-serif" w:hAnsi="Times New Roman;sans-serif"/>
                  <w:b w:val="false"/>
                  <w:color w:val="000080"/>
                  <w:sz w:val="20"/>
                  <w:u w:val="single"/>
                </w:rPr>
                <w:t>(incorporated by reference to Exhibit 4.</w:t>
              </w:r>
            </w:hyperlink>
            <w:hyperlink r:id="rId48">
              <w:r>
                <w:rPr>
                  <w:rStyle w:val="InternetLink"/>
                  <w:rFonts w:ascii="Times New Roman;sans-serif" w:hAnsi="Times New Roman;sans-serif"/>
                  <w:b w:val="false"/>
                  <w:color w:val="000080"/>
                  <w:sz w:val="20"/>
                  <w:u w:val="single"/>
                </w:rPr>
                <w:t>4</w:t>
              </w:r>
            </w:hyperlink>
            <w:hyperlink r:id="rId49">
              <w:r>
                <w:rPr>
                  <w:rStyle w:val="InternetLink"/>
                  <w:rFonts w:ascii="Times New Roman;sans-serif" w:hAnsi="Times New Roman;sans-serif"/>
                  <w:b w:val="false"/>
                  <w:color w:val="000080"/>
                  <w:sz w:val="20"/>
                  <w:u w:val="single"/>
                </w:rPr>
                <w:t xml:space="preserve"> to Aramark's Quarterly Report on Form 10-Q filed with the SEC on </w:t>
              </w:r>
            </w:hyperlink>
            <w:hyperlink r:id="rId50">
              <w:r>
                <w:rPr>
                  <w:rStyle w:val="InternetLink"/>
                  <w:rFonts w:ascii="Times New Roman;sans-serif" w:hAnsi="Times New Roman;sans-serif"/>
                  <w:b w:val="false"/>
                  <w:color w:val="000080"/>
                  <w:sz w:val="20"/>
                  <w:u w:val="single"/>
                </w:rPr>
                <w:t>February 7</w:t>
              </w:r>
            </w:hyperlink>
            <w:hyperlink r:id="rId51">
              <w:r>
                <w:rPr>
                  <w:rStyle w:val="InternetLink"/>
                  <w:rFonts w:ascii="Times New Roman;sans-serif" w:hAnsi="Times New Roman;sans-serif"/>
                  <w:b w:val="false"/>
                  <w:color w:val="000080"/>
                  <w:sz w:val="20"/>
                  <w:u w:val="single"/>
                </w:rPr>
                <w:t>, 202</w:t>
              </w:r>
            </w:hyperlink>
            <w:hyperlink r:id="rId52">
              <w:r>
                <w:rPr>
                  <w:rStyle w:val="InternetLink"/>
                  <w:rFonts w:ascii="Times New Roman;sans-serif" w:hAnsi="Times New Roman;sans-serif"/>
                  <w:b w:val="false"/>
                  <w:color w:val="000080"/>
                  <w:sz w:val="20"/>
                  <w:u w:val="single"/>
                </w:rPr>
                <w:t>3</w:t>
              </w:r>
            </w:hyperlink>
            <w:hyperlink r:id="rId53">
              <w:r>
                <w:rPr>
                  <w:rStyle w:val="InternetLink"/>
                  <w:rFonts w:ascii="Times New Roman;sans-serif" w:hAnsi="Times New Roman;sans-serif"/>
                  <w:b w:val="false"/>
                  <w:color w:val="000080"/>
                  <w:sz w:val="20"/>
                  <w:u w:val="single"/>
                </w:rPr>
                <w:t>,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4">
              <w:r>
                <w:rPr>
                  <w:rStyle w:val="InternetLink"/>
                  <w:rFonts w:ascii="Times New Roman;sans-serif" w:hAnsi="Times New Roman;sans-serif"/>
                  <w:b w:val="false"/>
                  <w:color w:val="000080"/>
                  <w:sz w:val="20"/>
                  <w:u w:val="single"/>
                </w:rPr>
                <w:t>4.1</w:t>
              </w:r>
            </w:hyperlink>
            <w:hyperlink r:id="rId55">
              <w:r>
                <w:rPr>
                  <w:rStyle w:val="InternetLink"/>
                  <w:rFonts w:ascii="Times New Roman;sans-serif" w:hAnsi="Times New Roman;sans-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Description of the Company's Common Stock, par value $0.01 per share (incorporated by reference to Exhibit 4.6 to Aramark’s Annual Report on Form 10-K filed with the SEC on November 24, 2020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7">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Credit Agreement, dated as of March 28, 2017, among Aramark Services, Inc., Aramark Intermediate HoldCo Corporation, ARAMARK Canada Ltd., ARAMARK Investments Limited, ARAMARK Ireland Holdings Limited, ARAMARK Regional Treasury Europe, Designated Activity Company, ARAMARK Holdings GmbH &amp; Co. KG, Aramark International Finance S.à.r.l., each subsidiary of the United States Borrower that from time to time becomes a party thereto, the financial institutions from time to time party thereto, the issuing banks named therein, JPMorgan Chase Bank, N.A., as administrative agent for the lenders and collateral agent for the secured parties thereunder (incorporated by reference to Exhibit 10.1 of Aramark’s Current Report on Form 8-K/A filed with the SEC on March 29,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9">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80"/>
                  <w:sz w:val="20"/>
                  <w:u w:val="single"/>
                </w:rPr>
                <w:t xml:space="preserve">Incremental Amendment No. 1, dated as of September </w:t>
              </w:r>
            </w:hyperlink>
            <w:hyperlink r:id="rId61">
              <w:r>
                <w:rPr>
                  <w:rStyle w:val="InternetLink"/>
                  <w:rFonts w:ascii="Times New Roman;sans-serif" w:hAnsi="Times New Roman;sans-serif"/>
                  <w:b w:val="false"/>
                  <w:color w:val="000080"/>
                  <w:sz w:val="20"/>
                  <w:u w:val="single"/>
                </w:rPr>
                <w:t>20, 2017, among Aramark Services, Inc. (the “Company”) Aramark Intermediate HoldCo Corporation, ARAMARK Canada Ltd. (“Aramark Canada”), ARAMARK Investments Limited (“Aramark UK”), and certain wholly-owned subsidiaries of the Company, the financial institutions party thereto and JPMorgan Chase Bank, N.A. as administrative agent for the Lenders (as defined below) and collateral agent for the secured parties thereunder to the credit agreement, dated March 28, 2017, among the Company, Aramark Intermediate HoldCo Corporation, Aramark Canada, Aramark UK, ARAMARK Ireland Holdings Limited, ARAMARK Regional Treasury Europe, Designated Activity Company, ARAMARK Holdings GmbH &amp; Co. KG, Aramark International Finance S.à.r.l. and certain wholly-owned domestic subsidiaries of the Company, the financial institutions from time to time party thereto (including the financial institutions party to the Incremental Amendment, the “Lenders”), the issuing banks named therein and JPMorgan Chase Bank, N.A., as administrative agent for the Lenders and collateral agent for the secured parties thereunder (incorporated by reference to Exhibit 10.1 to Aramark's Current Report on Form 8-K filed with the SEC on September 26,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2">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Incremental Amendment No. 2, dated as of December 11, 2017, among Aramark Services, Inc., Aramark Intermediate HoldCo Corporation (“Holdings”) and certain wholly-owned subsidiaries of Aramark Services, Inc., the financial institutions party thereto and JPMorgan Chase Bank, N.A. as administrative agent for the Lenders (as defined below) and collateral agent for the secured parties thereunder to the credit agreement, dated March 28, 2017, among Aramark Services, Inc., Holdings, ARAMARK Canada Ltd., ARAMARK Investments Limited, ARAMARK Ireland Holdings Limited, ARAMARK Regional Treasury Europe, Designated Activity Company, ARAMARK Holdings GmbH &amp; Co. KG, Aramark International Finance S.à.r.l. and certain wholly-owned domestic subsidiaries of Aramark Services, Inc., the financial institutions from time to time party thereto (the “Lenders”), the issuing banks named therein and JPMorgan Chase Bank, N.A., as administrative agent for the Lenders and collateral agent for the secured parties thereunder (incorporated by reference to Exhibit 10.1 to Aramark’s Current Report on Form 8-K filed with the SEC on December 12, 2017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4">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Incremental Amendment No. 3, dated as of February 28, 2018, among Aramark Services, Inc., ARAMARK Canada Ltd., and Aramark Intermediate HoldCo Corporation (“Holdings”), the financial institutions party thereto and JPMorgan Chase Bank, N.A. as administrative agent for the Lenders (as defined below) and collateral agent for the secured parties thereunder to the credit agreement, dated March 28, 2017, among Aramark Services, Inc., Holdings, ARAMARK Canada Ltd., ARAMARK Investments Limited, ARAMARK Ireland Holdings Limited, ARAMARK Regional Treasury Europe, Designated Activity Company, ARAMARK Holdings GmbH &amp; Co. KG, Aramark International Finance S.à.r.l. and certain wholly-owned domestic subsidiaries of Aramark Services, Inc., the financial institutions from time to time party thereto (the “Lenders”), the issuing banks named therein and JPMorgan Chase Bank, N.A., as administrative agent for the Lenders and collateral agent for the secured parties thereunder (incorporated by reference to Exhibit 10.1 to Aramark's Quarterly Report on Form 10-Q filed with the SEC on May 8, 2018,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6">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Amendment No. 4, dated as of May 11, 2018, among Aramark Services, Inc. (the “Company”), Sumitomo Mitsui Banking Corp. (the “Yen Term C Lender”) and JPMorgan Chase Bank, N.A. as administrative agent for the Lenders (as defined below) and collateral agent for the secured parties thereunder to the credit agreement, dated March 28, 2017, among the Company, Aramark Intermediate Holdco Corporation, ARAMARK Canada Ltd., ARAMARK Investments Limited, ARAMARK Ireland Holdings Limited, ARAMARK Regional Treasury Europe, Designated Activity Company, ARAMARK Holdings GmbH &amp; Co. KG, Aramark International Finance S.à.r.l. and certain wholly-owned domestic subsidiaries of the Company, the financial institutions from time to time party thereto (the “Lenders”), the issuing banks named therein and JPMorgan Chase Bank, N.A., as administrative agent for the Lenders and collateral agent for the secured parties thereunder (incorporated by reference to Exhibit 10.1 to Aramark's Quarterly Report on Form 10-Q filed with the SEC on August 7, 2018, pursuant to the Exchange Act (file number 001-36223)).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S-54</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86"/>
        <w:gridCol w:w="189"/>
        <w:gridCol w:w="109"/>
        <w:gridCol w:w="109"/>
        <w:gridCol w:w="109"/>
        <w:gridCol w:w="2971"/>
        <w:gridCol w:w="2971"/>
        <w:gridCol w:w="2977"/>
        <w:gridCol w:w="109"/>
        <w:gridCol w:w="109"/>
        <w:gridCol w:w="15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8">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Amendment No. 5, dated as of May 24, 2018, among Aramark Services, Inc. (the “Company”), Aramark Intermediate HoldCo Corporation (“Holdings”), certain wholly-owned subsidiaries of the Company, each Converting United States Term B-2 Lender (as defined therein), the Additional United States Term B-2 Lender (as defined therein), the financial institutions party thereto and JPMorgan Chase Bank, N.A. as administrative agent for the Lenders (as defined below) and collateral agent for the secured parties thereunder to the credit agreement, dated March 28, 2017, among the Company, Holdings, ARAMARK Canada Ltd., ARAMARK Investments Limited, ARAMARK Ireland Holdings Limited, ARAMARK Regional Treasury Europe, Designated Activity Company, ARAMARK Holdings GmbH &amp; Co. KG, Aramark International Finance S.à.r.l. and certain wholly-owned domestic subsidiaries of the Company, the financial institutions from time to time party thereto (the “Lenders”), the issuing banks named therein and JPMorgan Chase Bank, N.A., as administrative agent for the Lenders and collateral agent for the secured parties thereunder (incorporated by reference to Exhibit 10.1 to Aramark’s Current Report on Form 8-K filed with the SEC on May 31, 2018 pursuant to the Exchange Act (file number 001-36223)).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0">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Amendment No. 6, dated as of June 12, 2018, among Aramark Services, Inc. (the “Company”), Aramark Intermediate HoldCo Corporation (“Holdings”), certain wholly-owned subsidiaries of the Company, each Converting United States Term B-3 Lender (as defined therein), the Additional United States Term B-3 Lender (as defined therein), the financial institutions party thereto and JPMorgan Chase Bank, N.A. as administrative agent for the Lenders (as defined below) and collateral agent for the secured parties thereunder to the credit agreement, dated March 28, 2017, among the Company, Holdings, ARAMARK Canada Ltd., ARAMARK Investments Limited, ARAMARK Ireland Holdings Limited, ARAMARK Regional Treasury Europe, Designated Activity Company, ARAMARK Holdings GmbH &amp; Co. KG, Aramark International Finance S.à.r.l. and certain wholly-owned domestic subsidiaries of the Company, the financial institutions from time to time party thereto (the “Lenders”), the issuing banks named therein and JPMorgan Chase Bank, N.A., as administrative agent for the Lenders and collateral agent for the secured parties thereunder (incorporated by reference to Exhibit 10.1 to Aramark’s Current Report on Form 8-K filed with the SEC on June 18, 2018 pursuant to the Exchange Act (file number 001-36223)).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2">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Amendment No. 7 (the “Amendment”), dated as of October 1, 2018, among Aramark Services, Inc. (the “Company”), Aramark Intermediate HoldCo Corporation (“Holdings”), Aramark Intermediate HoldCo Corporation (“Holdings”), ARAMARK Canada Ltd. (the “Canadian Borrower”), ARAMARK Investments Limited, ARAMARK Limited (together with ARAMARK Investments Limited, the “UK Borrowers”), ARAMARK Ireland Holdings Limited, ARAMARK Regional Treasury Europe, Designated Activity Company (together with ARAMARK Ireland Holdings Limited, the “Irish Borrowers”), ARAMARK Holdings Deutschland GMBH (as successor by merger to ARAMARK Holdings GmbH &amp; Co. KG, the “German Borrower”), Aramark International Finance S.à.r.l. (the “Luxembourg Borrower”), certain other wholly-owned subsidiaries of the Company, the financial institutions party thereto and JPMorgan Chase Bank, N.A. as administrative agent for the Lenders (as defined below) and collateral agent for the secured parties thereunder to the credit agreement, dated March 28, 2017, among the Company, Holdings, the Canadian Borrower, the UK Borrower, the Irish Borrowers, the German Borrower, the Luxembourg Borrower and certain other wholly-owned domestic subsidiaries of the Company, the financial institutions from time to time party thereto (the “Lenders”), the issuing banks named therein and JPMorgan Chase Bank, N.A., as administrative agent for the Lenders and collateral agent for the secured parties thereunder (incorporated by reference to Exhibit 10.1 to Aramark’s Current Report on Form 8-K filed with the SEC on October 4, 2018 pursuant to the Exchange Act (file number 001-36223)).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4">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Incremental Amendment No. 8 (the “Incremental Amendment”), dated as of January 15, 2020, among Aramark Services, Inc. (the “Company”), Aramark Intermediate HoldCo Corporation (“Holdings”), certain wholly-owned subsidiaries of the Company, the United States Term B-4 Lenders (as defined therein) and JPMorgan Chase Bank, N.A. as administrative agent for the Lenders (as defined therein) and collateral agent for the secured parties thereunder amending that certain credit agreement, dated March 28, 2017, among the Company, Holdings, ARAMARK Canada Ltd., ARAMARK Investments Limited, ARAMARK Limited, ARAMARK Ireland Holdings Limited, ARAMARK Regional Treasury Europe, Designated Activity Company, ARAMARK Holdings Deutschland GMBH (as successor by merger to ARAMARK Holdings GmbH &amp; Co. KG), Aramark International Finance S.à.r.l. and certain other wholly-owned domestic subsidiaries of the Company, the financial institutions from time to time party thereto (including the financial institutions party to the Incremental Amendment, the “Lenders”), the issuing banks named therein and JPMorgan Chase Bank, N.A., as administrative agent for the Lenders and collateral agent for the secured parties thereunder (incorporated by reference to Exhibit 10.1 to Aramark’s Current Report on Form 8-K filed with the SEC on January 16, 2020 pursuant to the Exchange Act (file number 001-36223)).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6">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Amendment No. 9, dated as of April 22, 2020, among Aramark Services, Inc., as borrower, Aramark Intermediate Holdco Corporation, ARAMARK Canada Ltd., ARAMARK Investments Limited, ARAMARK Limited, ARAMARK Ireland Holdings Limited, ARAMARK Regional Treasury Europe, Designated Activity Company, ARAMARK Holdings Deutschland GMBH (as successor by merger to ARAMARK Holdings GmbH &amp; Co. KG), Aramark International Finance S.à.r.l., each lender party thereto and JPMorgan Chase Bank, N.A. as administrative agent (incorporated by reference to Exhibit 10.1 of Aramark’s Current Report on Form 8-K filed with the SEC on April 28, 2020, pursuant to the Exchange Act (file number 001-36223)).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S-55</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3"/>
        <w:gridCol w:w="187"/>
        <w:gridCol w:w="189"/>
        <w:gridCol w:w="109"/>
        <w:gridCol w:w="109"/>
        <w:gridCol w:w="109"/>
        <w:gridCol w:w="3149"/>
        <w:gridCol w:w="2879"/>
        <w:gridCol w:w="2885"/>
        <w:gridCol w:w="109"/>
        <w:gridCol w:w="109"/>
        <w:gridCol w:w="158"/>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8">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Amendment No. 10, dated as of November 12, 2020, among Aramark Services, Inc., Aramark Intermediate HoldCo Corporation, ARAMARK Canada Ltd., ARAMARK Investments Limited, ARAMARK Limited, ARAMARK Ireland Holdings Limited, ARAMARK Regional Treasury Europe, Designated Activity Company, ARAMARK Holdings Deutschland GMBH (as successor by merger to ARAMARK Holdings GmbH &amp; Co. KG), Aramark International Finance S.à.r.l., each lender party thereto and JPMorgan Chase Bank, N.A. as administrative agent (incorporated by reference to Exhibit 10.11 to Aramark’s Annual Report on Form 10-K filed with the SEC on November 24,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0">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Amendment No. 11 (the “Amendment”), dated as of April 6, 2021, among Aramark Services, Inc. (the “Company”), Aramark Intermediate HoldCo Corporation (“Holdings”), Aramark Intermediate HoldCo Corporation (“Holdings”), ARAMARK Canada Ltd. (the “Canadian Borrower”), ARAMARK Investments Limited, ARAMARK Limited (together with ARAMARK Investments Limited, the “UK Borrowers”), ARAMARK Ireland Holdings Limited, ARAMARK Regional Treasury Europe, Designated Activity Company (together with ARAMARK Ireland Holdings Limited, the “Irish Borrowers”), ARAMARK Holdings Deutschland GMBH (as successor by merger to ARAMARK Holdings GmbH &amp; Co. KG, the “German Borrower”), Aramark International Finance S.à.r.l. (the “Luxembourg Borrower”), certain other wholly-owned subsidiaries of the Company, the financial institutions party thereto and JPMorgan Chase Bank, N.A. as administrative agent for the Lenders (as defined below) and collateral agent for the secured parties thereunder to the credit agreement, dated March 28, 2017, among the Company, Holdings, the Canadian Borrower, the UK Borrower, the Irish Borrowers, the German Borrower, the Luxembourg Borrower and certain other wholly-owned domestic subsidiaries of the Company, the financial institutions from time to time party thereto (including the financial institutions party to the Amendment, the “Lenders”), the issuing banks named therein and JPMorgan Chase Bank, N.A., as administrative agent for the Lenders and collateral agent for the secured parties thereunder (incorporated by reference to Exhibit 10.1 to Aramark's Quarterly Report on Form 10-Q filed with the SEC on August 10, 2021,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2">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80"/>
                  <w:sz w:val="20"/>
                  <w:u w:val="single"/>
                </w:rPr>
                <w:t>Amendment No. 12 (the “Amendment”), dated as of June 22, 2023, among Aramark Services, Inc. (the “Company”), Aramark Intermediate HoldCo Corporation (“Holdings”), certain wholly-owned subsidiaries of the Company, the financial institutions party thereto and JPMorgan Chase Bank, N.A. as administrative agent for the Lenders (as defined below) and collateral agent for the secured parties thereunder to the Credit Agreement, dated March 28, 2017, among the Company, Holdings, certain other borrowers party thereto, the financial institutions from time to time party thereto (including the financial institutions party to the Amendment, the “Lenders”), the issuing banks named therein and JPMorgan Chase Bank, N.A., as administrative agent for the Lenders and collateral agent for the secured parties thereunder</w:t>
              </w:r>
            </w:hyperlink>
            <w:hyperlink r:id="rId84">
              <w:r>
                <w:rPr>
                  <w:rStyle w:val="InternetLink"/>
                  <w:rFonts w:ascii="Times New Roman;sans-serif" w:hAnsi="Times New Roman;sans-serif"/>
                  <w:b w:val="false"/>
                  <w:color w:val="000080"/>
                  <w:sz w:val="20"/>
                  <w:u w:val="single"/>
                </w:rPr>
                <w:t xml:space="preserve"> </w:t>
              </w:r>
            </w:hyperlink>
            <w:hyperlink r:id="rId85">
              <w:r>
                <w:rPr>
                  <w:rStyle w:val="InternetLink"/>
                  <w:rFonts w:ascii="Times New Roman;sans-serif" w:hAnsi="Times New Roman;sans-serif"/>
                  <w:b w:val="false"/>
                  <w:color w:val="000080"/>
                  <w:sz w:val="20"/>
                  <w:u w:val="single"/>
                </w:rPr>
                <w:t xml:space="preserve">(incorporated by reference to Exhibit 10.2 to Aramark’s Current Report on Form 8-K filed with the SEC on </w:t>
              </w:r>
            </w:hyperlink>
            <w:hyperlink r:id="rId86">
              <w:r>
                <w:rPr>
                  <w:rStyle w:val="InternetLink"/>
                  <w:rFonts w:ascii="Times New Roman;sans-serif" w:hAnsi="Times New Roman;sans-serif"/>
                  <w:b w:val="false"/>
                  <w:color w:val="000080"/>
                  <w:sz w:val="20"/>
                  <w:u w:val="single"/>
                </w:rPr>
                <w:t>June 27</w:t>
              </w:r>
            </w:hyperlink>
            <w:hyperlink r:id="rId87">
              <w:r>
                <w:rPr>
                  <w:rStyle w:val="InternetLink"/>
                  <w:rFonts w:ascii="Times New Roman;sans-serif" w:hAnsi="Times New Roman;sans-serif"/>
                  <w:b w:val="false"/>
                  <w:color w:val="000080"/>
                  <w:sz w:val="20"/>
                  <w:u w:val="single"/>
                </w:rPr>
                <w:t>, 20</w:t>
              </w:r>
            </w:hyperlink>
            <w:hyperlink r:id="rId88">
              <w:r>
                <w:rPr>
                  <w:rStyle w:val="InternetLink"/>
                  <w:rFonts w:ascii="Times New Roman;sans-serif" w:hAnsi="Times New Roman;sans-serif"/>
                  <w:b w:val="false"/>
                  <w:color w:val="000080"/>
                  <w:sz w:val="20"/>
                  <w:u w:val="single"/>
                </w:rPr>
                <w:t>23</w:t>
              </w:r>
            </w:hyperlink>
            <w:hyperlink r:id="rId89">
              <w:r>
                <w:rPr>
                  <w:rStyle w:val="InternetLink"/>
                  <w:rFonts w:ascii="Times New Roman;sans-serif" w:hAnsi="Times New Roman;sans-serif"/>
                  <w:b w:val="false"/>
                  <w:color w:val="000080"/>
                  <w:sz w:val="20"/>
                  <w:u w:val="single"/>
                </w:rPr>
                <w:t>,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0">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80"/>
                  <w:sz w:val="20"/>
                  <w:u w:val="single"/>
                </w:rPr>
                <w:t>Amendment No. 13 (the “Amendment”), dated as of June 29, 2023, among Aramark Services, Inc. (the “Company”), Aramark Intermediate HoldCo Corporation (“Holdings”) and JPMorgan Chase Bank, N.A. as administrative agent for the Lenders (as defined below) and collateral agent for the secured parties thereunder to the Credit Agreement, dated March 28, 2017, among the Company, Holdings, certain other borrowers party thereto, the financial institutions from time to time party thereto (including the financial institutions party to the Amendment, the “Lenders”), the issuing banks named therein and JPMorgan Chase Bank, N.A., as administrative agent for the Lenders and collateral agent for the secured parties thereunder</w:t>
              </w:r>
            </w:hyperlink>
            <w:hyperlink r:id="rId92">
              <w:r>
                <w:rPr>
                  <w:rStyle w:val="InternetLink"/>
                  <w:rFonts w:ascii="Times New Roman;sans-serif" w:hAnsi="Times New Roman;sans-serif"/>
                  <w:b w:val="false"/>
                  <w:color w:val="000080"/>
                  <w:sz w:val="20"/>
                  <w:u w:val="single"/>
                </w:rPr>
                <w:t xml:space="preserve"> </w:t>
              </w:r>
            </w:hyperlink>
            <w:hyperlink r:id="rId93">
              <w:r>
                <w:rPr>
                  <w:rStyle w:val="InternetLink"/>
                  <w:rFonts w:ascii="Times New Roman;sans-serif" w:hAnsi="Times New Roman;sans-serif"/>
                  <w:b w:val="false"/>
                  <w:color w:val="000080"/>
                  <w:sz w:val="20"/>
                  <w:u w:val="single"/>
                </w:rPr>
                <w:t xml:space="preserve">(incorporated by reference to Exhibit 10.2 to Aramark’s </w:t>
              </w:r>
            </w:hyperlink>
            <w:hyperlink r:id="rId94">
              <w:r>
                <w:rPr>
                  <w:rStyle w:val="InternetLink"/>
                  <w:rFonts w:ascii="Times New Roman;sans-serif" w:hAnsi="Times New Roman;sans-serif"/>
                  <w:b w:val="false"/>
                  <w:color w:val="000080"/>
                  <w:sz w:val="20"/>
                  <w:u w:val="single"/>
                </w:rPr>
                <w:t>Quarterly</w:t>
              </w:r>
            </w:hyperlink>
            <w:hyperlink r:id="rId95">
              <w:r>
                <w:rPr>
                  <w:rStyle w:val="InternetLink"/>
                  <w:rFonts w:ascii="Times New Roman;sans-serif" w:hAnsi="Times New Roman;sans-serif"/>
                  <w:b w:val="false"/>
                  <w:color w:val="000080"/>
                  <w:sz w:val="20"/>
                  <w:u w:val="single"/>
                </w:rPr>
                <w:t xml:space="preserve"> Report on Form</w:t>
              </w:r>
            </w:hyperlink>
            <w:hyperlink r:id="rId96">
              <w:r>
                <w:rPr>
                  <w:rStyle w:val="InternetLink"/>
                  <w:rFonts w:ascii="Times New Roman;sans-serif" w:hAnsi="Times New Roman;sans-serif"/>
                  <w:b w:val="false"/>
                  <w:color w:val="000080"/>
                  <w:sz w:val="20"/>
                  <w:u w:val="single"/>
                </w:rPr>
                <w:t xml:space="preserve"> 10-Q</w:t>
              </w:r>
            </w:hyperlink>
            <w:hyperlink r:id="rId97">
              <w:r>
                <w:rPr>
                  <w:rStyle w:val="InternetLink"/>
                  <w:rFonts w:ascii="Times New Roman;sans-serif" w:hAnsi="Times New Roman;sans-serif"/>
                  <w:b w:val="false"/>
                  <w:color w:val="000080"/>
                  <w:sz w:val="20"/>
                  <w:u w:val="single"/>
                </w:rPr>
                <w:t xml:space="preserve"> filed with the SEC on </w:t>
              </w:r>
            </w:hyperlink>
            <w:hyperlink r:id="rId98">
              <w:r>
                <w:rPr>
                  <w:rStyle w:val="InternetLink"/>
                  <w:rFonts w:ascii="Times New Roman;sans-serif" w:hAnsi="Times New Roman;sans-serif"/>
                  <w:b w:val="false"/>
                  <w:color w:val="000080"/>
                  <w:sz w:val="20"/>
                  <w:u w:val="single"/>
                </w:rPr>
                <w:t>August 8</w:t>
              </w:r>
            </w:hyperlink>
            <w:hyperlink r:id="rId99">
              <w:r>
                <w:rPr>
                  <w:rStyle w:val="InternetLink"/>
                  <w:rFonts w:ascii="Times New Roman;sans-serif" w:hAnsi="Times New Roman;sans-serif"/>
                  <w:b w:val="false"/>
                  <w:color w:val="000080"/>
                  <w:sz w:val="20"/>
                  <w:u w:val="single"/>
                </w:rPr>
                <w:t>, 2023,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0">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ans-serif" w:hAnsi="Times New Roman;sans-serif"/>
                  <w:b w:val="false"/>
                  <w:color w:val="000080"/>
                  <w:sz w:val="20"/>
                  <w:u w:val="single"/>
                </w:rPr>
                <w:t>Joinder Agreement, dated as of November 18, 2022, between each New Subsidiary listed on Schedule I thereto and JPMorgan Chase Bank, N.A., as agent</w:t>
              </w:r>
            </w:hyperlink>
            <w:hyperlink r:id="rId102">
              <w:r>
                <w:rPr>
                  <w:rStyle w:val="InternetLink"/>
                  <w:rFonts w:ascii="Times New Roman;sans-serif" w:hAnsi="Times New Roman;sans-serif"/>
                  <w:b w:val="false"/>
                  <w:color w:val="000080"/>
                  <w:sz w:val="20"/>
                  <w:u w:val="single"/>
                </w:rPr>
                <w:t xml:space="preserve"> </w:t>
              </w:r>
            </w:hyperlink>
            <w:hyperlink r:id="rId103">
              <w:r>
                <w:rPr>
                  <w:rStyle w:val="InternetLink"/>
                  <w:rFonts w:ascii="Times New Roman;sans-serif" w:hAnsi="Times New Roman;sans-serif"/>
                  <w:b w:val="false"/>
                  <w:color w:val="000080"/>
                  <w:sz w:val="20"/>
                  <w:u w:val="single"/>
                </w:rPr>
                <w:t xml:space="preserve">(incorporated by reference to Exhibit </w:t>
              </w:r>
            </w:hyperlink>
            <w:hyperlink r:id="rId104">
              <w:r>
                <w:rPr>
                  <w:rStyle w:val="InternetLink"/>
                  <w:rFonts w:ascii="Times New Roman;sans-serif" w:hAnsi="Times New Roman;sans-serif"/>
                  <w:b w:val="false"/>
                  <w:color w:val="000080"/>
                  <w:sz w:val="20"/>
                  <w:u w:val="single"/>
                </w:rPr>
                <w:t>10.1</w:t>
              </w:r>
            </w:hyperlink>
            <w:hyperlink r:id="rId105">
              <w:r>
                <w:rPr>
                  <w:rStyle w:val="InternetLink"/>
                  <w:rFonts w:ascii="Times New Roman;sans-serif" w:hAnsi="Times New Roman;sans-serif"/>
                  <w:b w:val="false"/>
                  <w:color w:val="000080"/>
                  <w:sz w:val="20"/>
                  <w:u w:val="single"/>
                </w:rPr>
                <w:t xml:space="preserve"> to Aramark's Quarterly Report on Form 10-Q filed with the SEC on February 7, 2023,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6">
              <w:r>
                <w:rPr>
                  <w:rStyle w:val="InternetLink"/>
                  <w:rFonts w:ascii="Times New Roman;sans-serif" w:hAnsi="Times New Roman;sans-serif"/>
                  <w:b w:val="false"/>
                  <w:color w:val="000080"/>
                  <w:sz w:val="20"/>
                  <w:u w:val="single"/>
                </w:rPr>
                <w:t>10.1</w:t>
              </w:r>
            </w:hyperlink>
            <w:hyperlink r:id="rId107">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ans-serif" w:hAnsi="Times New Roman;sans-serif"/>
                  <w:b w:val="false"/>
                  <w:color w:val="0000FF"/>
                  <w:sz w:val="20"/>
                  <w:u w:val="single"/>
                </w:rPr>
                <w:t>United States Pledge and Security Agreement, dated as of March 28, 2017 by and among Aramark Intermediate HoldCo Corporation, Aramark Services, Inc., the Subsidiary Parties from time to time party thereto and JPMorgan Chase Bank, N.A. as collateral agent (incorporated by reference to Exhibit 10.2 to Aramark's Quarterly Report on Form 10-Q filed with the SEC on May 9, 2017,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9">
              <w:r>
                <w:rPr>
                  <w:rStyle w:val="InternetLink"/>
                  <w:rFonts w:ascii="Times New Roman;sans-serif" w:hAnsi="Times New Roman;sans-serif"/>
                  <w:b w:val="false"/>
                  <w:color w:val="000080"/>
                  <w:sz w:val="20"/>
                  <w:u w:val="single"/>
                </w:rPr>
                <w:t>10.1</w:t>
              </w:r>
            </w:hyperlink>
            <w:hyperlink r:id="rId110">
              <w:r>
                <w:rPr>
                  <w:rStyle w:val="InternetLink"/>
                  <w:rFonts w:ascii="Times New Roman;sans-serif" w:hAnsi="Times New Roman;sans-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ans-serif" w:hAnsi="Times New Roman;sans-serif"/>
                  <w:b w:val="false"/>
                  <w:color w:val="0000FF"/>
                  <w:sz w:val="20"/>
                  <w:u w:val="single"/>
                </w:rPr>
                <w:t>Amended and Restated Registration Rights and Coordination Committee Agreement, dated as of December 10, 2013, among Aramark and the other parties thereto (incorporated by reference to Exhibit 10.2 to Aramark’s Current Report on Form 8-K filed with the SEC on December 16, 2013,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2">
              <w:r>
                <w:rPr>
                  <w:rStyle w:val="InternetLink"/>
                  <w:rFonts w:ascii="Times New Roman;sans-serif" w:hAnsi="Times New Roman;sans-serif"/>
                  <w:b w:val="false"/>
                  <w:color w:val="000080"/>
                  <w:sz w:val="20"/>
                  <w:u w:val="single"/>
                </w:rPr>
                <w:t>10.1</w:t>
              </w:r>
            </w:hyperlink>
            <w:hyperlink r:id="rId113">
              <w:r>
                <w:rPr>
                  <w:rStyle w:val="InternetLink"/>
                  <w:rFonts w:ascii="Times New Roman;sans-serif" w:hAnsi="Times New Roman;sans-serif"/>
                  <w:b w:val="false"/>
                  <w:color w:val="000080"/>
                  <w:sz w:val="20"/>
                  <w:u w:val="single"/>
                </w:rPr>
                <w:t>8</w:t>
              </w:r>
            </w:hyperlink>
            <w:hyperlink r:id="rId11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ans-serif" w:hAnsi="Times New Roman;sans-serif"/>
                  <w:b w:val="false"/>
                  <w:color w:val="0000FF"/>
                  <w:sz w:val="20"/>
                  <w:u w:val="single"/>
                </w:rPr>
                <w:t>Form of Agreement Relating to Employment and Post-Employment Competition and Schedule 1 listing each Executive Officer who is a party to such Agreement (incorporated by reference to Exhibit 10.1 to Aramark Services, Inc.’s Current Report on Form 8-K filed with the SEC on July 19, 2007, pursuant to the Exchange Act (file number 001-04762)).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6">
              <w:r>
                <w:rPr>
                  <w:rStyle w:val="InternetLink"/>
                  <w:rFonts w:ascii="Times New Roman;sans-serif" w:hAnsi="Times New Roman;sans-serif"/>
                  <w:b w:val="false"/>
                  <w:color w:val="000080"/>
                  <w:sz w:val="20"/>
                  <w:u w:val="single"/>
                </w:rPr>
                <w:t>10.</w:t>
              </w:r>
            </w:hyperlink>
            <w:hyperlink r:id="rId117">
              <w:r>
                <w:rPr>
                  <w:rStyle w:val="InternetLink"/>
                  <w:rFonts w:ascii="Times New Roman;sans-serif" w:hAnsi="Times New Roman;sans-serif"/>
                  <w:b w:val="false"/>
                  <w:color w:val="000080"/>
                  <w:sz w:val="20"/>
                  <w:u w:val="single"/>
                </w:rPr>
                <w:t>1</w:t>
              </w:r>
            </w:hyperlink>
            <w:hyperlink r:id="rId118">
              <w:r>
                <w:rPr>
                  <w:rStyle w:val="InternetLink"/>
                  <w:rFonts w:ascii="Times New Roman;sans-serif" w:hAnsi="Times New Roman;sans-serif"/>
                  <w:b w:val="false"/>
                  <w:color w:val="000080"/>
                  <w:sz w:val="20"/>
                  <w:u w:val="single"/>
                </w:rPr>
                <w:t>9</w:t>
              </w:r>
            </w:hyperlink>
            <w:hyperlink r:id="rId11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ans-serif" w:hAnsi="Times New Roman;sans-serif"/>
                  <w:b w:val="false"/>
                  <w:color w:val="0000FF"/>
                  <w:sz w:val="20"/>
                  <w:u w:val="single"/>
                </w:rPr>
                <w:t>Form of Amendment to Agreement Relating to Employment and Post-Employment Competition (incorporated by reference to Exhibit 10.8 to Aramark Services, Inc.’s Annual Report on Form 10-K filed with the SEC on December 15, 2008, pursuant to the Exchange Act (file number 001-04762)).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1">
              <w:r>
                <w:rPr>
                  <w:rStyle w:val="InternetLink"/>
                  <w:rFonts w:ascii="Times New Roman;sans-serif" w:hAnsi="Times New Roman;sans-serif"/>
                  <w:b w:val="false"/>
                  <w:color w:val="000080"/>
                  <w:sz w:val="20"/>
                  <w:u w:val="single"/>
                </w:rPr>
                <w:t>10.</w:t>
              </w:r>
            </w:hyperlink>
            <w:hyperlink r:id="rId122">
              <w:r>
                <w:rPr>
                  <w:rStyle w:val="InternetLink"/>
                  <w:rFonts w:ascii="Times New Roman;sans-serif" w:hAnsi="Times New Roman;sans-serif"/>
                  <w:b w:val="false"/>
                  <w:color w:val="000080"/>
                  <w:sz w:val="20"/>
                  <w:u w:val="single"/>
                </w:rPr>
                <w:t>20</w:t>
              </w:r>
            </w:hyperlink>
            <w:hyperlink r:id="rId12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4">
              <w:r>
                <w:rPr>
                  <w:rStyle w:val="InternetLink"/>
                  <w:rFonts w:ascii="Times New Roman;sans-serif" w:hAnsi="Times New Roman;sans-serif"/>
                  <w:b w:val="false"/>
                  <w:color w:val="0000FF"/>
                  <w:sz w:val="20"/>
                  <w:u w:val="single"/>
                </w:rPr>
                <w:t>Offer Letter dated February 4, 2019 between Aramark and Lauren A. Harrington (incorporated by reference to Exhibit 10.21 to Aramark’s Annual Report on Form 10-K filed with the SEC on November 26, 2019,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S-56</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3"/>
        <w:gridCol w:w="204"/>
        <w:gridCol w:w="206"/>
        <w:gridCol w:w="109"/>
        <w:gridCol w:w="109"/>
        <w:gridCol w:w="109"/>
        <w:gridCol w:w="2951"/>
        <w:gridCol w:w="2951"/>
        <w:gridCol w:w="2957"/>
        <w:gridCol w:w="109"/>
        <w:gridCol w:w="109"/>
        <w:gridCol w:w="158"/>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5">
              <w:r>
                <w:rPr>
                  <w:rStyle w:val="InternetLink"/>
                  <w:rFonts w:ascii="Times New Roman;sans-serif" w:hAnsi="Times New Roman;sans-serif"/>
                  <w:b w:val="false"/>
                  <w:color w:val="000080"/>
                  <w:sz w:val="20"/>
                  <w:u w:val="single"/>
                </w:rPr>
                <w:t>10.</w:t>
              </w:r>
            </w:hyperlink>
            <w:hyperlink r:id="rId126">
              <w:r>
                <w:rPr>
                  <w:rStyle w:val="InternetLink"/>
                  <w:rFonts w:ascii="Times New Roman;sans-serif" w:hAnsi="Times New Roman;sans-serif"/>
                  <w:b w:val="false"/>
                  <w:color w:val="000080"/>
                  <w:sz w:val="20"/>
                  <w:u w:val="single"/>
                </w:rPr>
                <w:t>2</w:t>
              </w:r>
            </w:hyperlink>
            <w:hyperlink r:id="rId127">
              <w:r>
                <w:rPr>
                  <w:rStyle w:val="InternetLink"/>
                  <w:rFonts w:ascii="Times New Roman;sans-serif" w:hAnsi="Times New Roman;sans-serif"/>
                  <w:b w:val="false"/>
                  <w:color w:val="000080"/>
                  <w:sz w:val="20"/>
                  <w:u w:val="single"/>
                </w:rPr>
                <w:t>1</w:t>
              </w:r>
            </w:hyperlink>
            <w:hyperlink r:id="rId12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ans-serif" w:hAnsi="Times New Roman;sans-serif"/>
                  <w:b w:val="false"/>
                  <w:color w:val="0000FF"/>
                  <w:sz w:val="20"/>
                  <w:u w:val="single"/>
                </w:rPr>
                <w:t>Amended and Restated Agreement Relating to Employment and Post-Employment Competition dated July 16, 2020 between Aramark and Lauren A. Harrington (incorporated by reference to Exhibit 10.5 of Aramark’s Current Report on Form 8-K filed with the SEC on July 17,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0">
              <w:r>
                <w:rPr>
                  <w:rStyle w:val="InternetLink"/>
                  <w:rFonts w:ascii="Times New Roman;sans-serif" w:hAnsi="Times New Roman;sans-serif"/>
                  <w:b w:val="false"/>
                  <w:color w:val="000080"/>
                  <w:sz w:val="20"/>
                  <w:u w:val="single"/>
                </w:rPr>
                <w:t>10.</w:t>
              </w:r>
            </w:hyperlink>
            <w:hyperlink r:id="rId131">
              <w:r>
                <w:rPr>
                  <w:rStyle w:val="InternetLink"/>
                  <w:rFonts w:ascii="Times New Roman;sans-serif" w:hAnsi="Times New Roman;sans-serif"/>
                  <w:b w:val="false"/>
                  <w:color w:val="000080"/>
                  <w:sz w:val="20"/>
                  <w:u w:val="single"/>
                </w:rPr>
                <w:t>2</w:t>
              </w:r>
            </w:hyperlink>
            <w:hyperlink r:id="rId132">
              <w:r>
                <w:rPr>
                  <w:rStyle w:val="InternetLink"/>
                  <w:rFonts w:ascii="Times New Roman;sans-serif" w:hAnsi="Times New Roman;sans-serif"/>
                  <w:b w:val="false"/>
                  <w:color w:val="000080"/>
                  <w:sz w:val="20"/>
                  <w:u w:val="single"/>
                </w:rPr>
                <w:t>2</w:t>
              </w:r>
            </w:hyperlink>
            <w:hyperlink r:id="rId13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Times New Roman;sans-serif" w:hAnsi="Times New Roman;sans-serif"/>
                  <w:b w:val="false"/>
                  <w:color w:val="0000FF"/>
                  <w:sz w:val="20"/>
                  <w:u w:val="single"/>
                </w:rPr>
                <w:t>Offer Letter by and between Aramark and John J. Zillmer, dated October 6, 2019 (incorporated by reference to Exhibit 10.2 to Aramark’s Current Report on Form 8-K filed with the SEC on October 7, 2019,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5">
              <w:r>
                <w:rPr>
                  <w:rStyle w:val="InternetLink"/>
                  <w:rFonts w:ascii="Times New Roman;sans-serif" w:hAnsi="Times New Roman;sans-serif"/>
                  <w:b w:val="false"/>
                  <w:color w:val="000080"/>
                  <w:sz w:val="20"/>
                  <w:u w:val="single"/>
                </w:rPr>
                <w:t>10.2</w:t>
              </w:r>
            </w:hyperlink>
            <w:hyperlink r:id="rId136">
              <w:r>
                <w:rPr>
                  <w:rStyle w:val="InternetLink"/>
                  <w:rFonts w:ascii="Times New Roman;sans-serif" w:hAnsi="Times New Roman;sans-serif"/>
                  <w:b w:val="false"/>
                  <w:color w:val="000080"/>
                  <w:sz w:val="20"/>
                  <w:u w:val="single"/>
                </w:rPr>
                <w:t>3</w:t>
              </w:r>
            </w:hyperlink>
            <w:hyperlink r:id="rId13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ans-serif" w:hAnsi="Times New Roman;sans-serif"/>
                  <w:b w:val="false"/>
                  <w:color w:val="0000FF"/>
                  <w:sz w:val="20"/>
                  <w:u w:val="single"/>
                </w:rPr>
                <w:t>Amended and Restated Agreement Relating to Employment and Post-Employment Competition dated July 16, 2020 between Aramark and John J. Zillmer (incorporated by reference to Exhibit 10.1 of Aramark’s Current Report on Form 8-K filed with the SEC on July 17,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9">
              <w:r>
                <w:rPr>
                  <w:rStyle w:val="InternetLink"/>
                  <w:rFonts w:ascii="Times New Roman;sans-serif" w:hAnsi="Times New Roman;sans-serif"/>
                  <w:b w:val="false"/>
                  <w:color w:val="000080"/>
                  <w:sz w:val="20"/>
                  <w:u w:val="single"/>
                </w:rPr>
                <w:t>10.2</w:t>
              </w:r>
            </w:hyperlink>
            <w:hyperlink r:id="rId140">
              <w:r>
                <w:rPr>
                  <w:rStyle w:val="InternetLink"/>
                  <w:rFonts w:ascii="Times New Roman;sans-serif" w:hAnsi="Times New Roman;sans-serif"/>
                  <w:b w:val="false"/>
                  <w:color w:val="000080"/>
                  <w:sz w:val="20"/>
                  <w:u w:val="single"/>
                </w:rPr>
                <w:t>4</w:t>
              </w:r>
            </w:hyperlink>
            <w:hyperlink r:id="rId14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2">
              <w:r>
                <w:rPr>
                  <w:rStyle w:val="InternetLink"/>
                  <w:rFonts w:ascii="Times New Roman;sans-serif" w:hAnsi="Times New Roman;sans-serif"/>
                  <w:b w:val="false"/>
                  <w:color w:val="0000FF"/>
                  <w:sz w:val="20"/>
                  <w:u w:val="single"/>
                </w:rPr>
                <w:t>Offer Letter, dated as of January 5, 2020, by and between Thomas Ondrof and Aramark (incorporated by reference to Exhibit 10.2 to Aramark’s Current Report on Form 8-K filed with the SEC on January 6,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3">
              <w:r>
                <w:rPr>
                  <w:rStyle w:val="InternetLink"/>
                  <w:rFonts w:ascii="Times New Roman;sans-serif" w:hAnsi="Times New Roman;sans-serif"/>
                  <w:b w:val="false"/>
                  <w:color w:val="000080"/>
                  <w:sz w:val="20"/>
                  <w:u w:val="single"/>
                </w:rPr>
                <w:t>10.2</w:t>
              </w:r>
            </w:hyperlink>
            <w:hyperlink r:id="rId144">
              <w:r>
                <w:rPr>
                  <w:rStyle w:val="InternetLink"/>
                  <w:rFonts w:ascii="Times New Roman;sans-serif" w:hAnsi="Times New Roman;sans-serif"/>
                  <w:b w:val="false"/>
                  <w:color w:val="000080"/>
                  <w:sz w:val="20"/>
                  <w:u w:val="single"/>
                </w:rPr>
                <w:t>5</w:t>
              </w:r>
            </w:hyperlink>
            <w:hyperlink r:id="rId145">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6">
              <w:r>
                <w:rPr>
                  <w:rStyle w:val="InternetLink"/>
                  <w:rFonts w:ascii="Times New Roman;sans-serif" w:hAnsi="Times New Roman;sans-serif"/>
                  <w:b w:val="false"/>
                  <w:color w:val="0000FF"/>
                  <w:sz w:val="20"/>
                  <w:u w:val="single"/>
                </w:rPr>
                <w:t>Amended and Restated Agreement Relating to Employment and Post-Employment Competition dated July 16, 2020 between Aramark and Thomas Ondrof (incorporated by reference to Exhibit 10.2 of Aramark’s Current Report on Form 8-K filed with the SEC on July 17,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7">
              <w:r>
                <w:rPr>
                  <w:rStyle w:val="InternetLink"/>
                  <w:rFonts w:ascii="Times New Roman;sans-serif" w:hAnsi="Times New Roman;sans-serif"/>
                  <w:b w:val="false"/>
                  <w:color w:val="000080"/>
                  <w:sz w:val="20"/>
                  <w:u w:val="single"/>
                </w:rPr>
                <w:t>10.2</w:t>
              </w:r>
            </w:hyperlink>
            <w:hyperlink r:id="rId148">
              <w:r>
                <w:rPr>
                  <w:rStyle w:val="InternetLink"/>
                  <w:rFonts w:ascii="Times New Roman;sans-serif" w:hAnsi="Times New Roman;sans-serif"/>
                  <w:b w:val="false"/>
                  <w:color w:val="000080"/>
                  <w:sz w:val="20"/>
                  <w:u w:val="single"/>
                </w:rPr>
                <w:t>6</w:t>
              </w:r>
            </w:hyperlink>
            <w:hyperlink r:id="rId14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0">
              <w:r>
                <w:rPr>
                  <w:rStyle w:val="InternetLink"/>
                  <w:rFonts w:ascii="Times New Roman;sans-serif" w:hAnsi="Times New Roman;sans-serif"/>
                  <w:b w:val="false"/>
                  <w:color w:val="0000FF"/>
                  <w:sz w:val="20"/>
                  <w:u w:val="single"/>
                </w:rPr>
                <w:t>Amended and Restated Agreement Relating to Employment and Post-Employment Competition dated July 16, 2020 between Aramark and Lynn B. McKee (incorporated by reference to Exhibit 10.3 of Aramark’s Current Report on Form 8-K filed with the SEC on July 17,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1">
              <w:r>
                <w:rPr>
                  <w:rStyle w:val="InternetLink"/>
                  <w:rFonts w:ascii="Times New Roman;sans-serif" w:hAnsi="Times New Roman;sans-serif"/>
                  <w:b w:val="false"/>
                  <w:color w:val="000080"/>
                  <w:sz w:val="20"/>
                  <w:u w:val="single"/>
                </w:rPr>
                <w:t>10.2</w:t>
              </w:r>
            </w:hyperlink>
            <w:hyperlink r:id="rId152">
              <w:r>
                <w:rPr>
                  <w:rStyle w:val="InternetLink"/>
                  <w:rFonts w:ascii="Times New Roman;sans-serif" w:hAnsi="Times New Roman;sans-serif"/>
                  <w:b w:val="false"/>
                  <w:color w:val="000080"/>
                  <w:sz w:val="20"/>
                  <w:u w:val="single"/>
                </w:rPr>
                <w:t>7</w:t>
              </w:r>
            </w:hyperlink>
            <w:hyperlink r:id="rId15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4">
              <w:r>
                <w:rPr>
                  <w:rStyle w:val="InternetLink"/>
                  <w:rFonts w:ascii="Times New Roman;sans-serif" w:hAnsi="Times New Roman;sans-serif"/>
                  <w:b w:val="false"/>
                  <w:color w:val="0000FF"/>
                  <w:sz w:val="20"/>
                  <w:u w:val="single"/>
                </w:rPr>
                <w:t>Offer Letter dated December 4, 2019 between Aramark and Marc Bruno (incorporated by reference to Exhibit 10.29 to Aramark’s Annual Report on Form 10-K filed with the SEC on November 24,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5">
              <w:r>
                <w:rPr>
                  <w:rStyle w:val="InternetLink"/>
                  <w:rFonts w:ascii="Times New Roman;sans-serif" w:hAnsi="Times New Roman;sans-serif"/>
                  <w:b w:val="false"/>
                  <w:color w:val="000080"/>
                  <w:sz w:val="20"/>
                  <w:u w:val="single"/>
                </w:rPr>
                <w:t>10.2</w:t>
              </w:r>
            </w:hyperlink>
            <w:hyperlink r:id="rId156">
              <w:r>
                <w:rPr>
                  <w:rStyle w:val="InternetLink"/>
                  <w:rFonts w:ascii="Times New Roman;sans-serif" w:hAnsi="Times New Roman;sans-serif"/>
                  <w:b w:val="false"/>
                  <w:color w:val="000080"/>
                  <w:sz w:val="20"/>
                  <w:u w:val="single"/>
                </w:rPr>
                <w:t>8</w:t>
              </w:r>
            </w:hyperlink>
            <w:hyperlink r:id="rId15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8">
              <w:r>
                <w:rPr>
                  <w:rStyle w:val="InternetLink"/>
                  <w:rFonts w:ascii="Times New Roman;sans-serif" w:hAnsi="Times New Roman;sans-serif"/>
                  <w:b w:val="false"/>
                  <w:color w:val="0000FF"/>
                  <w:sz w:val="20"/>
                  <w:u w:val="single"/>
                </w:rPr>
                <w:t>Amended and Restated Agreement Relating to Employment and Post-Employment Competition dated July 16, 2020 between Aramark and Marc Bruno (incorporated by reference to Exhibit 10.30 to Aramark’s Annual Report on Form 10-K filed with the SEC on November 24, 2020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29armkxabigailcharpent.htm">
              <w:r>
                <w:rPr>
                  <w:rStyle w:val="InternetLink"/>
                  <w:rFonts w:ascii="Times New Roman;sans-serif" w:hAnsi="Times New Roman;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9armkxabigailcharpent.htm">
              <w:r>
                <w:rPr>
                  <w:rStyle w:val="InternetLink"/>
                  <w:rFonts w:ascii="Times New Roman;sans-serif" w:hAnsi="Times New Roman;sans-serif"/>
                  <w:b w:val="false"/>
                  <w:color w:val="0000FF"/>
                  <w:sz w:val="20"/>
                  <w:u w:val="single"/>
                </w:rPr>
                <w:t>Offer Letter dated December 2, 2022 between Aramark and Abigail A. Charpentier.</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30armkabigailcharpenti.htm">
              <w:r>
                <w:rPr>
                  <w:rStyle w:val="InternetLink"/>
                  <w:rFonts w:ascii="Times New Roman;sans-serif" w:hAnsi="Times New Roman;sans-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0armkabigailcharpenti.htm">
              <w:r>
                <w:rPr>
                  <w:rStyle w:val="InternetLink"/>
                  <w:rFonts w:ascii="Times New Roman;sans-serif" w:hAnsi="Times New Roman;sans-serif"/>
                  <w:b w:val="false"/>
                  <w:color w:val="0000FF"/>
                  <w:sz w:val="20"/>
                  <w:u w:val="single"/>
                </w:rPr>
                <w:t xml:space="preserve">Amended and Restated Agreement Relating to Employment and Post-Employment Competition dated December 3, 2022 between Aramark and Abigail A. Charpentier.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9">
              <w:r>
                <w:rPr>
                  <w:rStyle w:val="InternetLink"/>
                  <w:rFonts w:ascii="Times New Roman;sans-serif" w:hAnsi="Times New Roman;sans-serif"/>
                  <w:b w:val="false"/>
                  <w:color w:val="000080"/>
                  <w:sz w:val="20"/>
                  <w:u w:val="single"/>
                </w:rPr>
                <w:t>10.3</w:t>
              </w:r>
            </w:hyperlink>
            <w:hyperlink r:id="rId160">
              <w:r>
                <w:rPr>
                  <w:rStyle w:val="InternetLink"/>
                  <w:rFonts w:ascii="Times New Roman;sans-serif" w:hAnsi="Times New Roman;sans-serif"/>
                  <w:b w:val="false"/>
                  <w:color w:val="000080"/>
                  <w:sz w:val="20"/>
                  <w:u w:val="single"/>
                </w:rPr>
                <w:t>1</w:t>
              </w:r>
            </w:hyperlink>
            <w:hyperlink r:id="rId16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2">
              <w:r>
                <w:rPr>
                  <w:rStyle w:val="InternetLink"/>
                  <w:rFonts w:ascii="Times New Roman;sans-serif" w:hAnsi="Times New Roman;sans-serif"/>
                  <w:b w:val="false"/>
                  <w:color w:val="0000FF"/>
                  <w:sz w:val="20"/>
                  <w:u w:val="single"/>
                </w:rPr>
                <w:t>Form of Indemnification Agreement and attached schedule (incorporated by reference to Exhibit 10.4 to Aramark Services, Inc.’s Current Report on Form 8-K filed with the SEC on August 10, 2005, pursuant to the Exchange Act (file number 001-16807)).</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3">
              <w:r>
                <w:rPr>
                  <w:rStyle w:val="InternetLink"/>
                  <w:rFonts w:ascii="Times New Roman;sans-serif" w:hAnsi="Times New Roman;sans-serif"/>
                  <w:b w:val="false"/>
                  <w:color w:val="000080"/>
                  <w:sz w:val="20"/>
                  <w:u w:val="single"/>
                </w:rPr>
                <w:t>10.</w:t>
              </w:r>
            </w:hyperlink>
            <w:hyperlink r:id="rId164">
              <w:r>
                <w:rPr>
                  <w:rStyle w:val="InternetLink"/>
                  <w:rFonts w:ascii="Times New Roman;sans-serif" w:hAnsi="Times New Roman;sans-serif"/>
                  <w:b w:val="false"/>
                  <w:color w:val="000080"/>
                  <w:sz w:val="20"/>
                  <w:u w:val="single"/>
                </w:rPr>
                <w:t>3</w:t>
              </w:r>
            </w:hyperlink>
            <w:hyperlink r:id="rId165">
              <w:r>
                <w:rPr>
                  <w:rStyle w:val="InternetLink"/>
                  <w:rFonts w:ascii="Times New Roman;sans-serif" w:hAnsi="Times New Roman;sans-serif"/>
                  <w:b w:val="false"/>
                  <w:color w:val="000080"/>
                  <w:sz w:val="20"/>
                  <w:u w:val="single"/>
                </w:rPr>
                <w:t>2</w:t>
              </w:r>
            </w:hyperlink>
            <w:hyperlink r:id="rId16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ans-serif" w:hAnsi="Times New Roman;sans-serif"/>
                  <w:b w:val="false"/>
                  <w:color w:val="0000FF"/>
                  <w:sz w:val="20"/>
                  <w:u w:val="single"/>
                </w:rPr>
                <w:t>Form of Indemnification Agreement (Directors) (incorporated by reference to Exhibit 10.17 to Aramark's Annual Report on Form 10-K filed with the SEC on November 22, 2017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8">
              <w:r>
                <w:rPr>
                  <w:rStyle w:val="InternetLink"/>
                  <w:rFonts w:ascii="Times New Roman;sans-serif" w:hAnsi="Times New Roman;sans-serif"/>
                  <w:b w:val="false"/>
                  <w:color w:val="000080"/>
                  <w:sz w:val="20"/>
                  <w:u w:val="single"/>
                </w:rPr>
                <w:t>10.</w:t>
              </w:r>
            </w:hyperlink>
            <w:hyperlink r:id="rId169">
              <w:r>
                <w:rPr>
                  <w:rStyle w:val="InternetLink"/>
                  <w:rFonts w:ascii="Times New Roman;sans-serif" w:hAnsi="Times New Roman;sans-serif"/>
                  <w:b w:val="false"/>
                  <w:color w:val="000080"/>
                  <w:sz w:val="20"/>
                  <w:u w:val="single"/>
                </w:rPr>
                <w:t>3</w:t>
              </w:r>
            </w:hyperlink>
            <w:hyperlink r:id="rId170">
              <w:r>
                <w:rPr>
                  <w:rStyle w:val="InternetLink"/>
                  <w:rFonts w:ascii="Times New Roman;sans-serif" w:hAnsi="Times New Roman;sans-serif"/>
                  <w:b w:val="false"/>
                  <w:color w:val="000080"/>
                  <w:sz w:val="20"/>
                  <w:u w:val="single"/>
                </w:rPr>
                <w:t>3</w:t>
              </w:r>
            </w:hyperlink>
            <w:hyperlink r:id="rId17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2">
              <w:r>
                <w:rPr>
                  <w:rStyle w:val="InternetLink"/>
                  <w:rFonts w:ascii="Times New Roman;sans-serif" w:hAnsi="Times New Roman;sans-serif"/>
                  <w:b w:val="false"/>
                  <w:color w:val="0000FF"/>
                  <w:sz w:val="20"/>
                  <w:u w:val="single"/>
                </w:rPr>
                <w:t>Form of Indemnification Agreement (Executive Officers) (incorporated by reference to Exhibit 10.29 to Aramark’s Annual Report on Form 10-K filed with the SEC on November 26, 2019,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3">
              <w:r>
                <w:rPr>
                  <w:rStyle w:val="InternetLink"/>
                  <w:rFonts w:ascii="Times New Roman;sans-serif" w:hAnsi="Times New Roman;sans-serif"/>
                  <w:b w:val="false"/>
                  <w:color w:val="000080"/>
                  <w:sz w:val="20"/>
                  <w:u w:val="single"/>
                </w:rPr>
                <w:t>10.3</w:t>
              </w:r>
            </w:hyperlink>
            <w:hyperlink r:id="rId174">
              <w:r>
                <w:rPr>
                  <w:rStyle w:val="InternetLink"/>
                  <w:rFonts w:ascii="Times New Roman;sans-serif" w:hAnsi="Times New Roman;sans-serif"/>
                  <w:b w:val="false"/>
                  <w:color w:val="000080"/>
                  <w:sz w:val="20"/>
                  <w:u w:val="single"/>
                </w:rPr>
                <w:t>4</w:t>
              </w:r>
            </w:hyperlink>
            <w:hyperlink r:id="rId175">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6">
              <w:r>
                <w:rPr>
                  <w:rStyle w:val="InternetLink"/>
                  <w:rFonts w:ascii="Times New Roman;sans-serif" w:hAnsi="Times New Roman;sans-serif"/>
                  <w:b w:val="false"/>
                  <w:color w:val="0000FF"/>
                  <w:sz w:val="20"/>
                  <w:u w:val="single"/>
                </w:rPr>
                <w:t>Indemnification Agreement dated February 4, 2014 between Stephen Sadove and Aramark (incorporated by reference to Exhibit 10.2 to Aramark’s Quarterly Report on Form 10-Q filed with the SEC on February 5, 2014,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7">
              <w:r>
                <w:rPr>
                  <w:rStyle w:val="InternetLink"/>
                  <w:rFonts w:ascii="Times New Roman;sans-serif" w:hAnsi="Times New Roman;sans-serif"/>
                  <w:b w:val="false"/>
                  <w:color w:val="000080"/>
                  <w:sz w:val="20"/>
                  <w:u w:val="single"/>
                </w:rPr>
                <w:t>10.3</w:t>
              </w:r>
            </w:hyperlink>
            <w:hyperlink r:id="rId178">
              <w:r>
                <w:rPr>
                  <w:rStyle w:val="InternetLink"/>
                  <w:rFonts w:ascii="Times New Roman;sans-serif" w:hAnsi="Times New Roman;sans-serif"/>
                  <w:b w:val="false"/>
                  <w:color w:val="000080"/>
                  <w:sz w:val="20"/>
                  <w:u w:val="single"/>
                </w:rPr>
                <w:t>5</w:t>
              </w:r>
            </w:hyperlink>
            <w:hyperlink r:id="rId17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0">
              <w:r>
                <w:rPr>
                  <w:rStyle w:val="InternetLink"/>
                  <w:rFonts w:ascii="Times New Roman;sans-serif" w:hAnsi="Times New Roman;sans-serif"/>
                  <w:b w:val="false"/>
                  <w:color w:val="0000FF"/>
                  <w:sz w:val="20"/>
                  <w:u w:val="single"/>
                </w:rPr>
                <w:t>Aramark 2001 Deferred Compensation Plan (incorporated by reference to Exhibit 10.1 to Aramark Services, Inc.’s Registration Statement on Form S-8 filed with the SEC on May 24, 2002 (file number 333-89120)).</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1">
              <w:r>
                <w:rPr>
                  <w:rStyle w:val="InternetLink"/>
                  <w:rFonts w:ascii="Times New Roman;sans-serif" w:hAnsi="Times New Roman;sans-serif"/>
                  <w:b w:val="false"/>
                  <w:color w:val="000080"/>
                  <w:sz w:val="20"/>
                  <w:u w:val="single"/>
                </w:rPr>
                <w:t>10.3</w:t>
              </w:r>
            </w:hyperlink>
            <w:hyperlink r:id="rId182">
              <w:r>
                <w:rPr>
                  <w:rStyle w:val="InternetLink"/>
                  <w:rFonts w:ascii="Times New Roman;sans-serif" w:hAnsi="Times New Roman;sans-serif"/>
                  <w:b w:val="false"/>
                  <w:color w:val="000080"/>
                  <w:sz w:val="20"/>
                  <w:u w:val="single"/>
                </w:rPr>
                <w:t>6</w:t>
              </w:r>
            </w:hyperlink>
            <w:hyperlink r:id="rId18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4">
              <w:r>
                <w:rPr>
                  <w:rStyle w:val="InternetLink"/>
                  <w:rFonts w:ascii="Times New Roman;sans-serif" w:hAnsi="Times New Roman;sans-serif"/>
                  <w:b w:val="false"/>
                  <w:color w:val="0000FF"/>
                  <w:sz w:val="20"/>
                  <w:u w:val="single"/>
                </w:rPr>
                <w:t>Second Amended and Restated Aramark Savings Incentive Retirement Plan (incorporated by reference to Exhibit 10.45 to Aramark’s Form S-1/A filed with the SEC on November 19, 2013, (file number 333-191057)).</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5">
              <w:r>
                <w:rPr>
                  <w:rStyle w:val="InternetLink"/>
                  <w:rFonts w:ascii="Times New Roman;sans-serif" w:hAnsi="Times New Roman;sans-serif"/>
                  <w:b w:val="false"/>
                  <w:color w:val="000080"/>
                  <w:sz w:val="20"/>
                  <w:u w:val="single"/>
                </w:rPr>
                <w:t>10.3</w:t>
              </w:r>
            </w:hyperlink>
            <w:hyperlink r:id="rId186">
              <w:r>
                <w:rPr>
                  <w:rStyle w:val="InternetLink"/>
                  <w:rFonts w:ascii="Times New Roman;sans-serif" w:hAnsi="Times New Roman;sans-serif"/>
                  <w:b w:val="false"/>
                  <w:color w:val="000080"/>
                  <w:sz w:val="20"/>
                  <w:u w:val="single"/>
                </w:rPr>
                <w:t>7</w:t>
              </w:r>
            </w:hyperlink>
            <w:hyperlink r:id="rId18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8">
              <w:r>
                <w:rPr>
                  <w:rStyle w:val="InternetLink"/>
                  <w:rFonts w:ascii="Times New Roman;sans-serif" w:hAnsi="Times New Roman;sans-serif"/>
                  <w:b w:val="false"/>
                  <w:color w:val="0000FF"/>
                  <w:sz w:val="20"/>
                  <w:u w:val="single"/>
                </w:rPr>
                <w:t>Amendment 2019-1 to the Second Amended and Restated Aramark Savings Incentive Retirement Plan (incorporated by reference to Exhibit 10.6 to Aramark’s Quarterly Report on Form 10-Q filed with the SEC on February 4, 2020, pursuant to the Exchange Act (file number 001-36233)).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9">
              <w:r>
                <w:rPr>
                  <w:rStyle w:val="InternetLink"/>
                  <w:rFonts w:ascii="Times New Roman;sans-serif" w:hAnsi="Times New Roman;sans-serif"/>
                  <w:b w:val="false"/>
                  <w:color w:val="000080"/>
                  <w:sz w:val="20"/>
                  <w:u w:val="single"/>
                </w:rPr>
                <w:t>10.3</w:t>
              </w:r>
            </w:hyperlink>
            <w:hyperlink r:id="rId190">
              <w:r>
                <w:rPr>
                  <w:rStyle w:val="InternetLink"/>
                  <w:rFonts w:ascii="Times New Roman;sans-serif" w:hAnsi="Times New Roman;sans-serif"/>
                  <w:b w:val="false"/>
                  <w:color w:val="000080"/>
                  <w:sz w:val="20"/>
                  <w:u w:val="single"/>
                </w:rPr>
                <w:t>8</w:t>
              </w:r>
            </w:hyperlink>
            <w:hyperlink r:id="rId19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2">
              <w:r>
                <w:rPr>
                  <w:rStyle w:val="InternetLink"/>
                  <w:rFonts w:ascii="Times New Roman;sans-serif" w:hAnsi="Times New Roman;sans-serif"/>
                  <w:b w:val="false"/>
                  <w:color w:val="0000FF"/>
                  <w:sz w:val="20"/>
                  <w:u w:val="single"/>
                </w:rPr>
                <w:t>Amended Survivor Income Protection Plan (incorporated by reference to Exhibit 10.5 to Aramark Services, Inc.’s Quarterly Report on Form 10-Q filed with the SEC on August 8, 2007, pursuant to the Exchange Act (file number 001-04762)).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3">
              <w:r>
                <w:rPr>
                  <w:rStyle w:val="InternetLink"/>
                  <w:rFonts w:ascii="Times New Roman;sans-serif" w:hAnsi="Times New Roman;sans-serif"/>
                  <w:b w:val="false"/>
                  <w:color w:val="000080"/>
                  <w:sz w:val="20"/>
                  <w:u w:val="single"/>
                </w:rPr>
                <w:t>10.3</w:t>
              </w:r>
            </w:hyperlink>
            <w:hyperlink r:id="rId194">
              <w:r>
                <w:rPr>
                  <w:rStyle w:val="InternetLink"/>
                  <w:rFonts w:ascii="Times New Roman;sans-serif" w:hAnsi="Times New Roman;sans-serif"/>
                  <w:b w:val="false"/>
                  <w:color w:val="000080"/>
                  <w:sz w:val="20"/>
                  <w:u w:val="single"/>
                </w:rPr>
                <w:t>9</w:t>
              </w:r>
            </w:hyperlink>
            <w:hyperlink r:id="rId195">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6">
              <w:r>
                <w:rPr>
                  <w:rStyle w:val="InternetLink"/>
                  <w:rFonts w:ascii="Times New Roman;sans-serif" w:hAnsi="Times New Roman;sans-serif"/>
                  <w:b w:val="false"/>
                  <w:color w:val="0000FF"/>
                  <w:sz w:val="20"/>
                  <w:u w:val="single"/>
                </w:rPr>
                <w:t>Second Amended and Restated Aramark 2005 Deferred Compensation Plan (incorporated by reference to Exhibit 10.48 to Aramark’s Form S-1/A filed with the SEC on November 19, 2013 (file number 333-191057)).</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7">
              <w:r>
                <w:rPr>
                  <w:rStyle w:val="InternetLink"/>
                  <w:rFonts w:ascii="Times New Roman;sans-serif" w:hAnsi="Times New Roman;sans-serif"/>
                  <w:b w:val="false"/>
                  <w:color w:val="000080"/>
                  <w:sz w:val="20"/>
                  <w:u w:val="single"/>
                </w:rPr>
                <w:t>10.</w:t>
              </w:r>
            </w:hyperlink>
            <w:hyperlink r:id="rId198">
              <w:r>
                <w:rPr>
                  <w:rStyle w:val="InternetLink"/>
                  <w:rFonts w:ascii="Times New Roman;sans-serif" w:hAnsi="Times New Roman;sans-serif"/>
                  <w:b w:val="false"/>
                  <w:color w:val="000080"/>
                  <w:sz w:val="20"/>
                  <w:u w:val="single"/>
                </w:rPr>
                <w:t>40</w:t>
              </w:r>
            </w:hyperlink>
            <w:hyperlink r:id="rId19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0">
              <w:r>
                <w:rPr>
                  <w:rStyle w:val="InternetLink"/>
                  <w:rFonts w:ascii="Times New Roman;sans-serif" w:hAnsi="Times New Roman;sans-serif"/>
                  <w:b w:val="false"/>
                  <w:color w:val="0000FF"/>
                  <w:sz w:val="20"/>
                  <w:u w:val="single"/>
                </w:rPr>
                <w:t>Third Amended and Restated 2005 Deferred Compensation Plan (incorporated by reference to Exhibit 10.2 to Aramark’s Quarterly Report on Form 10-Q filed with the SEC on February 10, 2016, pursuant to the Exchange Act (file number 001-36233)).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1">
              <w:r>
                <w:rPr>
                  <w:rStyle w:val="InternetLink"/>
                  <w:rFonts w:ascii="Times New Roman;sans-serif" w:hAnsi="Times New Roman;sans-serif"/>
                  <w:b w:val="false"/>
                  <w:color w:val="000080"/>
                  <w:sz w:val="20"/>
                  <w:u w:val="single"/>
                </w:rPr>
                <w:t>10.</w:t>
              </w:r>
            </w:hyperlink>
            <w:hyperlink r:id="rId202">
              <w:r>
                <w:rPr>
                  <w:rStyle w:val="InternetLink"/>
                  <w:rFonts w:ascii="Times New Roman;sans-serif" w:hAnsi="Times New Roman;sans-serif"/>
                  <w:b w:val="false"/>
                  <w:color w:val="000080"/>
                  <w:sz w:val="20"/>
                  <w:u w:val="single"/>
                </w:rPr>
                <w:t>4</w:t>
              </w:r>
            </w:hyperlink>
            <w:hyperlink r:id="rId203">
              <w:r>
                <w:rPr>
                  <w:rStyle w:val="InternetLink"/>
                  <w:rFonts w:ascii="Times New Roman;sans-serif" w:hAnsi="Times New Roman;sans-serif"/>
                  <w:b w:val="false"/>
                  <w:color w:val="000080"/>
                  <w:sz w:val="20"/>
                  <w:u w:val="single"/>
                </w:rPr>
                <w:t>1</w:t>
              </w:r>
            </w:hyperlink>
            <w:hyperlink r:id="rId20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5">
              <w:r>
                <w:rPr>
                  <w:rStyle w:val="InternetLink"/>
                  <w:rFonts w:ascii="Times New Roman;sans-serif" w:hAnsi="Times New Roman;sans-serif"/>
                  <w:b w:val="false"/>
                  <w:color w:val="000080"/>
                  <w:sz w:val="20"/>
                  <w:u w:val="single"/>
                </w:rPr>
                <w:t>Amended and Restated Aramark Management Incentive Bonus Plan (incorporated by reference to Exhibit 10.39 to Aramark's Annual Report on Form 10-K filed with the SEC on November 23, 202</w:t>
              </w:r>
            </w:hyperlink>
            <w:hyperlink r:id="rId206">
              <w:r>
                <w:rPr>
                  <w:rStyle w:val="InternetLink"/>
                  <w:rFonts w:ascii="Times New Roman;sans-serif" w:hAnsi="Times New Roman;sans-serif"/>
                  <w:b w:val="false"/>
                  <w:color w:val="000080"/>
                  <w:sz w:val="20"/>
                  <w:u w:val="single"/>
                </w:rPr>
                <w:t>1</w:t>
              </w:r>
            </w:hyperlink>
            <w:hyperlink r:id="rId207">
              <w:r>
                <w:rPr>
                  <w:rStyle w:val="InternetLink"/>
                  <w:rFonts w:ascii="Times New Roman;sans-serif" w:hAnsi="Times New Roman;sans-serif"/>
                  <w:b w:val="false"/>
                  <w:color w:val="000080"/>
                  <w:sz w:val="20"/>
                  <w:u w:val="single"/>
                </w:rPr>
                <w:t xml:space="preserve"> pursuant to the Exchange Act (file number 001-36223)).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S-57</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3"/>
        <w:gridCol w:w="196"/>
        <w:gridCol w:w="198"/>
        <w:gridCol w:w="109"/>
        <w:gridCol w:w="109"/>
        <w:gridCol w:w="109"/>
        <w:gridCol w:w="2960"/>
        <w:gridCol w:w="2960"/>
        <w:gridCol w:w="2966"/>
        <w:gridCol w:w="109"/>
        <w:gridCol w:w="109"/>
        <w:gridCol w:w="15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8">
              <w:r>
                <w:rPr>
                  <w:rStyle w:val="InternetLink"/>
                  <w:rFonts w:ascii="Times New Roman;sans-serif" w:hAnsi="Times New Roman;sans-serif"/>
                  <w:b w:val="false"/>
                  <w:color w:val="000080"/>
                  <w:sz w:val="20"/>
                  <w:u w:val="single"/>
                </w:rPr>
                <w:t>10.</w:t>
              </w:r>
            </w:hyperlink>
            <w:hyperlink r:id="rId209">
              <w:r>
                <w:rPr>
                  <w:rStyle w:val="InternetLink"/>
                  <w:rFonts w:ascii="Times New Roman;sans-serif" w:hAnsi="Times New Roman;sans-serif"/>
                  <w:b w:val="false"/>
                  <w:color w:val="000080"/>
                  <w:sz w:val="20"/>
                  <w:u w:val="single"/>
                </w:rPr>
                <w:t>4</w:t>
              </w:r>
            </w:hyperlink>
            <w:hyperlink r:id="rId210">
              <w:r>
                <w:rPr>
                  <w:rStyle w:val="InternetLink"/>
                  <w:rFonts w:ascii="Times New Roman;sans-serif" w:hAnsi="Times New Roman;sans-serif"/>
                  <w:b w:val="false"/>
                  <w:color w:val="000080"/>
                  <w:sz w:val="20"/>
                  <w:u w:val="single"/>
                </w:rPr>
                <w:t>2</w:t>
              </w:r>
            </w:hyperlink>
            <w:hyperlink r:id="rId21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2">
              <w:r>
                <w:rPr>
                  <w:rStyle w:val="InternetLink"/>
                  <w:rFonts w:ascii="Times New Roman;sans-serif" w:hAnsi="Times New Roman;sans-serif"/>
                  <w:b w:val="false"/>
                  <w:color w:val="0000FF"/>
                  <w:sz w:val="20"/>
                  <w:u w:val="single"/>
                </w:rPr>
                <w:t>Aramark 2005 Deferred Compensation Plan for Directors (incorporated by reference to Exhibit 10.67 to Aramark’s Form S-1/A filed with the SEC on November 19, 2013 (file number 333-191057)).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3">
              <w:r>
                <w:rPr>
                  <w:rStyle w:val="InternetLink"/>
                  <w:rFonts w:ascii="Times New Roman;sans-serif" w:hAnsi="Times New Roman;sans-serif"/>
                  <w:b w:val="false"/>
                  <w:color w:val="000080"/>
                  <w:sz w:val="20"/>
                  <w:u w:val="single"/>
                </w:rPr>
                <w:t>10.4</w:t>
              </w:r>
            </w:hyperlink>
            <w:hyperlink r:id="rId214">
              <w:r>
                <w:rPr>
                  <w:rStyle w:val="InternetLink"/>
                  <w:rFonts w:ascii="Times New Roman;sans-serif" w:hAnsi="Times New Roman;sans-serif"/>
                  <w:b w:val="false"/>
                  <w:color w:val="000080"/>
                  <w:sz w:val="20"/>
                  <w:u w:val="single"/>
                </w:rPr>
                <w:t>3</w:t>
              </w:r>
            </w:hyperlink>
            <w:hyperlink r:id="rId215">
              <w:r>
                <w:rPr>
                  <w:rStyle w:val="InternetLink"/>
                  <w:rFonts w:ascii="Times New Roman;sans-serif" w:hAnsi="Times New Roman;sans-serif"/>
                  <w:b w:val="false"/>
                  <w:color w:val="000080"/>
                  <w:sz w:val="20"/>
                  <w:u w:val="single"/>
                </w:rPr>
                <w:t>†</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6">
              <w:r>
                <w:rPr>
                  <w:rStyle w:val="InternetLink"/>
                  <w:rFonts w:ascii="Times New Roman;sans-serif" w:hAnsi="Times New Roman;sans-serif"/>
                  <w:b w:val="false"/>
                  <w:color w:val="0000FF"/>
                  <w:sz w:val="20"/>
                  <w:u w:val="single"/>
                </w:rPr>
                <w:t>Aramark's Amended and Restated 2013 Stock Incentive Plan (incorporated by reference to Exhibit 10.1 to Aramark's Quarterly Report on Form 10-Q filed with the SEC on February 7, 2017, pursuant to the Exchange Act (file number 001-36233)).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"http://www.sec.gov/Archives/edgar/data/1584509/000119312519320893/d754382ddef14a.htm" \l "toc754382_28"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10.4</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"http://www.sec.gov/Archives/edgar/data/1584509/000119312519320893/d754382ddef14a.htm" \l "toc754382_28"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4</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"http://www.sec.gov/Archives/edgar/data/1584509/000119312519320893/d754382ddef14a.htm" \l "toc754382_28"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w:t>
            </w:r>
            <w:r>
              <w:rPr>
                <w:rStyle w:val="InternetLink"/>
                <w:sz w:val="20"/>
                <w:u w:val="single"/>
                <w:b w:val="false"/>
                <w:rFonts w:ascii="Times New Roman;sans-serif" w:hAnsi="Times New Roman;sans-serif"/>
                <w:color w:val="00008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"http://www.sec.gov/Archives/edgar/data/1584509/000119312519320893/d754382ddef14a.htm" \l "toc754382_28"</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Second Amended and Restated 2013 Stock Incentive Plan of Aramark (incorporated by reference to Appendix A to the Company's Proxy Statement filed with the SEC on December 20, 2019 (file number 001-36223)).</w:t>
            </w:r>
            <w:r>
              <w:rPr>
                <w:rStyle w:val="InternetLink"/>
                <w:sz w:val="20"/>
                <w:u w:val="single"/>
                <w:b w:val="false"/>
                <w:rFonts w:ascii="Times New Roman;sans-serif" w:hAnsi="Times New Roman;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"http://www.sec.gov/Archives/edgar/data/1584509/000119312520326024/d51571ddef14a.htm" \l "toc51571_27"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10.4</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"http://www.sec.gov/Archives/edgar/data/1584509/000119312520326024/d51571ddef14a.htm" \l "toc51571_27"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5</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"http://www.sec.gov/Archives/edgar/data/1584509/000119312520326024/d51571ddef14a.htm" \l "toc51571_27"</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w:t>
            </w:r>
            <w:r>
              <w:rPr>
                <w:rStyle w:val="InternetLink"/>
                <w:sz w:val="20"/>
                <w:u w:val="single"/>
                <w:b w:val="false"/>
                <w:rFonts w:ascii="Times New Roman;sans-serif" w:hAnsi="Times New Roman;sans-serif"/>
                <w:color w:val="00008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"http://www.sec.gov/Archives/edgar/data/1584509/000119312520326024/d51571ddef14a.htm" \l "toc51571_27"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Aramark Third Amended and Restated 2013 Stock Incentive Plan of Aramark (incorporated by reference to Appendix A to the Company's Proxy Statement filed with the SEC on December 23, 2020 (file number 001-36223)).</w:t>
            </w:r>
            <w:r>
              <w:rPr>
                <w:rStyle w:val="InternetLink"/>
                <w:sz w:val="20"/>
                <w:u w:val="single"/>
                <w:b w:val="false"/>
                <w:rFonts w:ascii="Times New Roman;sans-serif" w:hAnsi="Times New Roman;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7">
              <w:r>
                <w:rPr>
                  <w:rStyle w:val="InternetLink"/>
                  <w:rFonts w:ascii="Times New Roman;sans-serif" w:hAnsi="Times New Roman;sans-serif"/>
                  <w:b w:val="false"/>
                  <w:color w:val="000080"/>
                  <w:sz w:val="20"/>
                  <w:u w:val="single"/>
                </w:rPr>
                <w:t>10.4</w:t>
              </w:r>
            </w:hyperlink>
            <w:hyperlink r:id="rId218">
              <w:r>
                <w:rPr>
                  <w:rStyle w:val="InternetLink"/>
                  <w:rFonts w:ascii="Times New Roman;sans-serif" w:hAnsi="Times New Roman;sans-serif"/>
                  <w:b w:val="false"/>
                  <w:color w:val="000080"/>
                  <w:sz w:val="20"/>
                  <w:u w:val="single"/>
                </w:rPr>
                <w:t>6</w:t>
              </w:r>
            </w:hyperlink>
            <w:hyperlink r:id="rId21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0">
              <w:r>
                <w:rPr>
                  <w:rStyle w:val="InternetLink"/>
                  <w:rFonts w:ascii="Times New Roman;sans-serif" w:hAnsi="Times New Roman;sans-serif"/>
                  <w:b w:val="false"/>
                  <w:color w:val="0000FF"/>
                  <w:sz w:val="20"/>
                  <w:u w:val="single"/>
                </w:rPr>
                <w:t>Form of Non-Qualified Stock Option Award Agreement (incorporated by reference to Exhibit 10.2 to Aramark Services, Inc.’s Current Report on Form 8-K filed with the SEC on June 26, 2013, pursuant to the Exchange Act (file number 001-04762)).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1">
              <w:r>
                <w:rPr>
                  <w:rStyle w:val="InternetLink"/>
                  <w:rFonts w:ascii="Times New Roman;sans-serif" w:hAnsi="Times New Roman;sans-serif"/>
                  <w:b w:val="false"/>
                  <w:color w:val="000080"/>
                  <w:sz w:val="20"/>
                  <w:u w:val="single"/>
                </w:rPr>
                <w:t>10.4</w:t>
              </w:r>
            </w:hyperlink>
            <w:hyperlink r:id="rId222">
              <w:r>
                <w:rPr>
                  <w:rStyle w:val="InternetLink"/>
                  <w:rFonts w:ascii="Times New Roman;sans-serif" w:hAnsi="Times New Roman;sans-serif"/>
                  <w:b w:val="false"/>
                  <w:color w:val="000080"/>
                  <w:sz w:val="20"/>
                  <w:u w:val="single"/>
                </w:rPr>
                <w:t>7</w:t>
              </w:r>
            </w:hyperlink>
            <w:hyperlink r:id="rId22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4">
              <w:r>
                <w:rPr>
                  <w:rStyle w:val="InternetLink"/>
                  <w:rFonts w:ascii="Times New Roman;sans-serif" w:hAnsi="Times New Roman;sans-serif"/>
                  <w:b w:val="false"/>
                  <w:color w:val="0000FF"/>
                  <w:sz w:val="20"/>
                  <w:u w:val="single"/>
                </w:rPr>
                <w:t>Form of Replacement Stock Option Award Agreement with Aramark (incorporated by reference to Exhibit 10.5 to Aramark Services, Inc.’s Current Report on Form 8-K filed with the SEC on June 26, 2013, pursuant to the Exchange Act (file number 001-04762)).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5">
              <w:r>
                <w:rPr>
                  <w:rStyle w:val="InternetLink"/>
                  <w:rFonts w:ascii="Times New Roman;sans-serif" w:hAnsi="Times New Roman;sans-serif"/>
                  <w:b w:val="false"/>
                  <w:color w:val="000080"/>
                  <w:sz w:val="20"/>
                  <w:u w:val="single"/>
                </w:rPr>
                <w:t>10.4</w:t>
              </w:r>
            </w:hyperlink>
            <w:hyperlink r:id="rId226">
              <w:r>
                <w:rPr>
                  <w:rStyle w:val="InternetLink"/>
                  <w:rFonts w:ascii="Times New Roman;sans-serif" w:hAnsi="Times New Roman;sans-serif"/>
                  <w:b w:val="false"/>
                  <w:color w:val="000080"/>
                  <w:sz w:val="20"/>
                  <w:u w:val="single"/>
                </w:rPr>
                <w:t>8</w:t>
              </w:r>
            </w:hyperlink>
            <w:hyperlink r:id="rId22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8">
              <w:r>
                <w:rPr>
                  <w:rStyle w:val="InternetLink"/>
                  <w:rFonts w:ascii="Times New Roman;sans-serif" w:hAnsi="Times New Roman;sans-serif"/>
                  <w:b w:val="false"/>
                  <w:color w:val="0000FF"/>
                  <w:sz w:val="20"/>
                  <w:u w:val="single"/>
                </w:rPr>
                <w:t>Revised Schedule 1s to Outstanding Non-Qualified Stock Option Agreements (incorporated by reference to Exhibit 10.68 to Aramark’s Form S-1/A filed with the SEC on November 19, 2013 (file number 333-191057)).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9">
              <w:r>
                <w:rPr>
                  <w:rStyle w:val="InternetLink"/>
                  <w:rFonts w:ascii="Times New Roman;sans-serif" w:hAnsi="Times New Roman;sans-serif"/>
                  <w:b w:val="false"/>
                  <w:color w:val="000080"/>
                  <w:sz w:val="20"/>
                  <w:u w:val="single"/>
                </w:rPr>
                <w:t>10.</w:t>
              </w:r>
            </w:hyperlink>
            <w:hyperlink r:id="rId230">
              <w:r>
                <w:rPr>
                  <w:rStyle w:val="InternetLink"/>
                  <w:rFonts w:ascii="Times New Roman;sans-serif" w:hAnsi="Times New Roman;sans-serif"/>
                  <w:b w:val="false"/>
                  <w:color w:val="000080"/>
                  <w:sz w:val="20"/>
                  <w:u w:val="single"/>
                </w:rPr>
                <w:t>4</w:t>
              </w:r>
            </w:hyperlink>
            <w:hyperlink r:id="rId231">
              <w:r>
                <w:rPr>
                  <w:rStyle w:val="InternetLink"/>
                  <w:rFonts w:ascii="Times New Roman;sans-serif" w:hAnsi="Times New Roman;sans-serif"/>
                  <w:b w:val="false"/>
                  <w:color w:val="000080"/>
                  <w:sz w:val="20"/>
                  <w:u w:val="single"/>
                </w:rPr>
                <w:t>9</w:t>
              </w:r>
            </w:hyperlink>
            <w:hyperlink r:id="rId23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3">
              <w:r>
                <w:rPr>
                  <w:rStyle w:val="InternetLink"/>
                  <w:rFonts w:ascii="Times New Roman;sans-serif" w:hAnsi="Times New Roman;sans-serif"/>
                  <w:b w:val="false"/>
                  <w:color w:val="0000FF"/>
                  <w:sz w:val="20"/>
                  <w:u w:val="single"/>
                </w:rPr>
                <w:t>Form of Amendment to Outstanding Non-Qualified Stock Option Agreement (incorporated by reference to Exhibit 10.69 to Aramark’s Form S-1/A filed with the SEC on November 19, 2013 (file number 333-191057)).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4">
              <w:r>
                <w:rPr>
                  <w:rStyle w:val="InternetLink"/>
                  <w:rFonts w:ascii="Times New Roman;sans-serif" w:hAnsi="Times New Roman;sans-serif"/>
                  <w:b w:val="false"/>
                  <w:color w:val="000080"/>
                  <w:sz w:val="20"/>
                  <w:u w:val="single"/>
                </w:rPr>
                <w:t>10.</w:t>
              </w:r>
            </w:hyperlink>
            <w:hyperlink r:id="rId235">
              <w:r>
                <w:rPr>
                  <w:rStyle w:val="InternetLink"/>
                  <w:rFonts w:ascii="Times New Roman;sans-serif" w:hAnsi="Times New Roman;sans-serif"/>
                  <w:b w:val="false"/>
                  <w:color w:val="000080"/>
                  <w:sz w:val="20"/>
                  <w:u w:val="single"/>
                </w:rPr>
                <w:t>50</w:t>
              </w:r>
            </w:hyperlink>
            <w:hyperlink r:id="rId23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7">
              <w:r>
                <w:rPr>
                  <w:rStyle w:val="InternetLink"/>
                  <w:rFonts w:ascii="Times New Roman;sans-serif" w:hAnsi="Times New Roman;sans-serif"/>
                  <w:b w:val="false"/>
                  <w:color w:val="0000FF"/>
                  <w:sz w:val="20"/>
                  <w:u w:val="single"/>
                </w:rPr>
                <w:t>Form of Non-Qualified Stock Option Award under the Aramark 2013 Stock Incentive Plan (incorporated by reference to Exhibit 10.71 to Aramark’s Form S-1/A filed with the SEC on November 19, 2013 (file number 333-191057)).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8">
              <w:r>
                <w:rPr>
                  <w:rStyle w:val="InternetLink"/>
                  <w:rFonts w:ascii="Times New Roman;sans-serif" w:hAnsi="Times New Roman;sans-serif"/>
                  <w:b w:val="false"/>
                  <w:color w:val="000080"/>
                  <w:sz w:val="20"/>
                  <w:u w:val="single"/>
                </w:rPr>
                <w:t>10.</w:t>
              </w:r>
            </w:hyperlink>
            <w:hyperlink r:id="rId239">
              <w:r>
                <w:rPr>
                  <w:rStyle w:val="InternetLink"/>
                  <w:rFonts w:ascii="Times New Roman;sans-serif" w:hAnsi="Times New Roman;sans-serif"/>
                  <w:b w:val="false"/>
                  <w:color w:val="000080"/>
                  <w:sz w:val="20"/>
                  <w:u w:val="single"/>
                </w:rPr>
                <w:t>5</w:t>
              </w:r>
            </w:hyperlink>
            <w:hyperlink r:id="rId240">
              <w:r>
                <w:rPr>
                  <w:rStyle w:val="InternetLink"/>
                  <w:rFonts w:ascii="Times New Roman;sans-serif" w:hAnsi="Times New Roman;sans-serif"/>
                  <w:b w:val="false"/>
                  <w:color w:val="000080"/>
                  <w:sz w:val="20"/>
                  <w:u w:val="single"/>
                </w:rPr>
                <w:t>1</w:t>
              </w:r>
            </w:hyperlink>
            <w:hyperlink r:id="rId24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2">
              <w:r>
                <w:rPr>
                  <w:rStyle w:val="InternetLink"/>
                  <w:rFonts w:ascii="Times New Roman;sans-serif" w:hAnsi="Times New Roman;sans-serif"/>
                  <w:b w:val="false"/>
                  <w:color w:val="000080"/>
                  <w:sz w:val="20"/>
                  <w:u w:val="single"/>
                </w:rPr>
                <w:t>Form of Non-Qualified Stock Option Award (Retirement Notice/Full Vest) (incorporated by reference to Exhibit 10.72 to Aramark's Annual Report on Form 10-K filed with the SEC on November 22, 2017 pursuant to the Exchange Act (file number 001-36223</w:t>
              </w:r>
            </w:hyperlink>
            <w:hyperlink r:id="rId243">
              <w:r>
                <w:rPr>
                  <w:rStyle w:val="InternetLink"/>
                  <w:rFonts w:ascii="Times New Roman;sans-serif" w:hAnsi="Times New Roman;sans-serif"/>
                  <w:b w:val="false"/>
                  <w:color w:val="000080"/>
                  <w:sz w:val="20"/>
                  <w:u w:val="single"/>
                </w:rPr>
                <w:t>)</w:t>
              </w:r>
            </w:hyperlink>
            <w:hyperlink r:id="rId244">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5">
              <w:r>
                <w:rPr>
                  <w:rStyle w:val="InternetLink"/>
                  <w:rFonts w:ascii="Times New Roman;sans-serif" w:hAnsi="Times New Roman;sans-serif"/>
                  <w:b w:val="false"/>
                  <w:color w:val="000080"/>
                  <w:sz w:val="20"/>
                  <w:u w:val="single"/>
                </w:rPr>
                <w:t>10.</w:t>
              </w:r>
            </w:hyperlink>
            <w:hyperlink r:id="rId246">
              <w:r>
                <w:rPr>
                  <w:rStyle w:val="InternetLink"/>
                  <w:rFonts w:ascii="Times New Roman;sans-serif" w:hAnsi="Times New Roman;sans-serif"/>
                  <w:b w:val="false"/>
                  <w:color w:val="000080"/>
                  <w:sz w:val="20"/>
                  <w:u w:val="single"/>
                </w:rPr>
                <w:t>5</w:t>
              </w:r>
            </w:hyperlink>
            <w:hyperlink r:id="rId247">
              <w:r>
                <w:rPr>
                  <w:rStyle w:val="InternetLink"/>
                  <w:rFonts w:ascii="Times New Roman;sans-serif" w:hAnsi="Times New Roman;sans-serif"/>
                  <w:b w:val="false"/>
                  <w:color w:val="000080"/>
                  <w:sz w:val="20"/>
                  <w:u w:val="single"/>
                </w:rPr>
                <w:t>2</w:t>
              </w:r>
            </w:hyperlink>
            <w:hyperlink r:id="rId24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9">
              <w:r>
                <w:rPr>
                  <w:rStyle w:val="InternetLink"/>
                  <w:rFonts w:ascii="Times New Roman;sans-serif" w:hAnsi="Times New Roman;sans-serif"/>
                  <w:b w:val="false"/>
                  <w:color w:val="000080"/>
                  <w:sz w:val="20"/>
                  <w:u w:val="single"/>
                </w:rPr>
                <w:t>Form of Restricted Stock Unit Award (Time Vesting) (Retirement Notice/2Y Vest) (incorporated by reference to Exhibit 10.73 to Aramark's Annual Report on Form 10-K filed with the SEC on November 22, 2017 pursuant to the Exchange Act (file number 001-36223</w:t>
              </w:r>
            </w:hyperlink>
            <w:hyperlink r:id="rId250">
              <w:r>
                <w:rPr>
                  <w:rStyle w:val="InternetLink"/>
                  <w:rFonts w:ascii="Times New Roman;sans-serif" w:hAnsi="Times New Roman;sans-serif"/>
                  <w:b w:val="false"/>
                  <w:color w:val="000080"/>
                  <w:sz w:val="20"/>
                  <w:u w:val="single"/>
                </w:rPr>
                <w:t>)</w:t>
              </w:r>
            </w:hyperlink>
            <w:hyperlink r:id="rId251">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52">
              <w:r>
                <w:rPr>
                  <w:rStyle w:val="InternetLink"/>
                  <w:rFonts w:ascii="Times New Roman;sans-serif" w:hAnsi="Times New Roman;sans-serif"/>
                  <w:b w:val="false"/>
                  <w:color w:val="000080"/>
                  <w:sz w:val="20"/>
                  <w:u w:val="single"/>
                </w:rPr>
                <w:t>10.</w:t>
              </w:r>
            </w:hyperlink>
            <w:hyperlink r:id="rId253">
              <w:r>
                <w:rPr>
                  <w:rStyle w:val="InternetLink"/>
                  <w:rFonts w:ascii="Times New Roman;sans-serif" w:hAnsi="Times New Roman;sans-serif"/>
                  <w:b w:val="false"/>
                  <w:color w:val="000080"/>
                  <w:sz w:val="20"/>
                  <w:u w:val="single"/>
                </w:rPr>
                <w:t>5</w:t>
              </w:r>
            </w:hyperlink>
            <w:hyperlink r:id="rId254">
              <w:r>
                <w:rPr>
                  <w:rStyle w:val="InternetLink"/>
                  <w:rFonts w:ascii="Times New Roman;sans-serif" w:hAnsi="Times New Roman;sans-serif"/>
                  <w:b w:val="false"/>
                  <w:color w:val="000080"/>
                  <w:sz w:val="20"/>
                  <w:u w:val="single"/>
                </w:rPr>
                <w:t>3</w:t>
              </w:r>
            </w:hyperlink>
            <w:hyperlink r:id="rId255">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256">
              <w:r>
                <w:rPr>
                  <w:rStyle w:val="InternetLink"/>
                  <w:rFonts w:ascii="Times New Roman;sans-serif" w:hAnsi="Times New Roman;sans-serif"/>
                  <w:b w:val="false"/>
                  <w:color w:val="000080"/>
                  <w:sz w:val="20"/>
                  <w:u w:val="single"/>
                </w:rPr>
                <w:t>Form of Performance Stock Unit Award (Retirement Notice/2Y Vest) (incorporated by reference to Exhibit 10.74 to Aramark's Annual Report on Form 10-K filed with the SEC on November 22, 2017 pursuant to the Exchange Act (file number 001-36223</w:t>
              </w:r>
            </w:hyperlink>
            <w:hyperlink r:id="rId257">
              <w:r>
                <w:rPr>
                  <w:rStyle w:val="InternetLink"/>
                  <w:rFonts w:ascii="Times New Roman;sans-serif" w:hAnsi="Times New Roman;sans-serif"/>
                  <w:b w:val="false"/>
                  <w:color w:val="000080"/>
                  <w:sz w:val="20"/>
                  <w:u w:val="single"/>
                </w:rPr>
                <w:t>)</w:t>
              </w:r>
            </w:hyperlink>
            <w:hyperlink r:id="rId258">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59">
              <w:r>
                <w:rPr>
                  <w:rStyle w:val="InternetLink"/>
                  <w:rFonts w:ascii="Times New Roman;sans-serif" w:hAnsi="Times New Roman;sans-serif"/>
                  <w:b w:val="false"/>
                  <w:color w:val="000080"/>
                  <w:sz w:val="20"/>
                  <w:u w:val="single"/>
                </w:rPr>
                <w:t>10.</w:t>
              </w:r>
            </w:hyperlink>
            <w:hyperlink r:id="rId260">
              <w:r>
                <w:rPr>
                  <w:rStyle w:val="InternetLink"/>
                  <w:rFonts w:ascii="Times New Roman;sans-serif" w:hAnsi="Times New Roman;sans-serif"/>
                  <w:b w:val="false"/>
                  <w:color w:val="000080"/>
                  <w:sz w:val="20"/>
                  <w:u w:val="single"/>
                </w:rPr>
                <w:t>5</w:t>
              </w:r>
            </w:hyperlink>
            <w:hyperlink r:id="rId261">
              <w:r>
                <w:rPr>
                  <w:rStyle w:val="InternetLink"/>
                  <w:rFonts w:ascii="Times New Roman;sans-serif" w:hAnsi="Times New Roman;sans-serif"/>
                  <w:b w:val="false"/>
                  <w:color w:val="000080"/>
                  <w:sz w:val="20"/>
                  <w:u w:val="single"/>
                </w:rPr>
                <w:t>4</w:t>
              </w:r>
            </w:hyperlink>
            <w:hyperlink r:id="rId26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3">
              <w:r>
                <w:rPr>
                  <w:rStyle w:val="InternetLink"/>
                  <w:rFonts w:ascii="Times New Roman;sans-serif" w:hAnsi="Times New Roman;sans-serif"/>
                  <w:b w:val="false"/>
                  <w:color w:val="000080"/>
                  <w:sz w:val="20"/>
                  <w:u w:val="single"/>
                </w:rPr>
                <w:t>Form of Non-Qualified Stock Option Award (Retirement Notice/2Y Vest) (incorporated by reference to Exhibit 10.75 to Aramark's Annual Report on Form 10-K filed with the SEC on November 22, 2017 pursuant to the Exchange Act (file number 001-36223</w:t>
              </w:r>
            </w:hyperlink>
            <w:hyperlink r:id="rId264">
              <w:r>
                <w:rPr>
                  <w:rStyle w:val="InternetLink"/>
                  <w:rFonts w:ascii="Times New Roman;sans-serif" w:hAnsi="Times New Roman;sans-serif"/>
                  <w:b w:val="false"/>
                  <w:color w:val="000080"/>
                  <w:sz w:val="20"/>
                  <w:u w:val="single"/>
                </w:rPr>
                <w:t>)</w:t>
              </w:r>
            </w:hyperlink>
            <w:hyperlink r:id="rId265">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66">
              <w:r>
                <w:rPr>
                  <w:rStyle w:val="InternetLink"/>
                  <w:rFonts w:ascii="Times New Roman;sans-serif" w:hAnsi="Times New Roman;sans-serif"/>
                  <w:b w:val="false"/>
                  <w:color w:val="000080"/>
                  <w:sz w:val="20"/>
                  <w:u w:val="single"/>
                </w:rPr>
                <w:t>10.</w:t>
              </w:r>
            </w:hyperlink>
            <w:hyperlink r:id="rId267">
              <w:r>
                <w:rPr>
                  <w:rStyle w:val="InternetLink"/>
                  <w:rFonts w:ascii="Times New Roman;sans-serif" w:hAnsi="Times New Roman;sans-serif"/>
                  <w:b w:val="false"/>
                  <w:color w:val="000080"/>
                  <w:sz w:val="20"/>
                  <w:u w:val="single"/>
                </w:rPr>
                <w:t>5</w:t>
              </w:r>
            </w:hyperlink>
            <w:hyperlink r:id="rId268">
              <w:r>
                <w:rPr>
                  <w:rStyle w:val="InternetLink"/>
                  <w:rFonts w:ascii="Times New Roman;sans-serif" w:hAnsi="Times New Roman;sans-serif"/>
                  <w:b w:val="false"/>
                  <w:color w:val="000080"/>
                  <w:sz w:val="20"/>
                  <w:u w:val="single"/>
                </w:rPr>
                <w:t>5</w:t>
              </w:r>
            </w:hyperlink>
            <w:hyperlink r:id="rId26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0">
              <w:r>
                <w:rPr>
                  <w:rStyle w:val="InternetLink"/>
                  <w:rFonts w:ascii="Times New Roman;sans-serif" w:hAnsi="Times New Roman;sans-serif"/>
                  <w:b w:val="false"/>
                  <w:color w:val="0000FF"/>
                  <w:sz w:val="20"/>
                  <w:u w:val="single"/>
                </w:rPr>
                <w:t>Form of Non-Qualified Stock Option Award (incorporated by reference to Exhibit 10.93 to Aramark’s Annual Report on Form 10-K filed with the SEC on November 26, 2019,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71">
              <w:r>
                <w:rPr>
                  <w:rStyle w:val="InternetLink"/>
                  <w:rFonts w:ascii="Times New Roman;sans-serif" w:hAnsi="Times New Roman;sans-serif"/>
                  <w:b w:val="false"/>
                  <w:color w:val="000080"/>
                  <w:sz w:val="20"/>
                  <w:u w:val="single"/>
                </w:rPr>
                <w:t>10.</w:t>
              </w:r>
            </w:hyperlink>
            <w:hyperlink r:id="rId272">
              <w:r>
                <w:rPr>
                  <w:rStyle w:val="InternetLink"/>
                  <w:rFonts w:ascii="Times New Roman;sans-serif" w:hAnsi="Times New Roman;sans-serif"/>
                  <w:b w:val="false"/>
                  <w:color w:val="000080"/>
                  <w:sz w:val="20"/>
                  <w:u w:val="single"/>
                </w:rPr>
                <w:t>5</w:t>
              </w:r>
            </w:hyperlink>
            <w:hyperlink r:id="rId273">
              <w:r>
                <w:rPr>
                  <w:rStyle w:val="InternetLink"/>
                  <w:rFonts w:ascii="Times New Roman;sans-serif" w:hAnsi="Times New Roman;sans-serif"/>
                  <w:b w:val="false"/>
                  <w:color w:val="000080"/>
                  <w:sz w:val="20"/>
                  <w:u w:val="single"/>
                </w:rPr>
                <w:t>6</w:t>
              </w:r>
            </w:hyperlink>
            <w:hyperlink r:id="rId27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5">
              <w:r>
                <w:rPr>
                  <w:rStyle w:val="InternetLink"/>
                  <w:rFonts w:ascii="Times New Roman;sans-serif" w:hAnsi="Times New Roman;sans-serif"/>
                  <w:b w:val="false"/>
                  <w:color w:val="0000FF"/>
                  <w:sz w:val="20"/>
                  <w:u w:val="single"/>
                </w:rPr>
                <w:t>Form of Restricted Stock Unit Award (Time Vesting) (incorporated by reference to Exhibit 10.94 to Aramark’s Annual Report on Form 10-K filed with the SEC on November 26, 2019,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76">
              <w:r>
                <w:rPr>
                  <w:rStyle w:val="InternetLink"/>
                  <w:rFonts w:ascii="Times New Roman;sans-serif" w:hAnsi="Times New Roman;sans-serif"/>
                  <w:b w:val="false"/>
                  <w:color w:val="000080"/>
                  <w:sz w:val="20"/>
                  <w:u w:val="single"/>
                </w:rPr>
                <w:t>10.</w:t>
              </w:r>
            </w:hyperlink>
            <w:hyperlink r:id="rId277">
              <w:r>
                <w:rPr>
                  <w:rStyle w:val="InternetLink"/>
                  <w:rFonts w:ascii="Times New Roman;sans-serif" w:hAnsi="Times New Roman;sans-serif"/>
                  <w:b w:val="false"/>
                  <w:color w:val="000080"/>
                  <w:sz w:val="20"/>
                  <w:u w:val="single"/>
                </w:rPr>
                <w:t>5</w:t>
              </w:r>
            </w:hyperlink>
            <w:hyperlink r:id="rId278">
              <w:r>
                <w:rPr>
                  <w:rStyle w:val="InternetLink"/>
                  <w:rFonts w:ascii="Times New Roman;sans-serif" w:hAnsi="Times New Roman;sans-serif"/>
                  <w:b w:val="false"/>
                  <w:color w:val="000080"/>
                  <w:sz w:val="20"/>
                  <w:u w:val="single"/>
                </w:rPr>
                <w:t>7</w:t>
              </w:r>
            </w:hyperlink>
            <w:hyperlink r:id="rId27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0">
              <w:r>
                <w:rPr>
                  <w:rStyle w:val="InternetLink"/>
                  <w:rFonts w:ascii="Times New Roman;sans-serif" w:hAnsi="Times New Roman;sans-serif"/>
                  <w:b w:val="false"/>
                  <w:color w:val="0000FF"/>
                  <w:sz w:val="20"/>
                  <w:u w:val="single"/>
                </w:rPr>
                <w:t>Form of Performance Stock Unit Award (incorporated by reference to Exhibit 10.95 to Aramark’s Annual Report on Form 10-K filed with the SEC on November 26, 2019,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81">
              <w:r>
                <w:rPr>
                  <w:rStyle w:val="InternetLink"/>
                  <w:rFonts w:ascii="Times New Roman;sans-serif" w:hAnsi="Times New Roman;sans-serif"/>
                  <w:b w:val="false"/>
                  <w:color w:val="000080"/>
                  <w:sz w:val="20"/>
                  <w:u w:val="single"/>
                </w:rPr>
                <w:t>10.</w:t>
              </w:r>
            </w:hyperlink>
            <w:hyperlink r:id="rId282">
              <w:r>
                <w:rPr>
                  <w:rStyle w:val="InternetLink"/>
                  <w:rFonts w:ascii="Times New Roman;sans-serif" w:hAnsi="Times New Roman;sans-serif"/>
                  <w:b w:val="false"/>
                  <w:color w:val="000080"/>
                  <w:sz w:val="20"/>
                  <w:u w:val="single"/>
                </w:rPr>
                <w:t>5</w:t>
              </w:r>
            </w:hyperlink>
            <w:hyperlink r:id="rId283">
              <w:r>
                <w:rPr>
                  <w:rStyle w:val="InternetLink"/>
                  <w:rFonts w:ascii="Times New Roman;sans-serif" w:hAnsi="Times New Roman;sans-serif"/>
                  <w:b w:val="false"/>
                  <w:color w:val="000080"/>
                  <w:sz w:val="20"/>
                  <w:u w:val="single"/>
                </w:rPr>
                <w:t>8</w:t>
              </w:r>
            </w:hyperlink>
            <w:hyperlink r:id="rId28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5">
              <w:r>
                <w:rPr>
                  <w:rStyle w:val="InternetLink"/>
                  <w:rFonts w:ascii="Times New Roman;sans-serif" w:hAnsi="Times New Roman;sans-serif"/>
                  <w:b w:val="false"/>
                  <w:color w:val="0000FF"/>
                  <w:sz w:val="20"/>
                  <w:u w:val="single"/>
                </w:rPr>
                <w:t>Form of Schedule I to Performance Stock Unit Award (incorporated by reference to Exhibit 10.96 to Aramark’s Annual Report on Form 10-K filed with the SEC on November 26, 2019,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86">
              <w:r>
                <w:rPr>
                  <w:rStyle w:val="InternetLink"/>
                  <w:rFonts w:ascii="Times New Roman;sans-serif" w:hAnsi="Times New Roman;sans-serif"/>
                  <w:b w:val="false"/>
                  <w:color w:val="000080"/>
                  <w:sz w:val="20"/>
                  <w:u w:val="single"/>
                </w:rPr>
                <w:t>10.</w:t>
              </w:r>
            </w:hyperlink>
            <w:hyperlink r:id="rId287">
              <w:r>
                <w:rPr>
                  <w:rStyle w:val="InternetLink"/>
                  <w:rFonts w:ascii="Times New Roman;sans-serif" w:hAnsi="Times New Roman;sans-serif"/>
                  <w:b w:val="false"/>
                  <w:color w:val="000080"/>
                  <w:sz w:val="20"/>
                  <w:u w:val="single"/>
                </w:rPr>
                <w:t>5</w:t>
              </w:r>
            </w:hyperlink>
            <w:hyperlink r:id="rId288">
              <w:r>
                <w:rPr>
                  <w:rStyle w:val="InternetLink"/>
                  <w:rFonts w:ascii="Times New Roman;sans-serif" w:hAnsi="Times New Roman;sans-serif"/>
                  <w:b w:val="false"/>
                  <w:color w:val="000080"/>
                  <w:sz w:val="20"/>
                  <w:u w:val="single"/>
                </w:rPr>
                <w:t>9</w:t>
              </w:r>
            </w:hyperlink>
            <w:hyperlink r:id="rId28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0">
              <w:r>
                <w:rPr>
                  <w:rStyle w:val="InternetLink"/>
                  <w:rFonts w:ascii="Times New Roman;sans-serif" w:hAnsi="Times New Roman;sans-serif"/>
                  <w:b w:val="false"/>
                  <w:color w:val="0000FF"/>
                  <w:sz w:val="20"/>
                  <w:u w:val="single"/>
                </w:rPr>
                <w:t>Amended and Restated Form of Non-Qualified Stock Option Award dated July 16, 2020 between Aramark and John J. Zillmer (incorporated by reference to Exhibit 10.6 of Aramark’s Current Report on Form 8-K filed with the SEC on July 17, 2020,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91">
              <w:r>
                <w:rPr>
                  <w:rStyle w:val="InternetLink"/>
                  <w:rFonts w:ascii="Times New Roman;sans-serif" w:hAnsi="Times New Roman;sans-serif"/>
                  <w:b w:val="false"/>
                  <w:color w:val="000080"/>
                  <w:sz w:val="20"/>
                  <w:u w:val="single"/>
                </w:rPr>
                <w:t>10.</w:t>
              </w:r>
            </w:hyperlink>
            <w:hyperlink r:id="rId292">
              <w:r>
                <w:rPr>
                  <w:rStyle w:val="InternetLink"/>
                  <w:rFonts w:ascii="Times New Roman;sans-serif" w:hAnsi="Times New Roman;sans-serif"/>
                  <w:b w:val="false"/>
                  <w:color w:val="000080"/>
                  <w:sz w:val="20"/>
                  <w:u w:val="single"/>
                </w:rPr>
                <w:t>60</w:t>
              </w:r>
            </w:hyperlink>
            <w:hyperlink r:id="rId29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4">
              <w:r>
                <w:rPr>
                  <w:rStyle w:val="InternetLink"/>
                  <w:rFonts w:ascii="Times New Roman;sans-serif" w:hAnsi="Times New Roman;sans-serif"/>
                  <w:b w:val="false"/>
                  <w:color w:val="0000FF"/>
                  <w:sz w:val="20"/>
                  <w:u w:val="single"/>
                </w:rPr>
                <w:t>Amended and Restated Restricted Stock Unit Award (Time Vesting) dated July 16, 2020 between Aramark and John J. Zillmer (incorporated by reference to Exhibit 10.7 of Aramark’s Current Report on Form 8-K filed with the SEC on July 17, 2020,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95">
              <w:r>
                <w:rPr>
                  <w:rStyle w:val="InternetLink"/>
                  <w:rFonts w:ascii="Times New Roman;sans-serif" w:hAnsi="Times New Roman;sans-serif"/>
                  <w:b w:val="false"/>
                  <w:color w:val="000080"/>
                  <w:sz w:val="20"/>
                  <w:u w:val="single"/>
                </w:rPr>
                <w:t>10.</w:t>
              </w:r>
            </w:hyperlink>
            <w:hyperlink r:id="rId296">
              <w:r>
                <w:rPr>
                  <w:rStyle w:val="InternetLink"/>
                  <w:rFonts w:ascii="Times New Roman;sans-serif" w:hAnsi="Times New Roman;sans-serif"/>
                  <w:b w:val="false"/>
                  <w:color w:val="000080"/>
                  <w:sz w:val="20"/>
                  <w:u w:val="single"/>
                </w:rPr>
                <w:t>6</w:t>
              </w:r>
            </w:hyperlink>
            <w:hyperlink r:id="rId297">
              <w:r>
                <w:rPr>
                  <w:rStyle w:val="InternetLink"/>
                  <w:rFonts w:ascii="Times New Roman;sans-serif" w:hAnsi="Times New Roman;sans-serif"/>
                  <w:b w:val="false"/>
                  <w:color w:val="000080"/>
                  <w:sz w:val="20"/>
                  <w:u w:val="single"/>
                </w:rPr>
                <w:t>1</w:t>
              </w:r>
            </w:hyperlink>
            <w:hyperlink r:id="rId29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9">
              <w:r>
                <w:rPr>
                  <w:rStyle w:val="InternetLink"/>
                  <w:rFonts w:ascii="Times New Roman;sans-serif" w:hAnsi="Times New Roman;sans-serif"/>
                  <w:b w:val="false"/>
                  <w:color w:val="0000FF"/>
                  <w:sz w:val="20"/>
                  <w:u w:val="single"/>
                </w:rPr>
                <w:t>Amended and Restated Form of Performance Stock Unit Award dated July 16, 2020 between Aramark and John J. Zillmer (incorporated by reference to Exhibit 10.8 of Aramark’s Current Report on Form 8-K filed with the SEC on July 17, 2020,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00">
              <w:r>
                <w:rPr>
                  <w:rStyle w:val="InternetLink"/>
                  <w:rFonts w:ascii="Times New Roman;sans-serif" w:hAnsi="Times New Roman;sans-serif"/>
                  <w:b w:val="false"/>
                  <w:color w:val="000080"/>
                  <w:sz w:val="20"/>
                  <w:u w:val="single"/>
                </w:rPr>
                <w:t>10.</w:t>
              </w:r>
            </w:hyperlink>
            <w:hyperlink r:id="rId301">
              <w:r>
                <w:rPr>
                  <w:rStyle w:val="InternetLink"/>
                  <w:rFonts w:ascii="Times New Roman;sans-serif" w:hAnsi="Times New Roman;sans-serif"/>
                  <w:b w:val="false"/>
                  <w:color w:val="000080"/>
                  <w:sz w:val="20"/>
                  <w:u w:val="single"/>
                </w:rPr>
                <w:t>6</w:t>
              </w:r>
            </w:hyperlink>
            <w:hyperlink r:id="rId302">
              <w:r>
                <w:rPr>
                  <w:rStyle w:val="InternetLink"/>
                  <w:rFonts w:ascii="Times New Roman;sans-serif" w:hAnsi="Times New Roman;sans-serif"/>
                  <w:b w:val="false"/>
                  <w:color w:val="000080"/>
                  <w:sz w:val="20"/>
                  <w:u w:val="single"/>
                </w:rPr>
                <w:t>2</w:t>
              </w:r>
            </w:hyperlink>
            <w:hyperlink r:id="rId30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4">
              <w:r>
                <w:rPr>
                  <w:rStyle w:val="InternetLink"/>
                  <w:rFonts w:ascii="Times New Roman;sans-serif" w:hAnsi="Times New Roman;sans-serif"/>
                  <w:b w:val="false"/>
                  <w:color w:val="0000FF"/>
                  <w:sz w:val="20"/>
                  <w:u w:val="single"/>
                </w:rPr>
                <w:t>Amended and Restated Form of Non-Qualified Stock Option Award dated September 4, 2020 between Aramark and John J. Zillmer (incorporated by reference to Exhibit 10.104 to Aramark’s Annual Report on Form 10-K filed with the SEC on November 24, 2020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S-58</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1"/>
        <w:gridCol w:w="194"/>
        <w:gridCol w:w="196"/>
        <w:gridCol w:w="109"/>
        <w:gridCol w:w="109"/>
        <w:gridCol w:w="109"/>
        <w:gridCol w:w="2961"/>
        <w:gridCol w:w="2961"/>
        <w:gridCol w:w="2968"/>
        <w:gridCol w:w="109"/>
        <w:gridCol w:w="109"/>
        <w:gridCol w:w="15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05">
              <w:r>
                <w:rPr>
                  <w:rStyle w:val="InternetLink"/>
                  <w:rFonts w:ascii="Times New Roman;sans-serif" w:hAnsi="Times New Roman;sans-serif"/>
                  <w:b w:val="false"/>
                  <w:color w:val="000080"/>
                  <w:sz w:val="20"/>
                  <w:u w:val="single"/>
                </w:rPr>
                <w:t>10.</w:t>
              </w:r>
            </w:hyperlink>
            <w:hyperlink r:id="rId306">
              <w:r>
                <w:rPr>
                  <w:rStyle w:val="InternetLink"/>
                  <w:rFonts w:ascii="Times New Roman;sans-serif" w:hAnsi="Times New Roman;sans-serif"/>
                  <w:b w:val="false"/>
                  <w:color w:val="000080"/>
                  <w:sz w:val="20"/>
                  <w:u w:val="single"/>
                </w:rPr>
                <w:t>6</w:t>
              </w:r>
            </w:hyperlink>
            <w:hyperlink r:id="rId307">
              <w:r>
                <w:rPr>
                  <w:rStyle w:val="InternetLink"/>
                  <w:rFonts w:ascii="Times New Roman;sans-serif" w:hAnsi="Times New Roman;sans-serif"/>
                  <w:b w:val="false"/>
                  <w:color w:val="000080"/>
                  <w:sz w:val="20"/>
                  <w:u w:val="single"/>
                </w:rPr>
                <w:t>3</w:t>
              </w:r>
            </w:hyperlink>
            <w:hyperlink r:id="rId30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9">
              <w:r>
                <w:rPr>
                  <w:rStyle w:val="InternetLink"/>
                  <w:rFonts w:ascii="Times New Roman;sans-serif" w:hAnsi="Times New Roman;sans-serif"/>
                  <w:b w:val="false"/>
                  <w:color w:val="0000FF"/>
                  <w:sz w:val="20"/>
                  <w:u w:val="single"/>
                </w:rPr>
                <w:t>Form of Non-Qualified Stock Option Award (incorporated by reference to Exhibit 10.105 to Aramark’s Annual Report on Form 10-K filed with the SEC on November 24, 2020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10">
              <w:r>
                <w:rPr>
                  <w:rStyle w:val="InternetLink"/>
                  <w:rFonts w:ascii="Times New Roman;sans-serif" w:hAnsi="Times New Roman;sans-serif"/>
                  <w:b w:val="false"/>
                  <w:color w:val="000080"/>
                  <w:sz w:val="20"/>
                  <w:u w:val="single"/>
                </w:rPr>
                <w:t>10.</w:t>
              </w:r>
            </w:hyperlink>
            <w:hyperlink r:id="rId311">
              <w:r>
                <w:rPr>
                  <w:rStyle w:val="InternetLink"/>
                  <w:rFonts w:ascii="Times New Roman;sans-serif" w:hAnsi="Times New Roman;sans-serif"/>
                  <w:b w:val="false"/>
                  <w:color w:val="000080"/>
                  <w:sz w:val="20"/>
                  <w:u w:val="single"/>
                </w:rPr>
                <w:t>6</w:t>
              </w:r>
            </w:hyperlink>
            <w:hyperlink r:id="rId312">
              <w:r>
                <w:rPr>
                  <w:rStyle w:val="InternetLink"/>
                  <w:rFonts w:ascii="Times New Roman;sans-serif" w:hAnsi="Times New Roman;sans-serif"/>
                  <w:b w:val="false"/>
                  <w:color w:val="000080"/>
                  <w:sz w:val="20"/>
                  <w:u w:val="single"/>
                </w:rPr>
                <w:t>4</w:t>
              </w:r>
            </w:hyperlink>
            <w:hyperlink r:id="rId31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4">
              <w:r>
                <w:rPr>
                  <w:rStyle w:val="InternetLink"/>
                  <w:rFonts w:ascii="Times New Roman;sans-serif" w:hAnsi="Times New Roman;sans-serif"/>
                  <w:b w:val="false"/>
                  <w:color w:val="0000FF"/>
                  <w:sz w:val="20"/>
                  <w:u w:val="single"/>
                </w:rPr>
                <w:t>Amended and Restated Form of Non-Qualified Stock Option Award dated September 4, 2020 between Aramark and John J. Zillmer (incorporated by reference to Exhibit 10.106 to Aramark’s Annual Report on Form 10-K filed with the SEC on November 24, 2020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15">
              <w:r>
                <w:rPr>
                  <w:rStyle w:val="InternetLink"/>
                  <w:rFonts w:ascii="Times New Roman;sans-serif" w:hAnsi="Times New Roman;sans-serif"/>
                  <w:b w:val="false"/>
                  <w:color w:val="000080"/>
                  <w:sz w:val="20"/>
                  <w:u w:val="single"/>
                </w:rPr>
                <w:t>10.</w:t>
              </w:r>
            </w:hyperlink>
            <w:hyperlink r:id="rId316">
              <w:r>
                <w:rPr>
                  <w:rStyle w:val="InternetLink"/>
                  <w:rFonts w:ascii="Times New Roman;sans-serif" w:hAnsi="Times New Roman;sans-serif"/>
                  <w:b w:val="false"/>
                  <w:color w:val="000080"/>
                  <w:sz w:val="20"/>
                  <w:u w:val="single"/>
                </w:rPr>
                <w:t>6</w:t>
              </w:r>
            </w:hyperlink>
            <w:hyperlink r:id="rId317">
              <w:r>
                <w:rPr>
                  <w:rStyle w:val="InternetLink"/>
                  <w:rFonts w:ascii="Times New Roman;sans-serif" w:hAnsi="Times New Roman;sans-serif"/>
                  <w:b w:val="false"/>
                  <w:color w:val="000080"/>
                  <w:sz w:val="20"/>
                  <w:u w:val="single"/>
                </w:rPr>
                <w:t>5</w:t>
              </w:r>
            </w:hyperlink>
            <w:hyperlink r:id="rId31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9">
              <w:r>
                <w:rPr>
                  <w:rStyle w:val="InternetLink"/>
                  <w:rFonts w:ascii="Times New Roman;sans-serif" w:hAnsi="Times New Roman;sans-serif"/>
                  <w:b w:val="false"/>
                  <w:color w:val="0000FF"/>
                  <w:sz w:val="20"/>
                  <w:u w:val="single"/>
                </w:rPr>
                <w:t>Amended and Restated Restricted Stock Unit Award (Time Vesting) dated September 4, 2020 between Aramark and John J. Zillmer (incorporated by reference to Exhibit 10.107 to Aramark’s Annual Report on Form 10-K filed with the SEC on November 24, 2020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20">
              <w:r>
                <w:rPr>
                  <w:rStyle w:val="InternetLink"/>
                  <w:rFonts w:ascii="Times New Roman;sans-serif" w:hAnsi="Times New Roman;sans-serif"/>
                  <w:b w:val="false"/>
                  <w:color w:val="000080"/>
                  <w:sz w:val="20"/>
                  <w:u w:val="single"/>
                </w:rPr>
                <w:t>10.</w:t>
              </w:r>
            </w:hyperlink>
            <w:hyperlink r:id="rId321">
              <w:r>
                <w:rPr>
                  <w:rStyle w:val="InternetLink"/>
                  <w:rFonts w:ascii="Times New Roman;sans-serif" w:hAnsi="Times New Roman;sans-serif"/>
                  <w:b w:val="false"/>
                  <w:color w:val="000080"/>
                  <w:sz w:val="20"/>
                  <w:u w:val="single"/>
                </w:rPr>
                <w:t>6</w:t>
              </w:r>
            </w:hyperlink>
            <w:hyperlink r:id="rId322">
              <w:r>
                <w:rPr>
                  <w:rStyle w:val="InternetLink"/>
                  <w:rFonts w:ascii="Times New Roman;sans-serif" w:hAnsi="Times New Roman;sans-serif"/>
                  <w:b w:val="false"/>
                  <w:color w:val="000080"/>
                  <w:sz w:val="20"/>
                  <w:u w:val="single"/>
                </w:rPr>
                <w:t>6</w:t>
              </w:r>
            </w:hyperlink>
            <w:hyperlink r:id="rId32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4">
              <w:r>
                <w:rPr>
                  <w:rStyle w:val="InternetLink"/>
                  <w:rFonts w:ascii="Times New Roman;sans-serif" w:hAnsi="Times New Roman;sans-serif"/>
                  <w:b w:val="false"/>
                  <w:color w:val="0000FF"/>
                  <w:sz w:val="20"/>
                  <w:u w:val="single"/>
                </w:rPr>
                <w:t>Form of Non-Qualified Stock Option Award (incorporated by reference to Exhibit 10.108 to Aramark’s Annual Report on Form 10-K filed with the SEC on November 24, 2020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25">
              <w:r>
                <w:rPr>
                  <w:rStyle w:val="InternetLink"/>
                  <w:rFonts w:ascii="Times New Roman;sans-serif" w:hAnsi="Times New Roman;sans-serif"/>
                  <w:b w:val="false"/>
                  <w:color w:val="000080"/>
                  <w:sz w:val="20"/>
                  <w:u w:val="single"/>
                </w:rPr>
                <w:t>10.</w:t>
              </w:r>
            </w:hyperlink>
            <w:hyperlink r:id="rId326">
              <w:r>
                <w:rPr>
                  <w:rStyle w:val="InternetLink"/>
                  <w:rFonts w:ascii="Times New Roman;sans-serif" w:hAnsi="Times New Roman;sans-serif"/>
                  <w:b w:val="false"/>
                  <w:color w:val="000080"/>
                  <w:sz w:val="20"/>
                  <w:u w:val="single"/>
                </w:rPr>
                <w:t>6</w:t>
              </w:r>
            </w:hyperlink>
            <w:hyperlink r:id="rId327">
              <w:r>
                <w:rPr>
                  <w:rStyle w:val="InternetLink"/>
                  <w:rFonts w:ascii="Times New Roman;sans-serif" w:hAnsi="Times New Roman;sans-serif"/>
                  <w:b w:val="false"/>
                  <w:color w:val="000080"/>
                  <w:sz w:val="20"/>
                  <w:u w:val="single"/>
                </w:rPr>
                <w:t>7</w:t>
              </w:r>
            </w:hyperlink>
            <w:hyperlink r:id="rId32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9">
              <w:r>
                <w:rPr>
                  <w:rStyle w:val="InternetLink"/>
                  <w:rFonts w:ascii="Times New Roman;sans-serif" w:hAnsi="Times New Roman;sans-serif"/>
                  <w:b w:val="false"/>
                  <w:color w:val="0000FF"/>
                  <w:sz w:val="20"/>
                  <w:u w:val="single"/>
                </w:rPr>
                <w:t>Form of Restricted Stock Unit Award (Time Vesting) (incorporated by reference to Exhibit 10.109 to Aramark’s Annual Report on Form 10-K filed with the SEC on November 24, 2020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30">
              <w:r>
                <w:rPr>
                  <w:rStyle w:val="InternetLink"/>
                  <w:rFonts w:ascii="Times New Roman;sans-serif" w:hAnsi="Times New Roman;sans-serif"/>
                  <w:b w:val="false"/>
                  <w:color w:val="000080"/>
                  <w:sz w:val="20"/>
                  <w:u w:val="single"/>
                </w:rPr>
                <w:t>10.</w:t>
              </w:r>
            </w:hyperlink>
            <w:hyperlink r:id="rId331">
              <w:r>
                <w:rPr>
                  <w:rStyle w:val="InternetLink"/>
                  <w:rFonts w:ascii="Times New Roman;sans-serif" w:hAnsi="Times New Roman;sans-serif"/>
                  <w:b w:val="false"/>
                  <w:color w:val="000080"/>
                  <w:sz w:val="20"/>
                  <w:u w:val="single"/>
                </w:rPr>
                <w:t>6</w:t>
              </w:r>
            </w:hyperlink>
            <w:hyperlink r:id="rId332">
              <w:r>
                <w:rPr>
                  <w:rStyle w:val="InternetLink"/>
                  <w:rFonts w:ascii="Times New Roman;sans-serif" w:hAnsi="Times New Roman;sans-serif"/>
                  <w:b w:val="false"/>
                  <w:color w:val="000080"/>
                  <w:sz w:val="20"/>
                  <w:u w:val="single"/>
                </w:rPr>
                <w:t>8</w:t>
              </w:r>
            </w:hyperlink>
            <w:hyperlink r:id="rId33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4">
              <w:r>
                <w:rPr>
                  <w:rStyle w:val="InternetLink"/>
                  <w:rFonts w:ascii="Times New Roman;sans-serif" w:hAnsi="Times New Roman;sans-serif"/>
                  <w:b w:val="false"/>
                  <w:color w:val="000080"/>
                  <w:sz w:val="20"/>
                  <w:u w:val="single"/>
                </w:rPr>
                <w:t>Form of Schedule I to Performance Stock Unit Award (ELC Grant) (incorporated by reference to Exhibit 10.82 to Aramark's Annual Report on Form 10-K filed with the SEC on November 23, 202</w:t>
              </w:r>
            </w:hyperlink>
            <w:hyperlink r:id="rId335">
              <w:r>
                <w:rPr>
                  <w:rStyle w:val="InternetLink"/>
                  <w:rFonts w:ascii="Times New Roman;sans-serif" w:hAnsi="Times New Roman;sans-serif"/>
                  <w:b w:val="false"/>
                  <w:color w:val="000080"/>
                  <w:sz w:val="20"/>
                  <w:u w:val="single"/>
                </w:rPr>
                <w:t>1</w:t>
              </w:r>
            </w:hyperlink>
            <w:hyperlink r:id="rId336">
              <w:r>
                <w:rPr>
                  <w:rStyle w:val="InternetLink"/>
                  <w:rFonts w:ascii="Times New Roman;sans-serif" w:hAnsi="Times New Roman;sans-serif"/>
                  <w:b w:val="false"/>
                  <w:color w:val="000080"/>
                  <w:sz w:val="20"/>
                  <w:u w:val="single"/>
                </w:rPr>
                <w:t xml:space="preserve">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37">
              <w:r>
                <w:rPr>
                  <w:rStyle w:val="InternetLink"/>
                  <w:rFonts w:ascii="Times New Roman;sans-serif" w:hAnsi="Times New Roman;sans-serif"/>
                  <w:b w:val="false"/>
                  <w:color w:val="000080"/>
                  <w:sz w:val="20"/>
                  <w:u w:val="single"/>
                </w:rPr>
                <w:t>10.</w:t>
              </w:r>
            </w:hyperlink>
            <w:hyperlink r:id="rId338">
              <w:r>
                <w:rPr>
                  <w:rStyle w:val="InternetLink"/>
                  <w:rFonts w:ascii="Times New Roman;sans-serif" w:hAnsi="Times New Roman;sans-serif"/>
                  <w:b w:val="false"/>
                  <w:color w:val="000080"/>
                  <w:sz w:val="20"/>
                  <w:u w:val="single"/>
                </w:rPr>
                <w:t>6</w:t>
              </w:r>
            </w:hyperlink>
            <w:hyperlink r:id="rId339">
              <w:r>
                <w:rPr>
                  <w:rStyle w:val="InternetLink"/>
                  <w:rFonts w:ascii="Times New Roman;sans-serif" w:hAnsi="Times New Roman;sans-serif"/>
                  <w:b w:val="false"/>
                  <w:color w:val="000080"/>
                  <w:sz w:val="20"/>
                  <w:u w:val="single"/>
                </w:rPr>
                <w:t>9</w:t>
              </w:r>
            </w:hyperlink>
            <w:hyperlink r:id="rId34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1">
              <w:r>
                <w:rPr>
                  <w:rStyle w:val="InternetLink"/>
                  <w:rFonts w:ascii="Times New Roman;sans-serif" w:hAnsi="Times New Roman;sans-serif"/>
                  <w:b w:val="false"/>
                  <w:color w:val="000080"/>
                  <w:sz w:val="20"/>
                  <w:u w:val="single"/>
                </w:rPr>
                <w:t>Form of Schedule I to Performance Stock Unit Award (ELT Grant) (incorporated by reference to Exhibit 10.83 to Aramark's Annual Report on Form 10-K filed with the SEC on November 23, 202</w:t>
              </w:r>
            </w:hyperlink>
            <w:hyperlink r:id="rId342">
              <w:r>
                <w:rPr>
                  <w:rStyle w:val="InternetLink"/>
                  <w:rFonts w:ascii="Times New Roman;sans-serif" w:hAnsi="Times New Roman;sans-serif"/>
                  <w:b w:val="false"/>
                  <w:color w:val="000080"/>
                  <w:sz w:val="20"/>
                  <w:u w:val="single"/>
                </w:rPr>
                <w:t>1</w:t>
              </w:r>
            </w:hyperlink>
            <w:hyperlink r:id="rId343">
              <w:r>
                <w:rPr>
                  <w:rStyle w:val="InternetLink"/>
                  <w:rFonts w:ascii="Times New Roman;sans-serif" w:hAnsi="Times New Roman;sans-serif"/>
                  <w:b w:val="false"/>
                  <w:color w:val="000080"/>
                  <w:sz w:val="20"/>
                  <w:u w:val="single"/>
                </w:rPr>
                <w:t xml:space="preserve">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44">
              <w:r>
                <w:rPr>
                  <w:rStyle w:val="InternetLink"/>
                  <w:rFonts w:ascii="Times New Roman;sans-serif" w:hAnsi="Times New Roman;sans-serif"/>
                  <w:b w:val="false"/>
                  <w:color w:val="000080"/>
                  <w:sz w:val="20"/>
                  <w:u w:val="single"/>
                </w:rPr>
                <w:t>10.</w:t>
              </w:r>
            </w:hyperlink>
            <w:hyperlink r:id="rId345">
              <w:r>
                <w:rPr>
                  <w:rStyle w:val="InternetLink"/>
                  <w:rFonts w:ascii="Times New Roman;sans-serif" w:hAnsi="Times New Roman;sans-serif"/>
                  <w:b w:val="false"/>
                  <w:color w:val="000080"/>
                  <w:sz w:val="20"/>
                  <w:u w:val="single"/>
                </w:rPr>
                <w:t>7</w:t>
              </w:r>
            </w:hyperlink>
            <w:hyperlink r:id="rId346">
              <w:r>
                <w:rPr>
                  <w:rStyle w:val="InternetLink"/>
                  <w:rFonts w:ascii="Times New Roman;sans-serif" w:hAnsi="Times New Roman;sans-serif"/>
                  <w:b w:val="false"/>
                  <w:color w:val="000080"/>
                  <w:sz w:val="20"/>
                  <w:u w:val="single"/>
                </w:rPr>
                <w:t>0</w:t>
              </w:r>
            </w:hyperlink>
            <w:hyperlink r:id="rId34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8">
              <w:r>
                <w:rPr>
                  <w:rStyle w:val="InternetLink"/>
                  <w:rFonts w:ascii="Times New Roman;sans-serif" w:hAnsi="Times New Roman;sans-serif"/>
                  <w:b w:val="false"/>
                  <w:color w:val="0000FF"/>
                  <w:sz w:val="20"/>
                  <w:u w:val="single"/>
                </w:rPr>
                <w:t>Form of Deferred Stock Unit Award under the Aramark 2013 Stock Incentive Plan (incorporated by reference to Exhibit 10.73 to Aramark’s Form S-1/A filed with the SEC on November 19, 2013 (file number 333-191057)).</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49">
              <w:r>
                <w:rPr>
                  <w:rStyle w:val="InternetLink"/>
                  <w:rFonts w:ascii="Times New Roman;sans-serif" w:hAnsi="Times New Roman;sans-serif"/>
                  <w:b w:val="false"/>
                  <w:color w:val="000080"/>
                  <w:sz w:val="20"/>
                  <w:u w:val="single"/>
                </w:rPr>
                <w:t>10.</w:t>
              </w:r>
            </w:hyperlink>
            <w:hyperlink r:id="rId350">
              <w:r>
                <w:rPr>
                  <w:rStyle w:val="InternetLink"/>
                  <w:rFonts w:ascii="Times New Roman;sans-serif" w:hAnsi="Times New Roman;sans-serif"/>
                  <w:b w:val="false"/>
                  <w:color w:val="000080"/>
                  <w:sz w:val="20"/>
                  <w:u w:val="single"/>
                </w:rPr>
                <w:t>7</w:t>
              </w:r>
            </w:hyperlink>
            <w:hyperlink r:id="rId351">
              <w:r>
                <w:rPr>
                  <w:rStyle w:val="InternetLink"/>
                  <w:rFonts w:ascii="Times New Roman;sans-serif" w:hAnsi="Times New Roman;sans-serif"/>
                  <w:b w:val="false"/>
                  <w:color w:val="000080"/>
                  <w:sz w:val="20"/>
                  <w:u w:val="single"/>
                </w:rPr>
                <w:t>1</w:t>
              </w:r>
            </w:hyperlink>
            <w:hyperlink r:id="rId352">
              <w:r>
                <w:rPr>
                  <w:rStyle w:val="InternetLink"/>
                  <w:rFonts w:ascii="Times New Roman;sans-serif" w:hAnsi="Times New Roman;sans-serif"/>
                  <w:b w:val="false"/>
                  <w:color w:val="000080"/>
                  <w:sz w:val="20"/>
                  <w:u w:val="single"/>
                </w:rPr>
                <w:t>†</w:t>
              </w:r>
            </w:hyperlink>
          </w:p>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3">
              <w:r>
                <w:rPr>
                  <w:rStyle w:val="InternetLink"/>
                  <w:rFonts w:ascii="Times New Roman;sans-serif" w:hAnsi="Times New Roman;sans-serif"/>
                  <w:b w:val="false"/>
                  <w:color w:val="0000FF"/>
                  <w:sz w:val="20"/>
                  <w:u w:val="single"/>
                </w:rPr>
                <w:t>Form of Deferred Stock Unit Award Agreement under the Aramark 2013 Stock Incentive Plan (Revised) (incorporated by reference to Exhibit 10.77 to Aramark’s Annual Report on Form 10-K filed with the SEC on December 3, 2014,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54">
              <w:r>
                <w:rPr>
                  <w:rStyle w:val="InternetLink"/>
                  <w:rFonts w:ascii="Times New Roman;sans-serif" w:hAnsi="Times New Roman;sans-serif"/>
                  <w:b w:val="false"/>
                  <w:color w:val="000080"/>
                  <w:sz w:val="20"/>
                  <w:u w:val="single"/>
                </w:rPr>
                <w:t>10.</w:t>
              </w:r>
            </w:hyperlink>
            <w:hyperlink r:id="rId355">
              <w:r>
                <w:rPr>
                  <w:rStyle w:val="InternetLink"/>
                  <w:rFonts w:ascii="Times New Roman;sans-serif" w:hAnsi="Times New Roman;sans-serif"/>
                  <w:b w:val="false"/>
                  <w:color w:val="000080"/>
                  <w:sz w:val="20"/>
                  <w:u w:val="single"/>
                </w:rPr>
                <w:t>7</w:t>
              </w:r>
            </w:hyperlink>
            <w:hyperlink r:id="rId356">
              <w:r>
                <w:rPr>
                  <w:rStyle w:val="InternetLink"/>
                  <w:rFonts w:ascii="Times New Roman;sans-serif" w:hAnsi="Times New Roman;sans-serif"/>
                  <w:b w:val="false"/>
                  <w:color w:val="000080"/>
                  <w:sz w:val="20"/>
                  <w:u w:val="single"/>
                </w:rPr>
                <w:t>2</w:t>
              </w:r>
            </w:hyperlink>
            <w:hyperlink r:id="rId35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8">
              <w:r>
                <w:rPr>
                  <w:rStyle w:val="InternetLink"/>
                  <w:rFonts w:ascii="Times New Roman;sans-serif" w:hAnsi="Times New Roman;sans-serif"/>
                  <w:b w:val="false"/>
                  <w:color w:val="0000FF"/>
                  <w:sz w:val="20"/>
                  <w:u w:val="single"/>
                </w:rPr>
                <w:t>Form of Deferred Stock Unit Agreement under the Aramark 2013 Stock Incentive Plan (incorporated by reference to Exhibit 10.4 to Aramark’s Quarterly Report on Form 10-Q filed with the SEC on May 13, 2015,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59">
              <w:r>
                <w:rPr>
                  <w:rStyle w:val="InternetLink"/>
                  <w:rFonts w:ascii="Times New Roman;sans-serif" w:hAnsi="Times New Roman;sans-serif"/>
                  <w:b w:val="false"/>
                  <w:color w:val="000080"/>
                  <w:sz w:val="20"/>
                  <w:u w:val="single"/>
                </w:rPr>
                <w:t>10.</w:t>
              </w:r>
            </w:hyperlink>
            <w:hyperlink r:id="rId360">
              <w:r>
                <w:rPr>
                  <w:rStyle w:val="InternetLink"/>
                  <w:rFonts w:ascii="Times New Roman;sans-serif" w:hAnsi="Times New Roman;sans-serif"/>
                  <w:b w:val="false"/>
                  <w:color w:val="000080"/>
                  <w:sz w:val="20"/>
                  <w:u w:val="single"/>
                </w:rPr>
                <w:t>7</w:t>
              </w:r>
            </w:hyperlink>
            <w:hyperlink r:id="rId361">
              <w:r>
                <w:rPr>
                  <w:rStyle w:val="InternetLink"/>
                  <w:rFonts w:ascii="Times New Roman;sans-serif" w:hAnsi="Times New Roman;sans-serif"/>
                  <w:b w:val="false"/>
                  <w:color w:val="000080"/>
                  <w:sz w:val="20"/>
                  <w:u w:val="single"/>
                </w:rPr>
                <w:t>3</w:t>
              </w:r>
            </w:hyperlink>
            <w:hyperlink r:id="rId36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3">
              <w:r>
                <w:rPr>
                  <w:rStyle w:val="InternetLink"/>
                  <w:rFonts w:ascii="Times New Roman;sans-serif" w:hAnsi="Times New Roman;sans-serif"/>
                  <w:b w:val="false"/>
                  <w:color w:val="0000FF"/>
                  <w:sz w:val="20"/>
                  <w:u w:val="single"/>
                </w:rPr>
                <w:t>Form of Aircraft Timesharing Agreement (incorporated by reference to Exhibit 10.69 to Aramark’s Annual Report on Form 10-K filed with the SEC on December 1, 2015,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64">
              <w:r>
                <w:rPr>
                  <w:rStyle w:val="InternetLink"/>
                  <w:rFonts w:ascii="Times New Roman;sans-serif" w:hAnsi="Times New Roman;sans-serif"/>
                  <w:b w:val="false"/>
                  <w:color w:val="000080"/>
                  <w:sz w:val="20"/>
                  <w:u w:val="single"/>
                </w:rPr>
                <w:t>10.7</w:t>
              </w:r>
            </w:hyperlink>
            <w:hyperlink r:id="rId365">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6">
              <w:r>
                <w:rPr>
                  <w:rStyle w:val="InternetLink"/>
                  <w:rFonts w:ascii="Times New Roman;sans-serif" w:hAnsi="Times New Roman;sans-serif"/>
                  <w:b w:val="false"/>
                  <w:color w:val="0000FF"/>
                  <w:sz w:val="20"/>
                  <w:u w:val="single"/>
                </w:rPr>
                <w:t>Stewardship Framework Agreement by and between Aramark and MR BridgeStone Advisor LLC, on behalf of itself and its affiliated funds, dated October 6, 2019. (incorporated by reference to Exhibit 10.1 to Aramark’s Current Report on Form 8-K filed with the SEC on October 7, 2019,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67">
              <w:r>
                <w:rPr>
                  <w:rStyle w:val="InternetLink"/>
                  <w:rFonts w:ascii="Times New Roman;sans-serif" w:hAnsi="Times New Roman;sans-serif"/>
                  <w:b w:val="false"/>
                  <w:color w:val="000080"/>
                  <w:sz w:val="20"/>
                  <w:u w:val="single"/>
                </w:rPr>
                <w:t>10.7</w:t>
              </w:r>
            </w:hyperlink>
            <w:hyperlink r:id="rId368">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9">
              <w:r>
                <w:rPr>
                  <w:rStyle w:val="InternetLink"/>
                  <w:rFonts w:ascii="Times New Roman;sans-serif" w:hAnsi="Times New Roman;sans-serif"/>
                  <w:b w:val="false"/>
                  <w:color w:val="0000FF"/>
                  <w:sz w:val="20"/>
                  <w:u w:val="single"/>
                </w:rPr>
                <w:t>Letter Amendment to Stewardship Framework Agreement by and between Aramark and MR BridgeStone Advisor LLC, on behalf of itself and its affiliated funds, dated December 14, 2020 (incorporated by reference to Exhibit 10.3 to Aramark's Quarterly Report on Form 10-Q filed with the SEC on February 9, 2021,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70">
              <w:r>
                <w:rPr>
                  <w:rStyle w:val="InternetLink"/>
                  <w:rFonts w:ascii="Times New Roman;sans-serif" w:hAnsi="Times New Roman;sans-serif"/>
                  <w:b w:val="false"/>
                  <w:color w:val="000080"/>
                  <w:sz w:val="20"/>
                  <w:u w:val="single"/>
                </w:rPr>
                <w:t>10.7</w:t>
              </w:r>
            </w:hyperlink>
            <w:hyperlink r:id="rId371">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2">
              <w:r>
                <w:rPr>
                  <w:rStyle w:val="InternetLink"/>
                  <w:rFonts w:ascii="Times New Roman;sans-serif" w:hAnsi="Times New Roman;sans-serif"/>
                  <w:b w:val="false"/>
                  <w:color w:val="0000FF"/>
                  <w:sz w:val="20"/>
                  <w:u w:val="single"/>
                </w:rPr>
                <w:t>Registration Rights Agreement, dated as of December 14, 2020, by and between MR BridgeStone Advisor LLC, on behalf of itself and its affiliated funds, and Aramark (incorporated by reference to Exhibit 10.1 to Aramark’s Current Report on Form 8-K filed with the SEC on December 16, 2020,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"http://www.sec.gov/Archives/edgar/data/1584509/000119312520326024/d51571ddef14a.htm" \l "toc51571_28"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10.7</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"http://www.sec.gov/Archives/edgar/data/1584509/000119312520326024/d51571ddef14a.htm" \l "toc51571_28"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7</w:t>
            </w:r>
            <w:r>
              <w:rPr>
                <w:rStyle w:val="InternetLink"/>
                <w:sz w:val="20"/>
                <w:u w:val="single"/>
                <w:b w:val="false"/>
                <w:rFonts w:ascii="Times New Roman;sans-serif" w:hAnsi="Times New Roman;sans-serif"/>
                <w:color w:val="000080"/>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"http://www.sec.gov/Archives/edgar/data/1584509/000119312520326024/d51571ddef14a.htm" \l "toc51571_28"</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Aramark 2021 Employee Stock Purchase Plan (incorporated by reference to Appendix B to the Company's Proxy Statement filed with the SEC on December 23, 2020 (file number 001-36223)).</w:t>
            </w:r>
            <w:r>
              <w:rPr>
                <w:rStyle w:val="InternetLink"/>
                <w:sz w:val="20"/>
                <w:u w:val="single"/>
                <w:b w:val="false"/>
                <w:rFonts w:ascii="Times New Roman;sans-serif" w:hAnsi="Times New Roman;sans-serif"/>
                <w:color w:val="0000FF"/>
              </w:rPr>
              <w:fldChar w:fldCharType="end"/>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73">
              <w:r>
                <w:rPr>
                  <w:rStyle w:val="InternetLink"/>
                  <w:rFonts w:ascii="Times New Roman;sans-serif" w:hAnsi="Times New Roman;sans-serif"/>
                  <w:b w:val="false"/>
                  <w:color w:val="000080"/>
                  <w:sz w:val="20"/>
                  <w:u w:val="single"/>
                </w:rPr>
                <w:t>10.</w:t>
              </w:r>
            </w:hyperlink>
            <w:hyperlink r:id="rId374">
              <w:r>
                <w:rPr>
                  <w:rStyle w:val="InternetLink"/>
                  <w:rFonts w:ascii="Times New Roman;sans-serif" w:hAnsi="Times New Roman;sans-serif"/>
                  <w:b w:val="false"/>
                  <w:color w:val="000080"/>
                  <w:sz w:val="20"/>
                  <w:u w:val="single"/>
                </w:rPr>
                <w:t>7</w:t>
              </w:r>
            </w:hyperlink>
            <w:hyperlink r:id="rId375">
              <w:r>
                <w:rPr>
                  <w:rStyle w:val="InternetLink"/>
                  <w:rFonts w:ascii="Times New Roman;sans-serif" w:hAnsi="Times New Roman;sans-serif"/>
                  <w:b w:val="false"/>
                  <w:color w:val="000080"/>
                  <w:sz w:val="20"/>
                  <w:u w:val="single"/>
                </w:rPr>
                <w:t>8</w:t>
              </w:r>
            </w:hyperlink>
            <w:hyperlink r:id="rId37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7">
              <w:r>
                <w:rPr>
                  <w:rStyle w:val="InternetLink"/>
                  <w:rFonts w:ascii="Times New Roman;sans-serif" w:hAnsi="Times New Roman;sans-serif"/>
                  <w:b w:val="false"/>
                  <w:color w:val="000080"/>
                  <w:sz w:val="20"/>
                  <w:u w:val="single"/>
                </w:rPr>
                <w:t>Amendment Number One to the Aramark 2021 Employee Stock Purchase Plan effective November 7th, 2022 (incorporated by reference to Exhibit 10.87 to Aramark's Annual Report on Form 10-K filed with the SEC on November 22, 202</w:t>
              </w:r>
            </w:hyperlink>
            <w:hyperlink r:id="rId378">
              <w:r>
                <w:rPr>
                  <w:rStyle w:val="InternetLink"/>
                  <w:rFonts w:ascii="Times New Roman;sans-serif" w:hAnsi="Times New Roman;sans-serif"/>
                  <w:b w:val="false"/>
                  <w:color w:val="000080"/>
                  <w:sz w:val="20"/>
                  <w:u w:val="single"/>
                </w:rPr>
                <w:t>2</w:t>
              </w:r>
            </w:hyperlink>
            <w:hyperlink r:id="rId379">
              <w:r>
                <w:rPr>
                  <w:rStyle w:val="InternetLink"/>
                  <w:rFonts w:ascii="Times New Roman;sans-serif" w:hAnsi="Times New Roman;sans-serif"/>
                  <w:b w:val="false"/>
                  <w:color w:val="000080"/>
                  <w:sz w:val="20"/>
                  <w:u w:val="single"/>
                </w:rPr>
                <w:t>,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80">
              <w:r>
                <w:rPr>
                  <w:rStyle w:val="InternetLink"/>
                  <w:rFonts w:ascii="Times New Roman;sans-serif" w:hAnsi="Times New Roman;sans-serif"/>
                  <w:b w:val="false"/>
                  <w:color w:val="000080"/>
                  <w:sz w:val="20"/>
                  <w:u w:val="single"/>
                </w:rPr>
                <w:t>10.</w:t>
              </w:r>
            </w:hyperlink>
            <w:hyperlink r:id="rId381">
              <w:r>
                <w:rPr>
                  <w:rStyle w:val="InternetLink"/>
                  <w:rFonts w:ascii="Times New Roman;sans-serif" w:hAnsi="Times New Roman;sans-serif"/>
                  <w:b w:val="false"/>
                  <w:color w:val="000080"/>
                  <w:sz w:val="20"/>
                  <w:u w:val="single"/>
                </w:rPr>
                <w:t>7</w:t>
              </w:r>
            </w:hyperlink>
            <w:hyperlink r:id="rId382">
              <w:r>
                <w:rPr>
                  <w:rStyle w:val="InternetLink"/>
                  <w:rFonts w:ascii="Times New Roman;sans-serif" w:hAnsi="Times New Roman;sans-serif"/>
                  <w:b w:val="false"/>
                  <w:color w:val="000080"/>
                  <w:sz w:val="20"/>
                  <w:u w:val="single"/>
                </w:rPr>
                <w:t>9</w:t>
              </w:r>
            </w:hyperlink>
            <w:hyperlink r:id="rId38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4">
              <w:r>
                <w:rPr>
                  <w:rStyle w:val="InternetLink"/>
                  <w:rFonts w:ascii="Times New Roman;sans-serif" w:hAnsi="Times New Roman;sans-serif"/>
                  <w:b w:val="false"/>
                  <w:color w:val="000080"/>
                  <w:sz w:val="20"/>
                  <w:u w:val="single"/>
                </w:rPr>
                <w:t>Form of ELT Stock Option Grant Agreement (incorporated by reference to Exhibit 10.88 to Aramark's Annual Report on Form 10-K filed with the SEC on November 22, 202</w:t>
              </w:r>
            </w:hyperlink>
            <w:hyperlink r:id="rId385">
              <w:r>
                <w:rPr>
                  <w:rStyle w:val="InternetLink"/>
                  <w:rFonts w:ascii="Times New Roman;sans-serif" w:hAnsi="Times New Roman;sans-serif"/>
                  <w:b w:val="false"/>
                  <w:color w:val="000080"/>
                  <w:sz w:val="20"/>
                  <w:u w:val="single"/>
                </w:rPr>
                <w:t>2</w:t>
              </w:r>
            </w:hyperlink>
            <w:hyperlink r:id="rId386">
              <w:r>
                <w:rPr>
                  <w:rStyle w:val="InternetLink"/>
                  <w:rFonts w:ascii="Times New Roman;sans-serif" w:hAnsi="Times New Roman;sans-serif"/>
                  <w:b w:val="false"/>
                  <w:color w:val="000080"/>
                  <w:sz w:val="20"/>
                  <w:u w:val="single"/>
                </w:rPr>
                <w:t>,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87">
              <w:r>
                <w:rPr>
                  <w:rStyle w:val="InternetLink"/>
                  <w:rFonts w:ascii="Times New Roman;sans-serif" w:hAnsi="Times New Roman;sans-serif"/>
                  <w:b w:val="false"/>
                  <w:color w:val="000080"/>
                  <w:sz w:val="20"/>
                  <w:u w:val="single"/>
                </w:rPr>
                <w:t>10.</w:t>
              </w:r>
            </w:hyperlink>
            <w:hyperlink r:id="rId388">
              <w:r>
                <w:rPr>
                  <w:rStyle w:val="InternetLink"/>
                  <w:rFonts w:ascii="Times New Roman;sans-serif" w:hAnsi="Times New Roman;sans-serif"/>
                  <w:b w:val="false"/>
                  <w:color w:val="000080"/>
                  <w:sz w:val="20"/>
                  <w:u w:val="single"/>
                </w:rPr>
                <w:t>80</w:t>
              </w:r>
            </w:hyperlink>
            <w:hyperlink r:id="rId38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0">
              <w:r>
                <w:rPr>
                  <w:rStyle w:val="InternetLink"/>
                  <w:rFonts w:ascii="Times New Roman;sans-serif" w:hAnsi="Times New Roman;sans-serif"/>
                  <w:b w:val="false"/>
                  <w:color w:val="000080"/>
                  <w:sz w:val="20"/>
                  <w:u w:val="single"/>
                </w:rPr>
                <w:t>Form of ELT Restricted Stock Unit Grant Agreement (incorporated by reference to Exhibit 10.89 to Aramark's Annual Report on Form 10-K filed with the SEC on November 22, 202</w:t>
              </w:r>
            </w:hyperlink>
            <w:hyperlink r:id="rId391">
              <w:r>
                <w:rPr>
                  <w:rStyle w:val="InternetLink"/>
                  <w:rFonts w:ascii="Times New Roman;sans-serif" w:hAnsi="Times New Roman;sans-serif"/>
                  <w:b w:val="false"/>
                  <w:color w:val="000080"/>
                  <w:sz w:val="20"/>
                  <w:u w:val="single"/>
                </w:rPr>
                <w:t>2</w:t>
              </w:r>
            </w:hyperlink>
            <w:hyperlink r:id="rId392">
              <w:r>
                <w:rPr>
                  <w:rStyle w:val="InternetLink"/>
                  <w:rFonts w:ascii="Times New Roman;sans-serif" w:hAnsi="Times New Roman;sans-serif"/>
                  <w:b w:val="false"/>
                  <w:color w:val="000080"/>
                  <w:sz w:val="20"/>
                  <w:u w:val="single"/>
                </w:rPr>
                <w:t>,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93">
              <w:r>
                <w:rPr>
                  <w:rStyle w:val="InternetLink"/>
                  <w:rFonts w:ascii="Times New Roman;sans-serif" w:hAnsi="Times New Roman;sans-serif"/>
                  <w:b w:val="false"/>
                  <w:color w:val="000080"/>
                  <w:sz w:val="20"/>
                  <w:u w:val="single"/>
                </w:rPr>
                <w:t>10.</w:t>
              </w:r>
            </w:hyperlink>
            <w:hyperlink r:id="rId394">
              <w:r>
                <w:rPr>
                  <w:rStyle w:val="InternetLink"/>
                  <w:rFonts w:ascii="Times New Roman;sans-serif" w:hAnsi="Times New Roman;sans-serif"/>
                  <w:b w:val="false"/>
                  <w:color w:val="000080"/>
                  <w:sz w:val="20"/>
                  <w:u w:val="single"/>
                </w:rPr>
                <w:t>8</w:t>
              </w:r>
            </w:hyperlink>
            <w:hyperlink r:id="rId395">
              <w:r>
                <w:rPr>
                  <w:rStyle w:val="InternetLink"/>
                  <w:rFonts w:ascii="Times New Roman;sans-serif" w:hAnsi="Times New Roman;sans-serif"/>
                  <w:b w:val="false"/>
                  <w:color w:val="000080"/>
                  <w:sz w:val="20"/>
                  <w:u w:val="single"/>
                </w:rPr>
                <w:t>1</w:t>
              </w:r>
            </w:hyperlink>
            <w:hyperlink r:id="rId39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7">
              <w:r>
                <w:rPr>
                  <w:rStyle w:val="InternetLink"/>
                  <w:rFonts w:ascii="Times New Roman;sans-serif" w:hAnsi="Times New Roman;sans-serif"/>
                  <w:b w:val="false"/>
                  <w:color w:val="000080"/>
                  <w:sz w:val="20"/>
                  <w:u w:val="single"/>
                </w:rPr>
                <w:t>Form of ELT Performance Stock Unit Grant Agreement (incorporated by reference to Exhibit 10.90 to Aramark's Annual Report on Form 10-K filed with the SEC on November 22, 202</w:t>
              </w:r>
            </w:hyperlink>
            <w:hyperlink r:id="rId398">
              <w:r>
                <w:rPr>
                  <w:rStyle w:val="InternetLink"/>
                  <w:rFonts w:ascii="Times New Roman;sans-serif" w:hAnsi="Times New Roman;sans-serif"/>
                  <w:b w:val="false"/>
                  <w:color w:val="000080"/>
                  <w:sz w:val="20"/>
                  <w:u w:val="single"/>
                </w:rPr>
                <w:t>2</w:t>
              </w:r>
            </w:hyperlink>
            <w:hyperlink r:id="rId399">
              <w:r>
                <w:rPr>
                  <w:rStyle w:val="InternetLink"/>
                  <w:rFonts w:ascii="Times New Roman;sans-serif" w:hAnsi="Times New Roman;sans-serif"/>
                  <w:b w:val="false"/>
                  <w:color w:val="000080"/>
                  <w:sz w:val="20"/>
                  <w:u w:val="single"/>
                </w:rPr>
                <w:t>, pursuant to the Exchange Act (file number 001-36223)).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S-59</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9"/>
        <w:gridCol w:w="238"/>
        <w:gridCol w:w="221"/>
        <w:gridCol w:w="109"/>
        <w:gridCol w:w="109"/>
        <w:gridCol w:w="109"/>
        <w:gridCol w:w="2993"/>
        <w:gridCol w:w="2872"/>
        <w:gridCol w:w="2880"/>
        <w:gridCol w:w="109"/>
        <w:gridCol w:w="109"/>
        <w:gridCol w:w="157"/>
      </w:tblGrid>
      <w:tr>
        <w:trPr/>
        <w:tc>
          <w:tcPr>
            <w:tcW w:w="2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00">
              <w:r>
                <w:rPr>
                  <w:rStyle w:val="InternetLink"/>
                  <w:rFonts w:ascii="Times New Roman;sans-serif" w:hAnsi="Times New Roman;sans-serif"/>
                  <w:b w:val="false"/>
                  <w:color w:val="000080"/>
                  <w:sz w:val="20"/>
                  <w:u w:val="single"/>
                </w:rPr>
                <w:t>10.</w:t>
              </w:r>
            </w:hyperlink>
            <w:hyperlink r:id="rId401">
              <w:r>
                <w:rPr>
                  <w:rStyle w:val="InternetLink"/>
                  <w:rFonts w:ascii="Times New Roman;sans-serif" w:hAnsi="Times New Roman;sans-serif"/>
                  <w:b w:val="false"/>
                  <w:color w:val="000080"/>
                  <w:sz w:val="20"/>
                  <w:u w:val="single"/>
                </w:rPr>
                <w:t>8</w:t>
              </w:r>
            </w:hyperlink>
            <w:hyperlink r:id="rId402">
              <w:r>
                <w:rPr>
                  <w:rStyle w:val="InternetLink"/>
                  <w:rFonts w:ascii="Times New Roman;sans-serif" w:hAnsi="Times New Roman;sans-serif"/>
                  <w:b w:val="false"/>
                  <w:color w:val="000080"/>
                  <w:sz w:val="20"/>
                  <w:u w:val="single"/>
                </w:rPr>
                <w:t>2</w:t>
              </w:r>
            </w:hyperlink>
            <w:hyperlink r:id="rId40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4">
              <w:r>
                <w:rPr>
                  <w:rStyle w:val="InternetLink"/>
                  <w:rFonts w:ascii="Times New Roman;sans-serif" w:hAnsi="Times New Roman;sans-serif"/>
                  <w:b w:val="false"/>
                  <w:color w:val="000080"/>
                  <w:sz w:val="20"/>
                  <w:u w:val="single"/>
                </w:rPr>
                <w:t>Form of CEO Performance Stock Unit Grant Agreement (incorporated by reference to Exhibit 10.91 to Aramark's Annual Report on Form 10-K filed with the SEC on November 22, 202</w:t>
              </w:r>
            </w:hyperlink>
            <w:hyperlink r:id="rId405">
              <w:r>
                <w:rPr>
                  <w:rStyle w:val="InternetLink"/>
                  <w:rFonts w:ascii="Times New Roman;sans-serif" w:hAnsi="Times New Roman;sans-serif"/>
                  <w:b w:val="false"/>
                  <w:color w:val="000080"/>
                  <w:sz w:val="20"/>
                  <w:u w:val="single"/>
                </w:rPr>
                <w:t>2</w:t>
              </w:r>
            </w:hyperlink>
            <w:hyperlink r:id="rId406">
              <w:r>
                <w:rPr>
                  <w:rStyle w:val="InternetLink"/>
                  <w:rFonts w:ascii="Times New Roman;sans-serif" w:hAnsi="Times New Roman;sans-serif"/>
                  <w:b w:val="false"/>
                  <w:color w:val="000080"/>
                  <w:sz w:val="20"/>
                  <w:u w:val="single"/>
                </w:rPr>
                <w:t>,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07">
              <w:r>
                <w:rPr>
                  <w:rStyle w:val="InternetLink"/>
                  <w:rFonts w:ascii="Times New Roman;sans-serif" w:hAnsi="Times New Roman;sans-serif"/>
                  <w:b w:val="false"/>
                  <w:color w:val="000080"/>
                  <w:sz w:val="20"/>
                  <w:u w:val="single"/>
                </w:rPr>
                <w:t>10.8</w:t>
              </w:r>
            </w:hyperlink>
            <w:hyperlink r:id="rId408">
              <w:r>
                <w:rPr>
                  <w:rStyle w:val="InternetLink"/>
                  <w:rFonts w:ascii="Times New Roman;sans-serif" w:hAnsi="Times New Roman;sans-serif"/>
                  <w:b w:val="false"/>
                  <w:color w:val="000080"/>
                  <w:sz w:val="20"/>
                  <w:u w:val="single"/>
                </w:rPr>
                <w:t>3</w:t>
              </w:r>
            </w:hyperlink>
            <w:hyperlink r:id="rId40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0">
              <w:r>
                <w:rPr>
                  <w:rStyle w:val="InternetLink"/>
                  <w:rFonts w:ascii="Times New Roman;sans-serif" w:hAnsi="Times New Roman;sans-serif"/>
                  <w:b w:val="false"/>
                  <w:color w:val="000080"/>
                  <w:sz w:val="20"/>
                  <w:u w:val="single"/>
                </w:rPr>
                <w:t>Form of CEO Restrictive Stock Unit Grant Agreement (incorporated by reference to Exhibit 10.92 to Aramark's Annual Report on Form 10-K filed with the SEC on November 22, 202</w:t>
              </w:r>
            </w:hyperlink>
            <w:hyperlink r:id="rId411">
              <w:r>
                <w:rPr>
                  <w:rStyle w:val="InternetLink"/>
                  <w:rFonts w:ascii="Times New Roman;sans-serif" w:hAnsi="Times New Roman;sans-serif"/>
                  <w:b w:val="false"/>
                  <w:color w:val="000080"/>
                  <w:sz w:val="20"/>
                  <w:u w:val="single"/>
                </w:rPr>
                <w:t>2</w:t>
              </w:r>
            </w:hyperlink>
            <w:hyperlink r:id="rId412">
              <w:r>
                <w:rPr>
                  <w:rStyle w:val="InternetLink"/>
                  <w:rFonts w:ascii="Times New Roman;sans-serif" w:hAnsi="Times New Roman;sans-serif"/>
                  <w:b w:val="false"/>
                  <w:color w:val="000080"/>
                  <w:sz w:val="20"/>
                  <w:u w:val="single"/>
                </w:rPr>
                <w:t>,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13">
              <w:r>
                <w:rPr>
                  <w:rStyle w:val="InternetLink"/>
                  <w:rFonts w:ascii="Times New Roman;sans-serif" w:hAnsi="Times New Roman;sans-serif"/>
                  <w:b w:val="false"/>
                  <w:color w:val="000080"/>
                  <w:sz w:val="20"/>
                  <w:u w:val="single"/>
                </w:rPr>
                <w:t>10.</w:t>
              </w:r>
            </w:hyperlink>
            <w:hyperlink r:id="rId414">
              <w:r>
                <w:rPr>
                  <w:rStyle w:val="InternetLink"/>
                  <w:rFonts w:ascii="Times New Roman;sans-serif" w:hAnsi="Times New Roman;sans-serif"/>
                  <w:b w:val="false"/>
                  <w:color w:val="000080"/>
                  <w:sz w:val="20"/>
                  <w:u w:val="single"/>
                </w:rPr>
                <w:t>8</w:t>
              </w:r>
            </w:hyperlink>
            <w:hyperlink r:id="rId415">
              <w:r>
                <w:rPr>
                  <w:rStyle w:val="InternetLink"/>
                  <w:rFonts w:ascii="Times New Roman;sans-serif" w:hAnsi="Times New Roman;sans-serif"/>
                  <w:b w:val="false"/>
                  <w:color w:val="000080"/>
                  <w:sz w:val="20"/>
                  <w:u w:val="single"/>
                </w:rPr>
                <w:t>4</w:t>
              </w:r>
            </w:hyperlink>
            <w:hyperlink r:id="rId41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7">
              <w:r>
                <w:rPr>
                  <w:rStyle w:val="InternetLink"/>
                  <w:rFonts w:ascii="Times New Roman;sans-serif" w:hAnsi="Times New Roman;sans-serif"/>
                  <w:b w:val="false"/>
                  <w:color w:val="000080"/>
                  <w:sz w:val="20"/>
                  <w:u w:val="single"/>
                </w:rPr>
                <w:t>Form of CEO Stock Option Grant Agreement (incorporated by reference to Exhibit 10.93 to Aramark's Annual Report on Form 10-K filed with the SEC on November 22, 202</w:t>
              </w:r>
            </w:hyperlink>
            <w:hyperlink r:id="rId418">
              <w:r>
                <w:rPr>
                  <w:rStyle w:val="InternetLink"/>
                  <w:rFonts w:ascii="Times New Roman;sans-serif" w:hAnsi="Times New Roman;sans-serif"/>
                  <w:b w:val="false"/>
                  <w:color w:val="000080"/>
                  <w:sz w:val="20"/>
                  <w:u w:val="single"/>
                </w:rPr>
                <w:t>2</w:t>
              </w:r>
            </w:hyperlink>
            <w:hyperlink r:id="rId419">
              <w:r>
                <w:rPr>
                  <w:rStyle w:val="InternetLink"/>
                  <w:rFonts w:ascii="Times New Roman;sans-serif" w:hAnsi="Times New Roman;sans-serif"/>
                  <w:b w:val="false"/>
                  <w:color w:val="000080"/>
                  <w:sz w:val="20"/>
                  <w:u w:val="single"/>
                </w:rPr>
                <w:t>,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20">
              <w:r>
                <w:rPr>
                  <w:rStyle w:val="InternetLink"/>
                  <w:rFonts w:ascii="Times New Roman;sans-serif" w:hAnsi="Times New Roman;sans-serif"/>
                  <w:b w:val="false"/>
                  <w:color w:val="000080"/>
                  <w:sz w:val="20"/>
                  <w:u w:val="single"/>
                </w:rPr>
                <w:t>10.</w:t>
              </w:r>
            </w:hyperlink>
            <w:hyperlink r:id="rId421">
              <w:r>
                <w:rPr>
                  <w:rStyle w:val="InternetLink"/>
                  <w:rFonts w:ascii="Times New Roman;sans-serif" w:hAnsi="Times New Roman;sans-serif"/>
                  <w:b w:val="false"/>
                  <w:color w:val="000080"/>
                  <w:sz w:val="20"/>
                  <w:u w:val="single"/>
                </w:rPr>
                <w:t>8</w:t>
              </w:r>
            </w:hyperlink>
            <w:hyperlink r:id="rId422">
              <w:r>
                <w:rPr>
                  <w:rStyle w:val="InternetLink"/>
                  <w:rFonts w:ascii="Times New Roman;sans-serif" w:hAnsi="Times New Roman;sans-serif"/>
                  <w:b w:val="false"/>
                  <w:color w:val="000080"/>
                  <w:sz w:val="20"/>
                  <w:u w:val="single"/>
                </w:rPr>
                <w:t>5</w:t>
              </w:r>
            </w:hyperlink>
            <w:hyperlink r:id="rId42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4">
              <w:r>
                <w:rPr>
                  <w:rStyle w:val="InternetLink"/>
                  <w:rFonts w:ascii="Times New Roman;sans-serif" w:hAnsi="Times New Roman;sans-serif"/>
                  <w:b w:val="false"/>
                  <w:color w:val="000080"/>
                  <w:sz w:val="20"/>
                  <w:u w:val="single"/>
                </w:rPr>
                <w:t>Form of Schedule I to Performance Stock Units (incorporated by reference to Exhibit 10.94 to Aramark's Annual Report on Form 10-K filed with the SEC on November 22, 202</w:t>
              </w:r>
            </w:hyperlink>
            <w:hyperlink r:id="rId425">
              <w:r>
                <w:rPr>
                  <w:rStyle w:val="InternetLink"/>
                  <w:rFonts w:ascii="Times New Roman;sans-serif" w:hAnsi="Times New Roman;sans-serif"/>
                  <w:b w:val="false"/>
                  <w:color w:val="000080"/>
                  <w:sz w:val="20"/>
                  <w:u w:val="single"/>
                </w:rPr>
                <w:t>2</w:t>
              </w:r>
            </w:hyperlink>
            <w:hyperlink r:id="rId426">
              <w:r>
                <w:rPr>
                  <w:rStyle w:val="InternetLink"/>
                  <w:rFonts w:ascii="Times New Roman;sans-serif" w:hAnsi="Times New Roman;sans-serif"/>
                  <w:b w:val="false"/>
                  <w:color w:val="000080"/>
                  <w:sz w:val="20"/>
                  <w:u w:val="single"/>
                </w:rPr>
                <w:t>,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27">
              <w:r>
                <w:rPr>
                  <w:rStyle w:val="InternetLink"/>
                  <w:rFonts w:ascii="Times New Roman;sans-serif" w:hAnsi="Times New Roman;sans-serif"/>
                  <w:b w:val="false"/>
                  <w:color w:val="000080"/>
                  <w:sz w:val="20"/>
                  <w:u w:val="single"/>
                </w:rPr>
                <w:t>10.8</w:t>
              </w:r>
            </w:hyperlink>
            <w:hyperlink r:id="rId428">
              <w:r>
                <w:rPr>
                  <w:rStyle w:val="InternetLink"/>
                  <w:rFonts w:ascii="Times New Roman;sans-serif" w:hAnsi="Times New Roman;sans-serif"/>
                  <w:b w:val="false"/>
                  <w:color w:val="000080"/>
                  <w:sz w:val="20"/>
                  <w:u w:val="single"/>
                </w:rPr>
                <w:t>6</w:t>
              </w:r>
            </w:hyperlink>
            <w:hyperlink r:id="rId42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0">
              <w:r>
                <w:rPr>
                  <w:rStyle w:val="InternetLink"/>
                  <w:rFonts w:ascii="Times New Roman;sans-serif" w:hAnsi="Times New Roman;sans-serif"/>
                  <w:b w:val="false"/>
                  <w:color w:val="0000FF"/>
                  <w:sz w:val="20"/>
                  <w:u w:val="single"/>
                </w:rPr>
                <w:t>Letter Agreement, dated as of December 2, 2022 by and between Aramark and Lynn McKee (incorporated by reference to Exhibit 10.1 to Aramark's Current Report on Form 8-K filed with the SEC on December 5, 2022,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31">
              <w:r>
                <w:rPr>
                  <w:rStyle w:val="InternetLink"/>
                  <w:rFonts w:ascii="Times New Roman;sans-serif" w:hAnsi="Times New Roman;sans-serif"/>
                  <w:b w:val="false"/>
                  <w:color w:val="000080"/>
                  <w:sz w:val="20"/>
                  <w:u w:val="single"/>
                </w:rPr>
                <w:t>10.8</w:t>
              </w:r>
            </w:hyperlink>
            <w:hyperlink r:id="rId432">
              <w:r>
                <w:rPr>
                  <w:rStyle w:val="InternetLink"/>
                  <w:rFonts w:ascii="Times New Roman;sans-serif" w:hAnsi="Times New Roman;sans-serif"/>
                  <w:b w:val="false"/>
                  <w:color w:val="000080"/>
                  <w:sz w:val="20"/>
                  <w:u w:val="single"/>
                </w:rPr>
                <w:t>7</w:t>
              </w:r>
            </w:hyperlink>
            <w:hyperlink r:id="rId43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4">
              <w:r>
                <w:rPr>
                  <w:rStyle w:val="InternetLink"/>
                  <w:rFonts w:ascii="Times New Roman;sans-serif" w:hAnsi="Times New Roman;sans-serif"/>
                  <w:b w:val="false"/>
                  <w:color w:val="0000FF"/>
                  <w:sz w:val="20"/>
                  <w:u w:val="single"/>
                </w:rPr>
                <w:t>Aramark 2023 Stock Incentive Plan (incorporated by reference to Appendix A to Aramark’s Definitive Proxy Statement filed with the SEC on December 23, 2022,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35">
              <w:r>
                <w:rPr>
                  <w:rStyle w:val="InternetLink"/>
                  <w:rFonts w:ascii="Times New Roman;sans-serif" w:hAnsi="Times New Roman;sans-serif"/>
                  <w:b w:val="false"/>
                  <w:color w:val="000080"/>
                  <w:sz w:val="20"/>
                  <w:u w:val="single"/>
                </w:rPr>
                <w:t>10.8</w:t>
              </w:r>
            </w:hyperlink>
            <w:hyperlink r:id="rId436">
              <w:r>
                <w:rPr>
                  <w:rStyle w:val="InternetLink"/>
                  <w:rFonts w:ascii="Times New Roman;sans-serif" w:hAnsi="Times New Roman;sans-serif"/>
                  <w:b w:val="false"/>
                  <w:color w:val="000080"/>
                  <w:sz w:val="20"/>
                  <w:u w:val="single"/>
                </w:rPr>
                <w:t>8</w:t>
              </w:r>
            </w:hyperlink>
            <w:hyperlink r:id="rId43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8">
              <w:r>
                <w:rPr>
                  <w:rStyle w:val="InternetLink"/>
                  <w:rFonts w:ascii="Times New Roman;sans-serif" w:hAnsi="Times New Roman;sans-serif"/>
                  <w:b w:val="false"/>
                  <w:color w:val="000080"/>
                  <w:sz w:val="20"/>
                  <w:u w:val="single"/>
                </w:rPr>
                <w:t xml:space="preserve">Form of Annual Deferred Stock Unit Grant Agreement under the Aramark 2023 Stock Incentive Plan </w:t>
              </w:r>
            </w:hyperlink>
            <w:hyperlink r:id="rId439">
              <w:r>
                <w:rPr>
                  <w:rStyle w:val="InternetLink"/>
                  <w:rFonts w:ascii="Times New Roman;sans-serif" w:hAnsi="Times New Roman;sans-serif"/>
                  <w:b w:val="false"/>
                  <w:color w:val="000080"/>
                  <w:sz w:val="20"/>
                  <w:u w:val="single"/>
                </w:rPr>
                <w:t>(incorporated by reference to Exhibit 10.</w:t>
              </w:r>
            </w:hyperlink>
            <w:hyperlink r:id="rId440">
              <w:r>
                <w:rPr>
                  <w:rStyle w:val="InternetLink"/>
                  <w:rFonts w:ascii="Times New Roman;sans-serif" w:hAnsi="Times New Roman;sans-serif"/>
                  <w:b w:val="false"/>
                  <w:color w:val="000080"/>
                  <w:sz w:val="20"/>
                  <w:u w:val="single"/>
                </w:rPr>
                <w:t>1</w:t>
              </w:r>
            </w:hyperlink>
            <w:hyperlink r:id="rId441">
              <w:r>
                <w:rPr>
                  <w:rStyle w:val="InternetLink"/>
                  <w:rFonts w:ascii="Times New Roman;sans-serif" w:hAnsi="Times New Roman;sans-serif"/>
                  <w:b w:val="false"/>
                  <w:color w:val="000080"/>
                  <w:sz w:val="20"/>
                  <w:u w:val="single"/>
                </w:rPr>
                <w:t xml:space="preserve"> to Aramark's Quarterly Report on Form 10-Q filed with the SEC on May 9, 2023,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42">
              <w:r>
                <w:rPr>
                  <w:rStyle w:val="InternetLink"/>
                  <w:rFonts w:ascii="Times New Roman;sans-serif" w:hAnsi="Times New Roman;sans-serif"/>
                  <w:b w:val="false"/>
                  <w:color w:val="000080"/>
                  <w:sz w:val="20"/>
                  <w:u w:val="single"/>
                </w:rPr>
                <w:t>10.8</w:t>
              </w:r>
            </w:hyperlink>
            <w:hyperlink r:id="rId443">
              <w:r>
                <w:rPr>
                  <w:rStyle w:val="InternetLink"/>
                  <w:rFonts w:ascii="Times New Roman;sans-serif" w:hAnsi="Times New Roman;sans-serif"/>
                  <w:b w:val="false"/>
                  <w:color w:val="000080"/>
                  <w:sz w:val="20"/>
                  <w:u w:val="single"/>
                </w:rPr>
                <w:t>9</w:t>
              </w:r>
            </w:hyperlink>
            <w:hyperlink r:id="rId44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5">
              <w:r>
                <w:rPr>
                  <w:rStyle w:val="InternetLink"/>
                  <w:rFonts w:ascii="Times New Roman;sans-serif" w:hAnsi="Times New Roman;sans-serif"/>
                  <w:b w:val="false"/>
                  <w:color w:val="000080"/>
                  <w:sz w:val="20"/>
                  <w:u w:val="single"/>
                </w:rPr>
                <w:t>Form of Quarterly Deferred Retainer Grant Agreement under the Aramark 2023 Stock Incentive Plan</w:t>
              </w:r>
            </w:hyperlink>
            <w:hyperlink r:id="rId446">
              <w:r>
                <w:rPr>
                  <w:rStyle w:val="InternetLink"/>
                  <w:rFonts w:ascii="Times New Roman;sans-serif" w:hAnsi="Times New Roman;sans-serif"/>
                  <w:b w:val="false"/>
                  <w:color w:val="000080"/>
                  <w:sz w:val="20"/>
                  <w:u w:val="single"/>
                </w:rPr>
                <w:t xml:space="preserve"> </w:t>
              </w:r>
            </w:hyperlink>
            <w:hyperlink r:id="rId447">
              <w:r>
                <w:rPr>
                  <w:rStyle w:val="InternetLink"/>
                  <w:rFonts w:ascii="Times New Roman;sans-serif" w:hAnsi="Times New Roman;sans-serif"/>
                  <w:b w:val="false"/>
                  <w:color w:val="000080"/>
                  <w:sz w:val="20"/>
                  <w:u w:val="single"/>
                </w:rPr>
                <w:t>(incorporated by reference to Exhibit 10.</w:t>
              </w:r>
            </w:hyperlink>
            <w:hyperlink r:id="rId448">
              <w:r>
                <w:rPr>
                  <w:rStyle w:val="InternetLink"/>
                  <w:rFonts w:ascii="Times New Roman;sans-serif" w:hAnsi="Times New Roman;sans-serif"/>
                  <w:b w:val="false"/>
                  <w:color w:val="000080"/>
                  <w:sz w:val="20"/>
                  <w:u w:val="single"/>
                </w:rPr>
                <w:t>2</w:t>
              </w:r>
            </w:hyperlink>
            <w:hyperlink r:id="rId449">
              <w:r>
                <w:rPr>
                  <w:rStyle w:val="InternetLink"/>
                  <w:rFonts w:ascii="Times New Roman;sans-serif" w:hAnsi="Times New Roman;sans-serif"/>
                  <w:b w:val="false"/>
                  <w:color w:val="000080"/>
                  <w:sz w:val="20"/>
                  <w:u w:val="single"/>
                </w:rPr>
                <w:t xml:space="preserve"> to Aramark's Quarterly Report on Form 10-Q filed with the SEC on </w:t>
              </w:r>
            </w:hyperlink>
            <w:hyperlink r:id="rId450">
              <w:r>
                <w:rPr>
                  <w:rStyle w:val="InternetLink"/>
                  <w:rFonts w:ascii="Times New Roman;sans-serif" w:hAnsi="Times New Roman;sans-serif"/>
                  <w:b w:val="false"/>
                  <w:color w:val="000080"/>
                  <w:sz w:val="20"/>
                  <w:u w:val="single"/>
                </w:rPr>
                <w:t>May</w:t>
              </w:r>
            </w:hyperlink>
            <w:hyperlink r:id="rId451">
              <w:r>
                <w:rPr>
                  <w:rStyle w:val="InternetLink"/>
                  <w:rFonts w:ascii="Times New Roman;sans-serif" w:hAnsi="Times New Roman;sans-serif"/>
                  <w:b w:val="false"/>
                  <w:color w:val="000080"/>
                  <w:sz w:val="20"/>
                  <w:u w:val="single"/>
                </w:rPr>
                <w:t xml:space="preserve"> 9, 20</w:t>
              </w:r>
            </w:hyperlink>
            <w:hyperlink r:id="rId452">
              <w:r>
                <w:rPr>
                  <w:rStyle w:val="InternetLink"/>
                  <w:rFonts w:ascii="Times New Roman;sans-serif" w:hAnsi="Times New Roman;sans-serif"/>
                  <w:b w:val="false"/>
                  <w:color w:val="000080"/>
                  <w:sz w:val="20"/>
                  <w:u w:val="single"/>
                </w:rPr>
                <w:t>23</w:t>
              </w:r>
            </w:hyperlink>
            <w:hyperlink r:id="rId453">
              <w:r>
                <w:rPr>
                  <w:rStyle w:val="InternetLink"/>
                  <w:rFonts w:ascii="Times New Roman;sans-serif" w:hAnsi="Times New Roman;sans-serif"/>
                  <w:b w:val="false"/>
                  <w:color w:val="000080"/>
                  <w:sz w:val="20"/>
                  <w:u w:val="single"/>
                </w:rPr>
                <w:t>,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54">
              <w:r>
                <w:rPr>
                  <w:rStyle w:val="InternetLink"/>
                  <w:rFonts w:ascii="Times New Roman;sans-serif" w:hAnsi="Times New Roman;sans-serif"/>
                  <w:b w:val="false"/>
                  <w:color w:val="000080"/>
                  <w:sz w:val="20"/>
                  <w:u w:val="single"/>
                </w:rPr>
                <w:t>10.</w:t>
              </w:r>
            </w:hyperlink>
            <w:hyperlink r:id="rId455">
              <w:r>
                <w:rPr>
                  <w:rStyle w:val="InternetLink"/>
                  <w:rFonts w:ascii="Times New Roman;sans-serif" w:hAnsi="Times New Roman;sans-serif"/>
                  <w:b w:val="false"/>
                  <w:color w:val="000080"/>
                  <w:sz w:val="20"/>
                  <w:u w:val="single"/>
                </w:rPr>
                <w:t>90</w:t>
              </w:r>
            </w:hyperlink>
            <w:hyperlink r:id="rId45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7">
              <w:r>
                <w:rPr>
                  <w:rStyle w:val="InternetLink"/>
                  <w:rFonts w:ascii="Times New Roman;sans-serif" w:hAnsi="Times New Roman;sans-serif"/>
                  <w:b w:val="false"/>
                  <w:color w:val="0000FF"/>
                  <w:sz w:val="20"/>
                  <w:u w:val="single"/>
                </w:rPr>
                <w:t>Amended and Restated Aramark Management Incentive Bonus Plan (incorporated by reference to Exhibit 10.3 to Aramark's Quarterly Report on Form 10-Q filed with the SEC on August 8, 2023,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58">
              <w:r>
                <w:rPr>
                  <w:rStyle w:val="InternetLink"/>
                  <w:rFonts w:ascii="Times New Roman;sans-serif" w:hAnsi="Times New Roman;sans-serif"/>
                  <w:b w:val="false"/>
                  <w:color w:val="000080"/>
                  <w:sz w:val="20"/>
                  <w:u w:val="single"/>
                </w:rPr>
                <w:t>10.</w:t>
              </w:r>
            </w:hyperlink>
            <w:hyperlink r:id="rId459">
              <w:r>
                <w:rPr>
                  <w:rStyle w:val="InternetLink"/>
                  <w:rFonts w:ascii="Times New Roman;sans-serif" w:hAnsi="Times New Roman;sans-serif"/>
                  <w:b w:val="false"/>
                  <w:color w:val="000080"/>
                  <w:sz w:val="20"/>
                  <w:u w:val="single"/>
                </w:rPr>
                <w:t>9</w:t>
              </w:r>
            </w:hyperlink>
            <w:hyperlink r:id="rId460">
              <w:r>
                <w:rPr>
                  <w:rStyle w:val="InternetLink"/>
                  <w:rFonts w:ascii="Times New Roman;sans-serif" w:hAnsi="Times New Roman;sans-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1">
              <w:r>
                <w:rPr>
                  <w:rStyle w:val="InternetLink"/>
                  <w:rFonts w:ascii="Times New Roman;sans-serif" w:hAnsi="Times New Roman;sans-serif"/>
                  <w:b w:val="false"/>
                  <w:color w:val="0000FF"/>
                  <w:sz w:val="20"/>
                  <w:u w:val="single"/>
                </w:rPr>
                <w:t>Transition Services Agreement, dated as of September 29, 2023, by and between Aramark and Vestis Corporation (incorporated by reference to Exhibit 10.1 to Aramark's Current Report on Form 8-K filed with the SEC on October 2, 2023,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62">
              <w:r>
                <w:rPr>
                  <w:rStyle w:val="InternetLink"/>
                  <w:rFonts w:ascii="Times New Roman;sans-serif" w:hAnsi="Times New Roman;sans-serif"/>
                  <w:b w:val="false"/>
                  <w:color w:val="000080"/>
                  <w:sz w:val="20"/>
                  <w:u w:val="single"/>
                </w:rPr>
                <w:t>10.</w:t>
              </w:r>
            </w:hyperlink>
            <w:hyperlink r:id="rId463">
              <w:r>
                <w:rPr>
                  <w:rStyle w:val="InternetLink"/>
                  <w:rFonts w:ascii="Times New Roman;sans-serif" w:hAnsi="Times New Roman;sans-serif"/>
                  <w:b w:val="false"/>
                  <w:color w:val="000080"/>
                  <w:sz w:val="20"/>
                  <w:u w:val="single"/>
                </w:rPr>
                <w:t>9</w:t>
              </w:r>
            </w:hyperlink>
            <w:hyperlink r:id="rId464">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5">
              <w:r>
                <w:rPr>
                  <w:rStyle w:val="InternetLink"/>
                  <w:rFonts w:ascii="Times New Roman;sans-serif" w:hAnsi="Times New Roman;sans-serif"/>
                  <w:b w:val="false"/>
                  <w:color w:val="000080"/>
                  <w:sz w:val="20"/>
                  <w:u w:val="single"/>
                </w:rPr>
                <w:t>Tax Matters Agreement, dated as of September 29, 2023, by and between Aramark and Vestis Corporation (incorporated by reference to Exhibit 10.</w:t>
              </w:r>
            </w:hyperlink>
            <w:hyperlink r:id="rId466">
              <w:r>
                <w:rPr>
                  <w:rStyle w:val="InternetLink"/>
                  <w:rFonts w:ascii="Times New Roman;sans-serif" w:hAnsi="Times New Roman;sans-serif"/>
                  <w:b w:val="false"/>
                  <w:color w:val="000080"/>
                  <w:sz w:val="20"/>
                  <w:u w:val="single"/>
                </w:rPr>
                <w:t>2</w:t>
              </w:r>
            </w:hyperlink>
            <w:hyperlink r:id="rId467">
              <w:r>
                <w:rPr>
                  <w:rStyle w:val="InternetLink"/>
                  <w:rFonts w:ascii="Times New Roman;sans-serif" w:hAnsi="Times New Roman;sans-serif"/>
                  <w:b w:val="false"/>
                  <w:color w:val="000080"/>
                  <w:sz w:val="20"/>
                  <w:u w:val="single"/>
                </w:rPr>
                <w:t xml:space="preserve"> to Aramark's Current Report on Form 8-K filed with the SEC on October 2, 2023,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68">
              <w:r>
                <w:rPr>
                  <w:rStyle w:val="InternetLink"/>
                  <w:rFonts w:ascii="Times New Roman;sans-serif" w:hAnsi="Times New Roman;sans-serif"/>
                  <w:b w:val="false"/>
                  <w:color w:val="000080"/>
                  <w:sz w:val="20"/>
                  <w:u w:val="single"/>
                </w:rPr>
                <w:t>10.9</w:t>
              </w:r>
            </w:hyperlink>
            <w:hyperlink r:id="rId469">
              <w:r>
                <w:rPr>
                  <w:rStyle w:val="InternetLink"/>
                  <w:rFonts w:ascii="Times New Roman;sans-serif" w:hAnsi="Times New Roman;sans-serif"/>
                  <w:b w:val="false"/>
                  <w:color w:val="000080"/>
                  <w:sz w:val="20"/>
                  <w:u w:val="single"/>
                </w:rPr>
                <w:t>3</w:t>
              </w:r>
            </w:hyperlink>
            <w:hyperlink r:id="rId47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1">
              <w:r>
                <w:rPr>
                  <w:rStyle w:val="InternetLink"/>
                  <w:rFonts w:ascii="Times New Roman;sans-serif" w:hAnsi="Times New Roman;sans-serif"/>
                  <w:b w:val="false"/>
                  <w:color w:val="0000FF"/>
                  <w:sz w:val="20"/>
                  <w:u w:val="single"/>
                </w:rPr>
                <w:t>Employee Matters Agreement, dated as of September 29, 2023, by and between Aramark and Vestis Corporation (incorporated by reference to Exhibit 10.3 to Aramark's Current Report on Form 8-K filed with the SEC on October 2, 2023, pursuant to the Exchange Act (file number 001-36223)).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942023armkxfy24eltstoc.htm">
              <w:r>
                <w:rPr>
                  <w:rStyle w:val="InternetLink"/>
                  <w:rFonts w:ascii="Times New Roman;sans-serif" w:hAnsi="Times New Roman;sans-serif"/>
                  <w:b w:val="false"/>
                  <w:color w:val="000080"/>
                  <w:sz w:val="20"/>
                  <w:u w:val="single"/>
                </w:rPr>
                <w:t>10.9</w:t>
              </w:r>
            </w:hyperlink>
            <w:hyperlink w:anchor="ex10942023armkxfy24eltstoc.htm">
              <w:r>
                <w:rPr>
                  <w:rStyle w:val="InternetLink"/>
                  <w:rFonts w:ascii="Times New Roman;sans-serif" w:hAnsi="Times New Roman;sans-serif"/>
                  <w:b w:val="false"/>
                  <w:color w:val="000080"/>
                  <w:sz w:val="20"/>
                  <w:u w:val="single"/>
                </w:rPr>
                <w:t>4</w:t>
              </w:r>
            </w:hyperlink>
            <w:hyperlink w:anchor="ex10942023armkxfy24eltstoc.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42023armkxfy24eltstoc.htm">
              <w:r>
                <w:rPr>
                  <w:rStyle w:val="InternetLink"/>
                  <w:rFonts w:ascii="Times New Roman;sans-serif" w:hAnsi="Times New Roman;sans-serif"/>
                  <w:b w:val="false"/>
                  <w:color w:val="0000FF"/>
                  <w:sz w:val="20"/>
                  <w:u w:val="single"/>
                </w:rPr>
                <w:t>Form of ELT Stock Option Grant Agreement (2023 Plan).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952023armkxfy24eltrsug.htm">
              <w:r>
                <w:rPr>
                  <w:rStyle w:val="InternetLink"/>
                  <w:rFonts w:ascii="Times New Roman;sans-serif" w:hAnsi="Times New Roman;sans-serif"/>
                  <w:b w:val="false"/>
                  <w:color w:val="000080"/>
                  <w:sz w:val="20"/>
                  <w:u w:val="single"/>
                </w:rPr>
                <w:t>10.9</w:t>
              </w:r>
            </w:hyperlink>
            <w:hyperlink w:anchor="ex10952023armkxfy24eltrsug.htm">
              <w:r>
                <w:rPr>
                  <w:rStyle w:val="InternetLink"/>
                  <w:rFonts w:ascii="Times New Roman;sans-serif" w:hAnsi="Times New Roman;sans-serif"/>
                  <w:b w:val="false"/>
                  <w:color w:val="000080"/>
                  <w:sz w:val="20"/>
                  <w:u w:val="single"/>
                </w:rPr>
                <w:t>5</w:t>
              </w:r>
            </w:hyperlink>
            <w:hyperlink w:anchor="ex10952023armkxfy24eltrsug.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52023armkxfy24eltrsug.htm">
              <w:r>
                <w:rPr>
                  <w:rStyle w:val="InternetLink"/>
                  <w:rFonts w:ascii="Times New Roman;sans-serif" w:hAnsi="Times New Roman;sans-serif"/>
                  <w:b w:val="false"/>
                  <w:color w:val="0000FF"/>
                  <w:sz w:val="20"/>
                  <w:u w:val="single"/>
                </w:rPr>
                <w:t>Form of ELT RSU Grant Agreement (2023 Plan).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962023armkxfy24eltpsug.htm">
              <w:r>
                <w:rPr>
                  <w:rStyle w:val="InternetLink"/>
                  <w:rFonts w:ascii="Times New Roman;sans-serif" w:hAnsi="Times New Roman;sans-serif"/>
                  <w:b w:val="false"/>
                  <w:color w:val="000080"/>
                  <w:sz w:val="20"/>
                  <w:u w:val="single"/>
                </w:rPr>
                <w:t>10.9</w:t>
              </w:r>
            </w:hyperlink>
            <w:hyperlink w:anchor="ex10962023armkxfy24eltpsug.htm">
              <w:r>
                <w:rPr>
                  <w:rStyle w:val="InternetLink"/>
                  <w:rFonts w:ascii="Times New Roman;sans-serif" w:hAnsi="Times New Roman;sans-serif"/>
                  <w:b w:val="false"/>
                  <w:color w:val="000080"/>
                  <w:sz w:val="20"/>
                  <w:u w:val="single"/>
                </w:rPr>
                <w:t>6</w:t>
              </w:r>
            </w:hyperlink>
            <w:hyperlink w:anchor="ex10962023armkxfy24eltpsug.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62023armkxfy24eltpsug.htm">
              <w:r>
                <w:rPr>
                  <w:rStyle w:val="InternetLink"/>
                  <w:rFonts w:ascii="Times New Roman;sans-serif" w:hAnsi="Times New Roman;sans-serif"/>
                  <w:b w:val="false"/>
                  <w:color w:val="000080"/>
                  <w:sz w:val="20"/>
                  <w:u w:val="single"/>
                </w:rPr>
                <w:t>Form of ELT PSU Grant Agreement (2023 Plan)</w:t>
              </w:r>
            </w:hyperlink>
            <w:hyperlink w:anchor="ex10962023armkxfy24eltpsug.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972023armkxfy24ceostoc.htm">
              <w:r>
                <w:rPr>
                  <w:rStyle w:val="InternetLink"/>
                  <w:rFonts w:ascii="Times New Roman;sans-serif" w:hAnsi="Times New Roman;sans-serif"/>
                  <w:b w:val="false"/>
                  <w:color w:val="000080"/>
                  <w:sz w:val="20"/>
                  <w:u w:val="single"/>
                </w:rPr>
                <w:t>10.9</w:t>
              </w:r>
            </w:hyperlink>
            <w:hyperlink w:anchor="ex10972023armkxfy24ceostoc.htm">
              <w:r>
                <w:rPr>
                  <w:rStyle w:val="InternetLink"/>
                  <w:rFonts w:ascii="Times New Roman;sans-serif" w:hAnsi="Times New Roman;sans-serif"/>
                  <w:b w:val="false"/>
                  <w:color w:val="000080"/>
                  <w:sz w:val="20"/>
                  <w:u w:val="single"/>
                </w:rPr>
                <w:t>7</w:t>
              </w:r>
            </w:hyperlink>
            <w:hyperlink w:anchor="ex10972023armkxfy24ceostoc.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72023armkxfy24ceostoc.htm">
              <w:r>
                <w:rPr>
                  <w:rStyle w:val="InternetLink"/>
                  <w:rFonts w:ascii="Times New Roman;sans-serif" w:hAnsi="Times New Roman;sans-serif"/>
                  <w:b w:val="false"/>
                  <w:color w:val="000080"/>
                  <w:sz w:val="20"/>
                  <w:u w:val="single"/>
                </w:rPr>
                <w:t>Form of CEO Stock Option Grant Agreement (2023 Plan)</w:t>
              </w:r>
            </w:hyperlink>
            <w:hyperlink w:anchor="ex10972023armkxfy24ceostoc.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982023armkxfy24ceorsug.htm">
              <w:r>
                <w:rPr>
                  <w:rStyle w:val="InternetLink"/>
                  <w:rFonts w:ascii="Times New Roman;sans-serif" w:hAnsi="Times New Roman;sans-serif"/>
                  <w:b w:val="false"/>
                  <w:color w:val="000080"/>
                  <w:sz w:val="20"/>
                  <w:u w:val="single"/>
                </w:rPr>
                <w:t>10.9</w:t>
              </w:r>
            </w:hyperlink>
            <w:hyperlink w:anchor="ex10982023armkxfy24ceorsug.htm">
              <w:r>
                <w:rPr>
                  <w:rStyle w:val="InternetLink"/>
                  <w:rFonts w:ascii="Times New Roman;sans-serif" w:hAnsi="Times New Roman;sans-serif"/>
                  <w:b w:val="false"/>
                  <w:color w:val="000080"/>
                  <w:sz w:val="20"/>
                  <w:u w:val="single"/>
                </w:rPr>
                <w:t>8</w:t>
              </w:r>
            </w:hyperlink>
            <w:hyperlink w:anchor="ex10982023armkxfy24ceorsug.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82023armkxfy24ceorsug.htm">
              <w:r>
                <w:rPr>
                  <w:rStyle w:val="InternetLink"/>
                  <w:rFonts w:ascii="Times New Roman;sans-serif" w:hAnsi="Times New Roman;sans-serif"/>
                  <w:b w:val="false"/>
                  <w:color w:val="000080"/>
                  <w:sz w:val="20"/>
                  <w:u w:val="single"/>
                </w:rPr>
                <w:t>Form of CEO RSU Grant Agreement (2023 Plan)</w:t>
              </w:r>
            </w:hyperlink>
            <w:hyperlink w:anchor="ex10982023armkxfy24ceorsug.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992023armkxfy24ceopsug.htm">
              <w:r>
                <w:rPr>
                  <w:rStyle w:val="InternetLink"/>
                  <w:rFonts w:ascii="Times New Roman;sans-serif" w:hAnsi="Times New Roman;sans-serif"/>
                  <w:b w:val="false"/>
                  <w:color w:val="000080"/>
                  <w:sz w:val="20"/>
                  <w:u w:val="single"/>
                </w:rPr>
                <w:t>10.9</w:t>
              </w:r>
            </w:hyperlink>
            <w:hyperlink w:anchor="ex10992023armkxfy24ceopsug.htm">
              <w:r>
                <w:rPr>
                  <w:rStyle w:val="InternetLink"/>
                  <w:rFonts w:ascii="Times New Roman;sans-serif" w:hAnsi="Times New Roman;sans-serif"/>
                  <w:b w:val="false"/>
                  <w:color w:val="000080"/>
                  <w:sz w:val="20"/>
                  <w:u w:val="single"/>
                </w:rPr>
                <w:t>9</w:t>
              </w:r>
            </w:hyperlink>
            <w:hyperlink w:anchor="ex10992023armkxfy24ceopsug.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992023armkxfy24ceopsug.htm">
              <w:r>
                <w:rPr>
                  <w:rStyle w:val="InternetLink"/>
                  <w:rFonts w:ascii="Times New Roman;sans-serif" w:hAnsi="Times New Roman;sans-serif"/>
                  <w:b w:val="false"/>
                  <w:color w:val="000080"/>
                  <w:sz w:val="20"/>
                  <w:u w:val="single"/>
                </w:rPr>
                <w:t>Form of CEO PSU Grant Agreement (2023 Plan)</w:t>
              </w:r>
            </w:hyperlink>
            <w:hyperlink w:anchor="ex10992023armkxfy24ceopsug.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1002023armkxamendedand.htm">
              <w:r>
                <w:rPr>
                  <w:rStyle w:val="InternetLink"/>
                  <w:rFonts w:ascii="Times New Roman;sans-serif" w:hAnsi="Times New Roman;sans-serif"/>
                  <w:b w:val="false"/>
                  <w:color w:val="000080"/>
                  <w:sz w:val="20"/>
                  <w:u w:val="single"/>
                </w:rPr>
                <w:t>10.</w:t>
              </w:r>
            </w:hyperlink>
            <w:hyperlink w:anchor="ex101002023armkxamendedand.htm">
              <w:r>
                <w:rPr>
                  <w:rStyle w:val="InternetLink"/>
                  <w:rFonts w:ascii="Times New Roman;sans-serif" w:hAnsi="Times New Roman;sans-serif"/>
                  <w:b w:val="false"/>
                  <w:color w:val="000080"/>
                  <w:sz w:val="20"/>
                  <w:u w:val="single"/>
                </w:rPr>
                <w:t>100</w:t>
              </w:r>
            </w:hyperlink>
            <w:hyperlink w:anchor="ex101002023armkxamendedand.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002023armkxamendedand.htm">
              <w:r>
                <w:rPr>
                  <w:rStyle w:val="InternetLink"/>
                  <w:rFonts w:ascii="Times New Roman;sans-serif" w:hAnsi="Times New Roman;sans-serif"/>
                  <w:b w:val="false"/>
                  <w:color w:val="000080"/>
                  <w:sz w:val="20"/>
                  <w:u w:val="single"/>
                </w:rPr>
                <w:t>Amended and Restated ELT PSUs 2022-2024 Schedule I</w:t>
              </w:r>
            </w:hyperlink>
            <w:hyperlink w:anchor="ex101002023armkxamendedand.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1012023armkxamendedand.htm">
              <w:r>
                <w:rPr>
                  <w:rStyle w:val="InternetLink"/>
                  <w:rFonts w:ascii="Times New Roman;sans-serif" w:hAnsi="Times New Roman;sans-serif"/>
                  <w:b w:val="false"/>
                  <w:color w:val="000080"/>
                  <w:sz w:val="20"/>
                  <w:u w:val="single"/>
                </w:rPr>
                <w:t>10.10</w:t>
              </w:r>
            </w:hyperlink>
            <w:hyperlink w:anchor="ex101012023armkxamendedand.htm">
              <w:r>
                <w:rPr>
                  <w:rStyle w:val="InternetLink"/>
                  <w:rFonts w:ascii="Times New Roman;sans-serif" w:hAnsi="Times New Roman;sans-serif"/>
                  <w:b w:val="false"/>
                  <w:color w:val="000080"/>
                  <w:sz w:val="20"/>
                  <w:u w:val="single"/>
                </w:rPr>
                <w:t>1</w:t>
              </w:r>
            </w:hyperlink>
            <w:hyperlink w:anchor="ex101012023armkxamendedand.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012023armkxamendedand.htm">
              <w:r>
                <w:rPr>
                  <w:rStyle w:val="InternetLink"/>
                  <w:rFonts w:ascii="Times New Roman;sans-serif" w:hAnsi="Times New Roman;sans-serif"/>
                  <w:b w:val="false"/>
                  <w:color w:val="000080"/>
                  <w:sz w:val="20"/>
                  <w:u w:val="single"/>
                </w:rPr>
                <w:t>Amended and Restated ELC PSUs 2022-2024 Schedule I</w:t>
              </w:r>
            </w:hyperlink>
            <w:hyperlink w:anchor="ex101012023armkxamendedand.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2112023armkxlistofsubsid.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2023armkxlistofsubsid.htm">
              <w:r>
                <w:rPr>
                  <w:rStyle w:val="InternetLink"/>
                  <w:rFonts w:ascii="Times New Roman;sans-serif" w:hAnsi="Times New Roman;sans-serif"/>
                  <w:b w:val="false"/>
                  <w:color w:val="0000FF"/>
                  <w:sz w:val="20"/>
                  <w:u w:val="single"/>
                </w:rPr>
                <w:t>List of subsidiaries of Aramark.</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2312023armkxdeloittetouc.htm">
              <w:r>
                <w:rPr>
                  <w:rStyle w:val="InternetLink"/>
                  <w:rFonts w:ascii="Times New Roman;sans-serif" w:hAnsi="Times New Roman;sans-serif"/>
                  <w:b w:val="false"/>
                  <w:color w:val="000080"/>
                  <w:sz w:val="20"/>
                  <w:u w:val="single"/>
                </w:rPr>
                <w:t>23.</w:t>
              </w:r>
            </w:hyperlink>
            <w:hyperlink w:anchor="ex2312023armkxdeloittetouc.htm">
              <w:r>
                <w:rPr>
                  <w:rStyle w:val="InternetLink"/>
                  <w:rFonts w:ascii="Times New Roman;sans-serif" w:hAnsi="Times New Roman;sans-serif"/>
                  <w:b w:val="false"/>
                  <w:color w:val="000080"/>
                  <w:sz w:val="20"/>
                  <w:u w:val="single"/>
                </w:rPr>
                <w:t>1</w:t>
              </w:r>
            </w:hyperlink>
            <w:hyperlink w:anchor="ex2312023armkxdeloittetouc.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2023armkxdeloittetouc.htm">
              <w:r>
                <w:rPr>
                  <w:rStyle w:val="InternetLink"/>
                  <w:rFonts w:ascii="Times New Roman;sans-serif" w:hAnsi="Times New Roman;sans-serif"/>
                  <w:b w:val="false"/>
                  <w:color w:val="0000FF"/>
                  <w:sz w:val="20"/>
                  <w:u w:val="single"/>
                </w:rPr>
                <w:t>Consent of Independent Registered Public Accounting Firm-Deloitte &amp; Touche LLP.</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110-k2023armk.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10-k2023armk.htm">
              <w:r>
                <w:rPr>
                  <w:rStyle w:val="InternetLink"/>
                  <w:rFonts w:ascii="Times New Roman;sans-serif" w:hAnsi="Times New Roman;sans-serif"/>
                  <w:b w:val="false"/>
                  <w:color w:val="0000FF"/>
                  <w:sz w:val="20"/>
                  <w:u w:val="single"/>
                </w:rPr>
                <w:t>Certification of John J. Zillmer, Chief Executive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10-k2023armk.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10-k2023armk.htm">
              <w:r>
                <w:rPr>
                  <w:rStyle w:val="InternetLink"/>
                  <w:rFonts w:ascii="Times New Roman;sans-serif" w:hAnsi="Times New Roman;sans-serif"/>
                  <w:b w:val="false"/>
                  <w:color w:val="0000FF"/>
                  <w:sz w:val="20"/>
                  <w:u w:val="single"/>
                </w:rPr>
                <w:t>Certification of Thomas G. Ondrof, Chief Financial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10-k2023armk.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10-k2023armk.htm">
              <w:r>
                <w:rPr>
                  <w:rStyle w:val="InternetLink"/>
                  <w:rFonts w:ascii="Times New Roman;sans-serif" w:hAnsi="Times New Roman;sans-serif"/>
                  <w:b w:val="false"/>
                  <w:color w:val="0000FF"/>
                  <w:sz w:val="20"/>
                  <w:u w:val="single"/>
                </w:rPr>
                <w:t>Certification of John J. Zillmer, Chief Executive Officer, and Thomas G. Ondrof, Chief Financial Officer,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72023armkxaramarkincent.htm">
              <w:r>
                <w:rPr>
                  <w:rStyle w:val="InternetLink"/>
                  <w:rFonts w:ascii="Times New Roman;sans-serif" w:hAnsi="Times New Roman;sans-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2023armkxaramarkincent.htm">
              <w:r>
                <w:rPr>
                  <w:rStyle w:val="InternetLink"/>
                  <w:rFonts w:ascii="Times New Roman;sans-serif" w:hAnsi="Times New Roman;sans-serif"/>
                  <w:b w:val="false"/>
                  <w:color w:val="0000FF"/>
                  <w:sz w:val="20"/>
                  <w:u w:val="single"/>
                </w:rPr>
                <w:t>Aramark Incentive Compensation Clawback Policy.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S-60</w:t>
                      </w:r>
                    </w:p>
                  </w:txbxContent>
                </v:textbox>
                <w10:wrap type="none"/>
              </v:rect>
            </w:pict>
          </mc:Fallback>
        </mc:AlternateContent>
      </w:r>
    </w:p>
    <w:p>
      <w:pPr>
        <w:pStyle w:val="TextBody"/>
        <w:bidi w:val="0"/>
        <w:spacing w:lineRule="auto" w:line="288" w:before="0" w:after="0"/>
        <w:jc w:val="left"/>
        <w:rPr/>
      </w:pPr>
      <w:hyperlink w:anchor="i0221248fc5fb4b43a889cc3dabb8d38a_4">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09"/>
        <w:gridCol w:w="170"/>
        <w:gridCol w:w="175"/>
        <w:gridCol w:w="109"/>
        <w:gridCol w:w="109"/>
        <w:gridCol w:w="109"/>
        <w:gridCol w:w="2981"/>
        <w:gridCol w:w="2981"/>
        <w:gridCol w:w="2987"/>
        <w:gridCol w:w="109"/>
        <w:gridCol w:w="109"/>
        <w:gridCol w:w="157"/>
      </w:tblGrid>
      <w:tr>
        <w:trPr/>
        <w:tc>
          <w:tcPr>
            <w:tcW w:w="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21248fc5fb4b43a889cc3dabb8d38a_10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1248fc5fb4b43a889cc3dabb8d38a_109">
              <w:r>
                <w:rPr>
                  <w:rStyle w:val="InternetLink"/>
                  <w:rFonts w:ascii="Times New Roman;sans-serif" w:hAnsi="Times New Roman;sans-serif"/>
                  <w:b w:val="false"/>
                  <w:color w:val="000080"/>
                  <w:sz w:val="20"/>
                  <w:u w:val="single"/>
                </w:rPr>
                <w:t xml:space="preserve">The following financial information from Aramark's Annual Report on Form 10-K for the period ended September </w:t>
              </w:r>
            </w:hyperlink>
            <w:hyperlink w:anchor="i0221248fc5fb4b43a889cc3dabb8d38a_109">
              <w:r>
                <w:rPr>
                  <w:rStyle w:val="InternetLink"/>
                  <w:rFonts w:ascii="Times New Roman;sans-serif" w:hAnsi="Times New Roman;sans-serif"/>
                  <w:b w:val="false"/>
                  <w:color w:val="000080"/>
                  <w:sz w:val="20"/>
                  <w:u w:val="single"/>
                </w:rPr>
                <w:t>29</w:t>
              </w:r>
            </w:hyperlink>
            <w:hyperlink w:anchor="i0221248fc5fb4b43a889cc3dabb8d38a_109">
              <w:r>
                <w:rPr>
                  <w:rStyle w:val="InternetLink"/>
                  <w:rFonts w:ascii="Times New Roman;sans-serif" w:hAnsi="Times New Roman;sans-serif"/>
                  <w:b w:val="false"/>
                  <w:color w:val="000080"/>
                  <w:sz w:val="20"/>
                  <w:u w:val="single"/>
                </w:rPr>
                <w:t>, 202</w:t>
              </w:r>
            </w:hyperlink>
            <w:hyperlink w:anchor="i0221248fc5fb4b43a889cc3dabb8d38a_109">
              <w:r>
                <w:rPr>
                  <w:rStyle w:val="InternetLink"/>
                  <w:rFonts w:ascii="Times New Roman;sans-serif" w:hAnsi="Times New Roman;sans-serif"/>
                  <w:b w:val="false"/>
                  <w:color w:val="000080"/>
                  <w:sz w:val="20"/>
                  <w:u w:val="single"/>
                </w:rPr>
                <w:t>3</w:t>
              </w:r>
            </w:hyperlink>
            <w:hyperlink w:anchor="i0221248fc5fb4b43a889cc3dabb8d38a_109">
              <w:r>
                <w:rPr>
                  <w:rStyle w:val="InternetLink"/>
                  <w:rFonts w:ascii="Times New Roman;sans-serif" w:hAnsi="Times New Roman;sans-serif"/>
                  <w:b w:val="false"/>
                  <w:color w:val="000080"/>
                  <w:sz w:val="20"/>
                  <w:u w:val="single"/>
                </w:rPr>
                <w:t xml:space="preserve"> formatted in inline XBRL: (i) Consolidated Balance Sheets as of </w:t>
              </w:r>
            </w:hyperlink>
            <w:hyperlink w:anchor="i0221248fc5fb4b43a889cc3dabb8d38a_109">
              <w:r>
                <w:rPr>
                  <w:rStyle w:val="InternetLink"/>
                  <w:rFonts w:ascii="Times New Roman;sans-serif" w:hAnsi="Times New Roman;sans-serif"/>
                  <w:b w:val="false"/>
                  <w:color w:val="000080"/>
                  <w:sz w:val="20"/>
                  <w:u w:val="single"/>
                </w:rPr>
                <w:t xml:space="preserve">September 29, 2023 and </w:t>
              </w:r>
            </w:hyperlink>
            <w:hyperlink w:anchor="i0221248fc5fb4b43a889cc3dabb8d38a_109">
              <w:r>
                <w:rPr>
                  <w:rStyle w:val="InternetLink"/>
                  <w:rFonts w:ascii="Times New Roman;sans-serif" w:hAnsi="Times New Roman;sans-serif"/>
                  <w:b w:val="false"/>
                  <w:color w:val="000080"/>
                  <w:sz w:val="20"/>
                  <w:u w:val="single"/>
                </w:rPr>
                <w:t>September 30, 2022</w:t>
              </w:r>
            </w:hyperlink>
            <w:hyperlink w:anchor="i0221248fc5fb4b43a889cc3dabb8d38a_109">
              <w:r>
                <w:rPr>
                  <w:rStyle w:val="InternetLink"/>
                  <w:rFonts w:ascii="Times New Roman;sans-serif" w:hAnsi="Times New Roman;sans-serif"/>
                  <w:b w:val="false"/>
                  <w:color w:val="000080"/>
                  <w:sz w:val="20"/>
                  <w:u w:val="single"/>
                </w:rPr>
                <w:t xml:space="preserve">; (ii) Consolidated Statements of Income (Loss) for the fiscal years ended </w:t>
              </w:r>
            </w:hyperlink>
            <w:hyperlink w:anchor="i0221248fc5fb4b43a889cc3dabb8d38a_109">
              <w:r>
                <w:rPr>
                  <w:rStyle w:val="InternetLink"/>
                  <w:rFonts w:ascii="Times New Roman;sans-serif" w:hAnsi="Times New Roman;sans-serif"/>
                  <w:b w:val="false"/>
                  <w:color w:val="000080"/>
                  <w:sz w:val="20"/>
                  <w:u w:val="single"/>
                </w:rPr>
                <w:t xml:space="preserve">September 29, 2023, </w:t>
              </w:r>
            </w:hyperlink>
            <w:hyperlink w:anchor="i0221248fc5fb4b43a889cc3dabb8d38a_109">
              <w:r>
                <w:rPr>
                  <w:rStyle w:val="InternetLink"/>
                  <w:rFonts w:ascii="Times New Roman;sans-serif" w:hAnsi="Times New Roman;sans-serif"/>
                  <w:b w:val="false"/>
                  <w:color w:val="000080"/>
                  <w:sz w:val="20"/>
                  <w:u w:val="single"/>
                </w:rPr>
                <w:t>September 30, 2022</w:t>
              </w:r>
            </w:hyperlink>
            <w:hyperlink w:anchor="i0221248fc5fb4b43a889cc3dabb8d38a_109">
              <w:r>
                <w:rPr>
                  <w:rStyle w:val="InternetLink"/>
                  <w:rFonts w:ascii="Times New Roman;sans-serif" w:hAnsi="Times New Roman;sans-serif"/>
                  <w:b w:val="false"/>
                  <w:color w:val="000080"/>
                  <w:sz w:val="20"/>
                  <w:u w:val="single"/>
                </w:rPr>
                <w:t xml:space="preserve"> and</w:t>
              </w:r>
            </w:hyperlink>
            <w:hyperlink w:anchor="i0221248fc5fb4b43a889cc3dabb8d38a_109">
              <w:r>
                <w:rPr>
                  <w:rStyle w:val="InternetLink"/>
                  <w:rFonts w:ascii="Times New Roman;sans-serif" w:hAnsi="Times New Roman;sans-serif"/>
                  <w:b w:val="false"/>
                  <w:color w:val="000080"/>
                  <w:sz w:val="20"/>
                  <w:u w:val="single"/>
                </w:rPr>
                <w:t xml:space="preserve"> October 1, 2021</w:t>
              </w:r>
            </w:hyperlink>
            <w:hyperlink w:anchor="i0221248fc5fb4b43a889cc3dabb8d38a_109">
              <w:r>
                <w:rPr>
                  <w:rStyle w:val="InternetLink"/>
                  <w:rFonts w:ascii="Times New Roman;sans-serif" w:hAnsi="Times New Roman;sans-serif"/>
                  <w:b w:val="false"/>
                  <w:color w:val="000080"/>
                  <w:sz w:val="20"/>
                  <w:u w:val="single"/>
                </w:rPr>
                <w:t>; (iii) Consolidated Statements of Comprehensive Income</w:t>
              </w:r>
            </w:hyperlink>
            <w:hyperlink w:anchor="i0221248fc5fb4b43a889cc3dabb8d38a_109">
              <w:r>
                <w:rPr>
                  <w:rStyle w:val="InternetLink"/>
                  <w:rFonts w:ascii="Times New Roman;sans-serif" w:hAnsi="Times New Roman;sans-serif"/>
                  <w:b w:val="false"/>
                  <w:color w:val="000080"/>
                  <w:sz w:val="20"/>
                  <w:u w:val="single"/>
                </w:rPr>
                <w:t xml:space="preserve"> </w:t>
              </w:r>
            </w:hyperlink>
            <w:hyperlink w:anchor="i0221248fc5fb4b43a889cc3dabb8d38a_109">
              <w:r>
                <w:rPr>
                  <w:rStyle w:val="InternetLink"/>
                  <w:rFonts w:ascii="Times New Roman;sans-serif" w:hAnsi="Times New Roman;sans-serif"/>
                  <w:b w:val="false"/>
                  <w:color w:val="000080"/>
                  <w:sz w:val="20"/>
                  <w:u w:val="single"/>
                </w:rPr>
                <w:t xml:space="preserve">for the fiscal years ended </w:t>
              </w:r>
            </w:hyperlink>
            <w:hyperlink w:anchor="i0221248fc5fb4b43a889cc3dabb8d38a_109">
              <w:r>
                <w:rPr>
                  <w:rStyle w:val="InternetLink"/>
                  <w:rFonts w:ascii="Times New Roman;sans-serif" w:hAnsi="Times New Roman;sans-serif"/>
                  <w:b w:val="false"/>
                  <w:color w:val="000080"/>
                  <w:sz w:val="20"/>
                  <w:u w:val="single"/>
                </w:rPr>
                <w:t xml:space="preserve">September 29, 2023, </w:t>
              </w:r>
            </w:hyperlink>
            <w:hyperlink w:anchor="i0221248fc5fb4b43a889cc3dabb8d38a_109">
              <w:r>
                <w:rPr>
                  <w:rStyle w:val="InternetLink"/>
                  <w:rFonts w:ascii="Times New Roman;sans-serif" w:hAnsi="Times New Roman;sans-serif"/>
                  <w:b w:val="false"/>
                  <w:color w:val="000080"/>
                  <w:sz w:val="20"/>
                  <w:u w:val="single"/>
                </w:rPr>
                <w:t>September 30, 2022</w:t>
              </w:r>
            </w:hyperlink>
            <w:hyperlink w:anchor="i0221248fc5fb4b43a889cc3dabb8d38a_109">
              <w:r>
                <w:rPr>
                  <w:rStyle w:val="InternetLink"/>
                  <w:rFonts w:ascii="Times New Roman;sans-serif" w:hAnsi="Times New Roman;sans-serif"/>
                  <w:b w:val="false"/>
                  <w:color w:val="000080"/>
                  <w:sz w:val="20"/>
                  <w:u w:val="single"/>
                </w:rPr>
                <w:t xml:space="preserve"> and</w:t>
              </w:r>
            </w:hyperlink>
            <w:hyperlink w:anchor="i0221248fc5fb4b43a889cc3dabb8d38a_109">
              <w:r>
                <w:rPr>
                  <w:rStyle w:val="InternetLink"/>
                  <w:rFonts w:ascii="Times New Roman;sans-serif" w:hAnsi="Times New Roman;sans-serif"/>
                  <w:b w:val="false"/>
                  <w:color w:val="000080"/>
                  <w:sz w:val="20"/>
                  <w:u w:val="single"/>
                </w:rPr>
                <w:t xml:space="preserve"> October 1, 2021</w:t>
              </w:r>
            </w:hyperlink>
            <w:hyperlink w:anchor="i0221248fc5fb4b43a889cc3dabb8d38a_109">
              <w:r>
                <w:rPr>
                  <w:rStyle w:val="InternetLink"/>
                  <w:rFonts w:ascii="Times New Roman;sans-serif" w:hAnsi="Times New Roman;sans-serif"/>
                  <w:b w:val="false"/>
                  <w:color w:val="000080"/>
                  <w:sz w:val="20"/>
                  <w:u w:val="single"/>
                </w:rPr>
                <w:t xml:space="preserve">; (iv) Consolidated Statements of Cash Flows for the fiscal years ended </w:t>
              </w:r>
            </w:hyperlink>
            <w:hyperlink w:anchor="i0221248fc5fb4b43a889cc3dabb8d38a_109">
              <w:r>
                <w:rPr>
                  <w:rStyle w:val="InternetLink"/>
                  <w:rFonts w:ascii="Times New Roman;sans-serif" w:hAnsi="Times New Roman;sans-serif"/>
                  <w:b w:val="false"/>
                  <w:color w:val="000080"/>
                  <w:sz w:val="20"/>
                  <w:u w:val="single"/>
                </w:rPr>
                <w:t xml:space="preserve">September 29, 2023, </w:t>
              </w:r>
            </w:hyperlink>
            <w:hyperlink w:anchor="i0221248fc5fb4b43a889cc3dabb8d38a_109">
              <w:r>
                <w:rPr>
                  <w:rStyle w:val="InternetLink"/>
                  <w:rFonts w:ascii="Times New Roman;sans-serif" w:hAnsi="Times New Roman;sans-serif"/>
                  <w:b w:val="false"/>
                  <w:color w:val="000080"/>
                  <w:sz w:val="20"/>
                  <w:u w:val="single"/>
                </w:rPr>
                <w:t>September 30, 2022</w:t>
              </w:r>
            </w:hyperlink>
            <w:hyperlink w:anchor="i0221248fc5fb4b43a889cc3dabb8d38a_109">
              <w:r>
                <w:rPr>
                  <w:rStyle w:val="InternetLink"/>
                  <w:rFonts w:ascii="Times New Roman;sans-serif" w:hAnsi="Times New Roman;sans-serif"/>
                  <w:b w:val="false"/>
                  <w:color w:val="000080"/>
                  <w:sz w:val="20"/>
                  <w:u w:val="single"/>
                </w:rPr>
                <w:t xml:space="preserve"> and</w:t>
              </w:r>
            </w:hyperlink>
            <w:hyperlink w:anchor="i0221248fc5fb4b43a889cc3dabb8d38a_109">
              <w:r>
                <w:rPr>
                  <w:rStyle w:val="InternetLink"/>
                  <w:rFonts w:ascii="Times New Roman;sans-serif" w:hAnsi="Times New Roman;sans-serif"/>
                  <w:b w:val="false"/>
                  <w:color w:val="000080"/>
                  <w:sz w:val="20"/>
                  <w:u w:val="single"/>
                </w:rPr>
                <w:t xml:space="preserve"> October 1, 2021</w:t>
              </w:r>
            </w:hyperlink>
            <w:hyperlink w:anchor="i0221248fc5fb4b43a889cc3dabb8d38a_109">
              <w:r>
                <w:rPr>
                  <w:rStyle w:val="InternetLink"/>
                  <w:rFonts w:ascii="Times New Roman;sans-serif" w:hAnsi="Times New Roman;sans-serif"/>
                  <w:b w:val="false"/>
                  <w:color w:val="000080"/>
                  <w:sz w:val="20"/>
                  <w:u w:val="single"/>
                </w:rPr>
                <w:t xml:space="preserve">; (v) Consolidated Statements of Stockholders' Equity for the fiscal years ended </w:t>
              </w:r>
            </w:hyperlink>
            <w:hyperlink w:anchor="i0221248fc5fb4b43a889cc3dabb8d38a_109">
              <w:r>
                <w:rPr>
                  <w:rStyle w:val="InternetLink"/>
                  <w:rFonts w:ascii="Times New Roman;sans-serif" w:hAnsi="Times New Roman;sans-serif"/>
                  <w:b w:val="false"/>
                  <w:color w:val="000080"/>
                  <w:sz w:val="20"/>
                  <w:u w:val="single"/>
                </w:rPr>
                <w:t xml:space="preserve">September 29, 2023, </w:t>
              </w:r>
            </w:hyperlink>
            <w:hyperlink w:anchor="i0221248fc5fb4b43a889cc3dabb8d38a_109">
              <w:r>
                <w:rPr>
                  <w:rStyle w:val="InternetLink"/>
                  <w:rFonts w:ascii="Times New Roman;sans-serif" w:hAnsi="Times New Roman;sans-serif"/>
                  <w:b w:val="false"/>
                  <w:color w:val="000080"/>
                  <w:sz w:val="20"/>
                  <w:u w:val="single"/>
                </w:rPr>
                <w:t>September 30, 2022</w:t>
              </w:r>
            </w:hyperlink>
            <w:hyperlink w:anchor="i0221248fc5fb4b43a889cc3dabb8d38a_109">
              <w:r>
                <w:rPr>
                  <w:rStyle w:val="InternetLink"/>
                  <w:rFonts w:ascii="Times New Roman;sans-serif" w:hAnsi="Times New Roman;sans-serif"/>
                  <w:b w:val="false"/>
                  <w:color w:val="000080"/>
                  <w:sz w:val="20"/>
                  <w:u w:val="single"/>
                </w:rPr>
                <w:t xml:space="preserve"> and</w:t>
              </w:r>
            </w:hyperlink>
            <w:hyperlink w:anchor="i0221248fc5fb4b43a889cc3dabb8d38a_109">
              <w:r>
                <w:rPr>
                  <w:rStyle w:val="InternetLink"/>
                  <w:rFonts w:ascii="Times New Roman;sans-serif" w:hAnsi="Times New Roman;sans-serif"/>
                  <w:b w:val="false"/>
                  <w:color w:val="000080"/>
                  <w:sz w:val="20"/>
                  <w:u w:val="single"/>
                </w:rPr>
                <w:t xml:space="preserve"> October 1, 2021</w:t>
              </w:r>
            </w:hyperlink>
            <w:hyperlink w:anchor="i0221248fc5fb4b43a889cc3dabb8d38a_109">
              <w:r>
                <w:rPr>
                  <w:rStyle w:val="InternetLink"/>
                  <w:rFonts w:ascii="Times New Roman;sans-serif" w:hAnsi="Times New Roman;sans-serif"/>
                  <w:b w:val="false"/>
                  <w:color w:val="000080"/>
                  <w:sz w:val="20"/>
                  <w:u w:val="single"/>
                </w:rPr>
                <w:t xml:space="preserve">; (vi) Notes to Consolidated Financial Statements; and (vii) Schedule II-Valuation and Qualifying Accounts and Reserves for the fiscal years ended </w:t>
              </w:r>
            </w:hyperlink>
            <w:hyperlink w:anchor="i0221248fc5fb4b43a889cc3dabb8d38a_109">
              <w:r>
                <w:rPr>
                  <w:rStyle w:val="InternetLink"/>
                  <w:rFonts w:ascii="Times New Roman;sans-serif" w:hAnsi="Times New Roman;sans-serif"/>
                  <w:b w:val="false"/>
                  <w:color w:val="000080"/>
                  <w:sz w:val="20"/>
                  <w:u w:val="single"/>
                </w:rPr>
                <w:t xml:space="preserve">September 29, 2023, </w:t>
              </w:r>
            </w:hyperlink>
            <w:hyperlink w:anchor="i0221248fc5fb4b43a889cc3dabb8d38a_109">
              <w:r>
                <w:rPr>
                  <w:rStyle w:val="InternetLink"/>
                  <w:rFonts w:ascii="Times New Roman;sans-serif" w:hAnsi="Times New Roman;sans-serif"/>
                  <w:b w:val="false"/>
                  <w:color w:val="000080"/>
                  <w:sz w:val="20"/>
                  <w:u w:val="single"/>
                </w:rPr>
                <w:t>September 30, 2022</w:t>
              </w:r>
            </w:hyperlink>
            <w:hyperlink w:anchor="i0221248fc5fb4b43a889cc3dabb8d38a_109">
              <w:r>
                <w:rPr>
                  <w:rStyle w:val="InternetLink"/>
                  <w:rFonts w:ascii="Times New Roman;sans-serif" w:hAnsi="Times New Roman;sans-serif"/>
                  <w:b w:val="false"/>
                  <w:color w:val="000080"/>
                  <w:sz w:val="20"/>
                  <w:u w:val="single"/>
                </w:rPr>
                <w:t xml:space="preserve"> and</w:t>
              </w:r>
            </w:hyperlink>
            <w:hyperlink w:anchor="i0221248fc5fb4b43a889cc3dabb8d38a_109">
              <w:r>
                <w:rPr>
                  <w:rStyle w:val="InternetLink"/>
                  <w:rFonts w:ascii="Times New Roman;sans-serif" w:hAnsi="Times New Roman;sans-serif"/>
                  <w:b w:val="false"/>
                  <w:color w:val="000080"/>
                  <w:sz w:val="20"/>
                  <w:u w:val="single"/>
                </w:rPr>
                <w:t xml:space="preserve"> October 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for the cover page of this Annual Report on Form 10-K; included in Exhibit 101 Inline XBRL document set.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88" w:before="60" w:after="60"/>
        <w:jc w:val="left"/>
        <w:rPr>
          <w:color w:val="000000"/>
        </w:rPr>
      </w:pPr>
      <w:r>
        <w:rPr>
          <w:color w:val="000000"/>
        </w:rPr>
        <w:t>†    </w:t>
      </w:r>
      <w:r>
        <w:rPr>
          <w:rFonts w:ascii="Times New Roman;sans-serif" w:hAnsi="Times New Roman;sans-serif"/>
          <w:b w:val="false"/>
          <w:color w:val="000000"/>
          <w:sz w:val="20"/>
        </w:rPr>
        <w:t xml:space="preserve">Identifies exhibits that consist of management contract or compensatory arrangement. </w:t>
      </w:r>
    </w:p>
    <w:p>
      <w:pPr>
        <w:pStyle w:val="TextBody"/>
        <w:bidi w:val="0"/>
        <w:spacing w:lineRule="auto" w:line="288" w:before="60" w:after="283"/>
        <w:ind w:left="0" w:right="0" w:hanging="540"/>
        <w:jc w:val="left"/>
        <w:rPr/>
      </w:pPr>
      <w:r>
        <w:rPr>
          <w:rFonts w:ascii="Times New Roman;sans-serif" w:hAnsi="Times New Roman;sans-serif"/>
          <w:b w:val="false"/>
          <w:color w:val="000000"/>
          <w:sz w:val="24"/>
        </w:rPr>
        <w:t>#     </w:t>
      </w:r>
      <w:r>
        <w:rPr>
          <w:rFonts w:ascii="Times New Roman;sans-serif" w:hAnsi="Times New Roman;sans-serif"/>
          <w:b w:val="false"/>
          <w:color w:val="000000"/>
          <w:sz w:val="20"/>
        </w:rPr>
        <w:t xml:space="preserve">These merger agreements are filed as exhibits to this Annual Report on Form 10-K to provide investors and security holders with information regarding their terms. They are not intended to provide any other factual or financial information about the Company, Avendra, AmeriPride or their respective subsidiaries and affiliates. The representations, warranties and covenants contained in each of the merger agreements were made only for purposes of that agreement and as of the date of such merger agreement or such other date as is specified in such merger agreement; were solely for the benefit of the parties to such merger agreement; have been qualified by confidential disclosures made for the purposes of allocating contractual risk between the parties to such merger agreement instead of establishing these matters as facts; and are subject to materiality qualifications contained in such merger agreement that may differ from what may be viewed as material by investors. Investors should not rely on the representations, warranties and covenants or any description thereof as characterizations of the actual state of facts or condition of the Company, Avendra, AmeriPride or any of their respective subsidiaries or affiliates. Moreover, information concerning the subject matter of the representations, warranties and covenants may change after the date of the merger agreements, which subsequent information may or may not be fully reflected in public disclosures by the Company. The merger agreements should not be read alone but should instead be read in conjunction with the other information that is or will be included in reports and other filings that the Company files with the Securities and Exchange Commission. </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XBRL instance document does not appear in the interactive data file because the XBRL tags are embedded within the inline XBRL document.</w:t>
      </w:r>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10.29</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S-61</w:t>
                      </w:r>
                    </w:p>
                  </w:txbxContent>
                </v:textbox>
                <w10:wrap type="none"/>
              </v:rect>
            </w:pict>
          </mc:Fallback>
        </mc:AlternateContent>
      </w:r>
    </w:p>
    <w:p>
      <w:pPr>
        <w:pStyle w:val="TextBody"/>
        <w:bidi w:val="0"/>
        <w:spacing w:before="0" w:after="0"/>
        <w:jc w:val="left"/>
        <w:rPr/>
      </w:pPr>
      <w:r>
        <w:rPr/>
        <w:drawing>
          <wp:inline distT="0" distB="0" distL="0" distR="0">
            <wp:extent cx="5943600" cy="704850"/>
            <wp:effectExtent l="0" t="0" r="0" b="0"/>
            <wp:docPr id="1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 descr=""/>
                    <pic:cNvPicPr>
                      <a:picLocks noChangeAspect="1" noChangeArrowheads="1"/>
                    </pic:cNvPicPr>
                  </pic:nvPicPr>
                  <pic:blipFill>
                    <a:blip r:embed="rId472"/>
                    <a:stretch>
                      <a:fillRect/>
                    </a:stretch>
                  </pic:blipFill>
                  <pic:spPr bwMode="auto">
                    <a:xfrm>
                      <a:off x="0" y="0"/>
                      <a:ext cx="5943600" cy="7048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December 2, 2022</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Abigail Charpentier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Dear Abigail:</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 am pleased to inform you of your promotion into the Executive Leadership Team (“ELT”). As an ELT member, you will be among the executives who have the most impact on leading Aramark to achieve our business objectives.</w: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Please see the enclosed ELT Package that follows this letter (the “Offer Letter”) for additional information related to your promotion.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 particular, you will want to immediately review your:</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Arial;sans-serif" w:hAnsi="Arial;sans-serif"/>
          <w:b/>
          <w:color w:val="000000"/>
          <w:sz w:val="22"/>
        </w:rPr>
        <w:t>Offer Detail Summary</w:t>
      </w:r>
      <w:r>
        <w:rPr>
          <w:color w:val="000000"/>
        </w:rPr>
        <w:t xml:space="preserve"> </w:t>
      </w:r>
      <w:r>
        <w:rPr>
          <w:rFonts w:ascii="Arial;sans-serif" w:hAnsi="Arial;sans-serif"/>
          <w:b w:val="false"/>
          <w:color w:val="000000"/>
          <w:sz w:val="22"/>
        </w:rPr>
        <w:t xml:space="preserve">highlighting the specifics associated with the offer and setting forth additional terms and conditions incorporated by reference in this Offer Letter; and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Arial;sans-serif" w:hAnsi="Arial;sans-serif"/>
          <w:b/>
          <w:color w:val="000000"/>
          <w:sz w:val="22"/>
        </w:rPr>
        <w:t>Amended and Restated Aramark</w:t>
      </w:r>
      <w:r>
        <w:rPr>
          <w:color w:val="000000"/>
        </w:rPr>
        <w:t xml:space="preserve"> </w:t>
      </w:r>
      <w:r>
        <w:rPr>
          <w:rFonts w:ascii="Arial;sans-serif" w:hAnsi="Arial;sans-serif"/>
          <w:b/>
          <w:color w:val="000000"/>
          <w:sz w:val="22"/>
        </w:rPr>
        <w:t xml:space="preserve">Agreement Relating To Employment And Post-Employment Competition </w:t>
      </w:r>
      <w:r>
        <w:rPr>
          <w:rFonts w:ascii="Arial;sans-serif" w:hAnsi="Arial;sans-serif"/>
          <w:b w:val="false"/>
          <w:color w:val="000000"/>
          <w:sz w:val="22"/>
        </w:rPr>
        <w:t xml:space="preserve">(the “ELT Agreement”). Your promotion to the ELT is contingent upon execution of this Agreement.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As a result of your new role as an executive officer, you will become subject to the reporting and other requirements of Section 16 of the Securities Exchange Act of 1934 and the rules and regulations thereunder.  Please contact the Legal Department for more information regarding such requirements.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You will be required at all times to comply with Aramark’s policies, including its Business Conduct Policy. Your incentive compensation, including both cash bonus and incentive stock awards, will be subject to Aramark’s Incentive Compensation Recoupment Policy, a copy of which is included in the ELT Agreement.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During the course of your employment with Aramark, you will receive information and documents from Aramark containing confidential, proprietary trade information concerning Aramark’s business and business relationships (“Proprietary Information”). By accepting this position, you agree that at no time while employed by Aramark, or after your employment with Aramark has ended for any reason, will you use or disclose such confidential, proprietary information to any person, firm or entity not affiliated with Aramark. At the end of your employment with Aramark, you will return to Aramark all such Proprietary Information, including, but not limited to, all manuals, client lists, and training and policy materials, as well as all Aramark property.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You will continue to be considered a Covered Aramark Employee for purposes of the Political Contributions Policy. This means you must obtain pre-approval from Government Affairs Compliance before you, your spouse / domestic partner, and/or dependent child make political contributions. </w:t>
      </w:r>
    </w:p>
    <w:p>
      <w:pPr>
        <w:pStyle w:val="TextBody"/>
        <w:bidi w:val="0"/>
        <w:spacing w:before="0" w:after="0"/>
        <w:jc w:val="left"/>
        <w:rPr/>
      </w:pPr>
      <w:r>
        <w:rPr/>
      </w:r>
    </w:p>
    <w:p>
      <w:pPr>
        <w:pStyle w:val="TextBody"/>
        <w:bidi w:val="0"/>
        <w:spacing w:lineRule="auto" w:line="240"/>
        <w:jc w:val="left"/>
        <w:rPr>
          <w:rFonts w:ascii="Arial;sans-serif" w:hAnsi="Arial;sans-serif"/>
          <w:b w:val="false"/>
          <w:color w:val="000000"/>
          <w:sz w:val="22"/>
        </w:rPr>
      </w:pPr>
      <w:r>
        <w:rPr>
          <w:rFonts w:ascii="Arial;sans-serif" w:hAnsi="Arial;sans-serif"/>
          <w:b w:val="false"/>
          <w:color w:val="000000"/>
          <w:sz w:val="22"/>
        </w:rPr>
        <w:t xml:space="preserve">Your employment will be “at-will.” This means you are free to terminate your employment at any time, for any reason, with or without notice, and Aramark possesses these same rights to terminate your employment, subject to the terms and conditions of the ELT Agreement. At-will employment also means that Aramark may, subject to the terms and conditions of the ELT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Agreement, change the terms of employment, such as promotion, demotion, discipline, transfer, compensation, benefits, duties, and location of work, at any time, with or without notice.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This offer letter, the ELT Agreement, and the Offer Detail Summary, set forth the entire understanding of the parties with respect to all aspects of the offer. Any and all previous agreements or understandings between or among the parties regarding the subject matter hereof, whether written or oral, are superseded by this offer letter, the ELT Agreement, and the Offer Detail Summary.</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If you have any questions, or if I may be of any help to you, please do not hesitate to call me. Abigail, I look forward to working with you and having you as a member of the Executive Leadership Team. Congratulations!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 Lauren Harrington</w:t>
        <w:br/>
        <w:t>Lauren Harrington</w: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Senior Vice President,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Please sign and date below acknowledging that you have received this letter and accepted our employment offer.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993"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839"/>
        <w:gridCol w:w="839"/>
        <w:gridCol w:w="841"/>
        <w:gridCol w:w="109"/>
        <w:gridCol w:w="109"/>
        <w:gridCol w:w="109"/>
        <w:gridCol w:w="571"/>
        <w:gridCol w:w="571"/>
        <w:gridCol w:w="80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Abigail A. Charpentier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(Please Print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Abigail A. Charpentier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December 3, 2022</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(Please Sign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Abigail Charpentier</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Offer Detail Summary</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December 2, 2022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3"/>
        <w:gridCol w:w="309"/>
        <w:gridCol w:w="307"/>
        <w:gridCol w:w="2918"/>
        <w:gridCol w:w="2534"/>
        <w:gridCol w:w="3604"/>
      </w:tblGrid>
      <w:tr>
        <w:trPr/>
        <w:tc>
          <w:tcPr>
            <w:tcW w:w="5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w:t>
            </w:r>
          </w:p>
        </w:tc>
        <w:tc>
          <w:tcPr>
            <w:tcW w:w="9056" w:type="dxa"/>
            <w:gridSpan w:val="3"/>
            <w:tcBorders>
              <w:left w:val="single" w:sz="12"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Chief Human Resources Officer</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w:t>
            </w:r>
          </w:p>
        </w:tc>
        <w:tc>
          <w:tcPr>
            <w:tcW w:w="9056" w:type="dxa"/>
            <w:gridSpan w:val="3"/>
            <w:tcBorders>
              <w:left w:val="single" w:sz="12"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Leadership Team - Band 2</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Reports To:</w:t>
            </w:r>
          </w:p>
        </w:tc>
        <w:tc>
          <w:tcPr>
            <w:tcW w:w="9056" w:type="dxa"/>
            <w:gridSpan w:val="3"/>
            <w:tcBorders>
              <w:left w:val="single" w:sz="12"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Zillmer, Chief Executive Officer</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Date:</w:t>
            </w:r>
          </w:p>
        </w:tc>
        <w:tc>
          <w:tcPr>
            <w:tcW w:w="9056" w:type="dxa"/>
            <w:gridSpan w:val="3"/>
            <w:tcBorders>
              <w:left w:val="single" w:sz="12" w:space="0" w:color="000000"/>
            </w:tcBorders>
            <w:shd w:fill="FFFFFF" w:val="clear"/>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2023</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Base Salary:</w:t>
            </w:r>
          </w:p>
        </w:tc>
        <w:tc>
          <w:tcPr>
            <w:tcW w:w="9056" w:type="dxa"/>
            <w:gridSpan w:val="3"/>
            <w:tcBorders>
              <w:left w:val="single" w:sz="12"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$525,000</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Bonus: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9056" w:type="dxa"/>
            <w:gridSpan w:val="3"/>
            <w:tcBorders>
              <w:left w:val="single" w:sz="12"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You will continue to be eligible to participate in Aramark’s Management Incentive Bonus (MIB) Plan for Fiscal Year 2023. As further described in the Plan, if you are eligible to receive a Management Incentive Bonus, the amount of your Bonus will be determined on the basis of both the performance of Aramark and your performance measured against certain annual financial and non-financial goals. To the extent you are eligible to receive a Fiscal Year 2023 Bonus, the amount of such Bonus will be prorated based on the effective date of your promotion, as set forth in the MIB Plan. The target bonus for your new position is 85% of base salary.</w:t>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Equity Incentives:</w:t>
            </w:r>
          </w:p>
        </w:tc>
        <w:tc>
          <w:tcPr>
            <w:tcW w:w="9056" w:type="dxa"/>
            <w:gridSpan w:val="3"/>
            <w:tcBorders>
              <w:left w:val="single" w:sz="12" w:space="0" w:color="000000"/>
            </w:tcBorders>
            <w:tcMar>
              <w:top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We will recommend that you be awarded equity grants with a value of $1,100,000 in connection with your promotion. For Fiscal Year 2024 we will recommend that you be awarded equity grants with a value approved by the Compensation and Committee at such time that the award levels are approved. For Fiscal Year 2023, this value was $1,500,000.</w:t>
            </w:r>
          </w:p>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Aramark’s current practice sets the value of these awards as follows: 30% time based non-qualified stock options, 50% performance stock units and 20% time based restricted stock units. Please note that Aramark reserves the right to modify such practice at any time. The value of the time based non-qualified stock options will be based on their Black Scholes value as determined by Aramark. The exercise price of the stock options will be equal to the fair market value of Aramark stock on the date of grant, as such fair market value is defined under the 2013 Stock Incentive Plan. The value of the restricted stock units and performance stock units will be based on the grant date fair value of the restricted stock units and performance stock units.</w:t>
            </w:r>
          </w:p>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The actual terms and conditions of your equity grants, including the vesting terms, will be set forth in the award agreements that will be provided to you electronically following the grant.</w:t>
            </w:r>
          </w:p>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 xml:space="preserve">Your promotional equity grant, as described above, is subject to approval and generally will be granted as soon as administratively practical following your promotion. </w:t>
            </w:r>
          </w:p>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Aramark’s annual equity grants generally occur in November.</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6"/>
        <w:gridCol w:w="419"/>
        <w:gridCol w:w="425"/>
        <w:gridCol w:w="2595"/>
        <w:gridCol w:w="2595"/>
        <w:gridCol w:w="369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Benefits:</w:t>
            </w:r>
          </w:p>
          <w:p>
            <w:pPr>
              <w:pStyle w:val="TableContents"/>
              <w:bidi w:val="0"/>
              <w:spacing w:before="0" w:after="0"/>
              <w:jc w:val="left"/>
              <w:rPr/>
            </w:pPr>
            <w:r>
              <w:rPr/>
            </w:r>
          </w:p>
        </w:tc>
        <w:tc>
          <w:tcPr>
            <w:tcW w:w="8885" w:type="dxa"/>
            <w:gridSpan w:val="3"/>
            <w:tcBorders>
              <w:left w:val="single" w:sz="12"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You will continue to be eligible to participate in the standard Aramark Benefits Program, as well as the Benefits/Perquisites Programs in place for ELC and ELT members, which are subject to change from time to time.</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Auto Allowance: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Vacation:</w:t>
            </w:r>
          </w:p>
        </w:tc>
        <w:tc>
          <w:tcPr>
            <w:tcW w:w="8885"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You will continue to be eligible to receive an auto allowance of $1,100 per month. This amount is subject to all applicable withholding taxes, is paid monthly and is not pro-rated.</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 weeks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10.30</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ARAMARK AGREEMENT RELATING TO EMPLOYMENT AND POST-EMPLOYMENT COMPETITION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is between the undersigned individual (“Employee”) and Aramark.</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Aramark is a leading provider of managed services and other services to business and industry, private and public institutions, and the general public;</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Aramark has a proprietary interest in its business and financial plans and systems, methods of operation and other secret and confidential information, knowledge and data (“Proprietary Information”) which includes, but is not limited to, all confidential, proprietary or non-public information, ideas and concepts; annual and strategic business plans; financial plans, reports and systems including, profit and loss statements, sales, accounting forms and procedures and other information regarding costs, pricing and the financial condition of Aramark and its business segments and groups; management development reviews, including information regarding the capabilities and experience of Aramark employees; intellectual property, including patents, inventions, discoveries, research and development, compounds, recipes, formulae, reports, protocols, computer software and databases; information regarding Aramark’s relationships with its clients, customers, and suppliers and prospective clients, partners, customers and suppliers; policy and procedure manuals, information regarding materials and documents in any form or medium (including oral, written, tangible, intangible, or electronic) concerning any of the above, or any past, current or future business activities of Aramark that is not publicly available; compensation, recruiting and training, and human resource policies and procedures; and data compilations, research, reports, structures, compounds, techniques, methods, processes, and know-how;</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all such Proprietary Information is developed at great expense to Aramark and is considered by Aramark to be confidential trade secrets;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Employee, as Senior Vice President, Chief Human Resources Officer, has access to Aramark’s Proprietary Information, directly in the course of Employee’s employment, and indirectly through interaction with and presentations by other Aramark senior managers at executive team meetings, including Executive Leadership Council meetings, business plan and operating reviews, training programs, and the like;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Aramark from time to time introduces Employee to Aramark clients, customers, suppliers and others, and encourages, and provides resources for, Employee to develop professional relationships with Aramark’s clients, customers, suppliers and others;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Aramark provides specialized training and skills to Employee in connection with the performance of Employee’s duties at Aramark which training involves the disclosure by Aramark to Employee of Proprietary Information;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Aramark will be vulnerable to unfair post-employment competition by Employee because Employee has access to and knowledge of Aramark’s Proprietary Information, has a personal relationship with Aramark’s clients, customers, suppliers and others, and generates good will which Employee acknowledges belongs to Aramark.</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6860"/>
                <wp:effectExtent l="0" t="0" r="0" b="0"/>
                <wp:wrapNone/>
                <wp:docPr id="121" name="Frame117"/>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lineRule="auto" w:line="240" w:before="160" w:after="283"/>
                              <w:jc w:val="righ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60" w:after="283"/>
                        <w:jc w:val="righ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Employee’s continued employment with Aramark, the opportunity to receive the grant of equity-based incentives of Aramark from time to time, severance and other post-employment benefits provided for herein (including pursuant to Exhibit B hereto to which Employee acknowledges Employee is not otherwise entitled), and for other good and valuable consideration, the receipt and sufficiency of which are hereby acknowledged, Employee agrees to enter into this Agreement with Aramark as a condition of employment pursuant to which Aramark will limit Employee’s right to compete against Aramark during and following termination of employment on the terms set forth in this Agreement. Intending to be legally bound, the parties agree as follows:</w:t>
      </w:r>
    </w:p>
    <w:p>
      <w:pPr>
        <w:pStyle w:val="TextBody"/>
        <w:bidi w:val="0"/>
        <w:spacing w:lineRule="auto" w:line="240" w:before="0" w:after="240"/>
        <w:jc w:val="center"/>
        <w:rPr/>
      </w:pPr>
      <w:r>
        <w:rPr>
          <w:rFonts w:ascii="Times New Roman;sans-serif" w:hAnsi="Times New Roman;sans-serif"/>
          <w:b/>
          <w:color w:val="010000"/>
          <w:sz w:val="24"/>
        </w:rPr>
        <w:t>Article 1</w:t>
      </w:r>
      <w:r>
        <w:rPr>
          <w:rFonts w:ascii="Times New Roman;sans-serif" w:hAnsi="Times New Roman;sans-serif"/>
          <w:b/>
          <w:color w:val="000000"/>
          <w:sz w:val="24"/>
          <w:u w:val="single"/>
        </w:rPr>
        <w:br/>
        <w:t>NON-DISCLOSURE AND NON-DISPARAGEMENT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Employee shall not, during or after termination of employment, directly or indirectly, in any manner utilize or disclose to any person, firm, corporation, association or other entity, except where required by law, any Proprietary Information which is not generally known to the public, or has not otherwise been disclosed or recognized as standard practice in the industries in which Aramark is engaged. Employee shall, during and after termination of employment, refrain from making any statements or comments of a defamatory or disparaging nature to any third party regarding Aramark, or any of Aramark’s officers, directors, employees, policies or products, other than to comply with law.</w:t>
      </w:r>
    </w:p>
    <w:p>
      <w:pPr>
        <w:pStyle w:val="TextBody"/>
        <w:bidi w:val="0"/>
        <w:spacing w:lineRule="auto" w:line="240" w:before="0" w:after="240"/>
        <w:jc w:val="center"/>
        <w:rPr/>
      </w:pPr>
      <w:r>
        <w:rPr>
          <w:rFonts w:ascii="Times New Roman;sans-serif" w:hAnsi="Times New Roman;sans-serif"/>
          <w:b/>
          <w:color w:val="010000"/>
          <w:sz w:val="24"/>
        </w:rPr>
        <w:t>Article 2</w:t>
      </w:r>
      <w:r>
        <w:rPr>
          <w:rFonts w:ascii="Times New Roman;sans-serif" w:hAnsi="Times New Roman;sans-serif"/>
          <w:b/>
          <w:color w:val="000000"/>
          <w:sz w:val="24"/>
          <w:u w:val="single"/>
        </w:rPr>
        <w:br/>
        <w:t>NON-COMPETITION</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Subject to Article 2.B. below, Employee, during Employee’s period of employment with Aramark, and for a period of two years following the voluntary or involuntary termination of employment, shall not, without Aramark’s written permission, which shall be granted or denied in Aramark’s sole discretion, directly or indirectly, associate with (including, but not limited to, association as a sole proprietor, owner, employer, partner, principal, investor, joint venturer, shareholder, associate, employee, member, consultant, contractor or otherwise), or acquire or maintain ownership interest in, any Business which is competitive with that conducted by or developed for later implementation by Aramark at any time during the term of Employee’s employment,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if Employee’s employment is (i) involuntarily terminated by Aramark for any reason other than Cause (as defined herein) at any time, or (ii) terminated by Employee for Good Reason (as defined in Exhibit B) within two years following a Change of Control (as defined in Exhibit B) occurring after the date of this Agreement, then the term of the non-competition provision set forth herein will be modified to be eighteen (18) calendar months (including any partial months, if the term is modified on a date that is other than the first or last day of a calendar month) following such termination of employment (the “Non-Compete Period”). For purposes of this Agreement, “Business” shall be defined as a person, corporation, firm, LLC, partnership, joint venture or other entity. Nothing in the foregoing shall prevent Employee from investing in a Business that is or becomes publicly traded, if Employee’s ownership is as a passive investor of less than 1% of the outstanding publicly traded stock of the Business.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The provision set forth in Article 2.A above, shall apply to the full extent permitted by law (i) in all fifty states, and (ii) in each foreign country, possession or territory in which Aramark may be engaged in, or have plans to engage in, business (x) during Employee’s period of employment, or (y) in the case of a termination of employment, as of the effective date of such termination or at any time during the twenty-four month period prior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Employee acknowledges that these restrictions are reasonable and necessary to protect the business interests of Aramark, and that enforcement of the provisions set forth in this Article 2 will not unnecessarily or unreasonably impair Employee’s ability to obtain other employment following the termination (voluntary or involuntary) of Employee’s employment with Aramark. Further, Employee acknowledges that the provisions set forth in this Article 2 shall apply if Employee’s employment is involuntarily terminated by Aramark for Cause; as a result of the elimination of employee’s position; for performance-related issues; or for any other reason or no reason at all.</w:t>
      </w:r>
    </w:p>
    <w:p>
      <w:pPr>
        <w:pStyle w:val="TextBody"/>
        <w:bidi w:val="0"/>
        <w:spacing w:lineRule="auto" w:line="240" w:before="0" w:after="240"/>
        <w:jc w:val="center"/>
        <w:rPr/>
      </w:pPr>
      <w:r>
        <w:rPr>
          <w:rFonts w:ascii="Times New Roman;sans-serif" w:hAnsi="Times New Roman;sans-serif"/>
          <w:b/>
          <w:color w:val="010000"/>
          <w:sz w:val="24"/>
        </w:rPr>
        <w:t>Article 3</w:t>
      </w:r>
      <w:r>
        <w:rPr>
          <w:rFonts w:ascii="Times New Roman;sans-serif" w:hAnsi="Times New Roman;sans-serif"/>
          <w:b/>
          <w:color w:val="000000"/>
          <w:sz w:val="24"/>
          <w:u w:val="single"/>
        </w:rPr>
        <w:br/>
        <w:t>NON-SOLICITATION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During the period of Employee’s employment with Aramark and for a period of two years following the termination of Employee’s employment, regardless of the reason for termination, Employee shall not, directly or indirectly: (i) induce or encourage any employee of Aramark to leave the employ of Aramark, (ii) hire any individual who was an employee of Aramark as of the date of Employee’s termination of employment or within a six month period prior to such date, or (iii) induce or encourage any customer, client, supplier or other business relation of Aramark to cease or reduce doing business with Aramark or in any way interfere with the relationship between any such customer, client, supplier or other business relation and Aramark.</w:t>
      </w:r>
    </w:p>
    <w:p>
      <w:pPr>
        <w:pStyle w:val="TextBody"/>
        <w:bidi w:val="0"/>
        <w:spacing w:lineRule="auto" w:line="240" w:before="0" w:after="240"/>
        <w:jc w:val="center"/>
        <w:rPr/>
      </w:pPr>
      <w:r>
        <w:rPr>
          <w:rFonts w:ascii="Times New Roman;sans-serif" w:hAnsi="Times New Roman;sans-serif"/>
          <w:b/>
          <w:color w:val="010000"/>
          <w:sz w:val="24"/>
        </w:rPr>
        <w:t>Article 4</w:t>
      </w:r>
      <w:r>
        <w:rPr>
          <w:rFonts w:ascii="Times New Roman;sans-serif" w:hAnsi="Times New Roman;sans-serif"/>
          <w:b/>
          <w:color w:val="000000"/>
          <w:sz w:val="24"/>
          <w:u w:val="single"/>
        </w:rPr>
        <w:br/>
        <w:t>DISCOVERIES AND WORKS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Employee hereby irrevocably assigns, transfers, and conveys to Aramark to the maximum extent permitted by applicable law Employee’s right, title and interest now or hereinafter acquired, in and to all Discoveries and Works (as defined below) created, invented, designed, developed, improved or contributed to by Employee, either alone or jointly with others, while employed by Aramark and within the scope of Employee’s employment and/or with the use of Aramark’s resources. The terms “Discoveries and Works” include all works of authorship, inventions, intellectual property, materials, documents, or other work product (including, without limitation, Proprietary Information, patents and patent applications, patentable inventions, research, reports, software, code, databases, systems, applications, presentations, textual works, graphics and audiovisual materials). Employee shall have the burden of proving that any materials or works created, invented, designed, developed, contributed to or improved by Employee that are implicated by or relevant to employment by Aramark are not implicated by this provision. Employee agrees to (i) keep accurate records and promptly notify, make full disclosure to, and execute and deliver any documents and to take any further actions requested by Aramark to assist it in validating, effectuating, maintaining, protecting, enforcing, perfecting, recording, patenting or registering any of its rights hereunder, and (ii) renounce any and all claims, including, without limitation, claims of ownership and royalty, with respect to all Discoveries and Works and all other property owned or licensed by Aramark. Any Discoveries and Works that, within six months after the termination of Employee’s employment with Aramark, are made, disclosed, reduced to a tangible or written form or description, or are reduced to practice by Employee and which pertain to the business carried on or products or services being sold or developed by Aramark at the time of such termination shall, as between Employee and Aramark, be presumed to have been made during such employment with Aramark. Employee acknowledges that, to the fullest extent permitted by law, all Discoveries and Works shall be deemed “works made for hire” under the Copyright Act of 1976, as amended, 17 U.S.C. Section 101. Employee hereby grants Aramark a perpetual, nonexclusive, royalty-free, worldwide, assignable, sublicensable license under all rights and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property rights (including patent, industrial property, copyright, trademark, trade secret, unfair competition and related laws) in any Works and Discoveries, for all purposes in connection with Aramark’s current and future business, that Employee has created, invented, designed, developed, improved or contributed to prior to Employee’s employment with Aramark that are relevant to or implicated by such employment (“Prior Works”). Any Prior Works are disclosed by Employee in Schedule 1.</w:t>
      </w:r>
    </w:p>
    <w:p>
      <w:pPr>
        <w:pStyle w:val="TextBody"/>
        <w:bidi w:val="0"/>
        <w:spacing w:lineRule="auto" w:line="240" w:before="0" w:after="240"/>
        <w:jc w:val="center"/>
        <w:rPr/>
      </w:pPr>
      <w:r>
        <w:rPr>
          <w:rFonts w:ascii="Times New Roman;sans-serif" w:hAnsi="Times New Roman;sans-serif"/>
          <w:b/>
          <w:color w:val="010000"/>
          <w:sz w:val="24"/>
        </w:rPr>
        <w:t>Article 5</w:t>
      </w:r>
      <w:r>
        <w:rPr>
          <w:rFonts w:ascii="Times New Roman;sans-serif" w:hAnsi="Times New Roman;sans-serif"/>
          <w:b/>
          <w:color w:val="000000"/>
          <w:sz w:val="24"/>
          <w:u w:val="single"/>
        </w:rPr>
        <w:br/>
        <w:t>REMEDIES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Employee acknowledges that in the event of any violation by Employee of the provisions set forth in Articles 1, 2, 3 or 4 above, Aramark will sustain serious, irreparable and substantial harm to its business, the extent of which will be difficult to determine and impossible to fully remedy by an action at law for money damages. Accordingly, Employee agrees that, in the event of such violation or threatened violation by Employee, Aramark shall be entitled to an injunction before trial before any court of competent jurisdiction as a matter of course upon the posting of not more than a nominal bond, in addition to all such other legal and equitable remedies as may be available to Aramark. If Aramark is required to enforce the provisions set forth in Articles 2 and 3 above by seeking an injunction, Employee agrees that the relevant time periods set forth in Articles 2 and 3 shall commence with the entry of the injunction. Employee further agrees that, in the event any of the provisions of this Agreement are determined by a court of competent jurisdiction to be invalid, illegal, or for any reason unenforceable as written, such court shall substitute a valid provision which most closely approximates the intent and purpose of the invalid provision and which would be enforceable to the maximum extent permitted by law.</w:t>
      </w:r>
    </w:p>
    <w:p>
      <w:pPr>
        <w:pStyle w:val="TextBody"/>
        <w:bidi w:val="0"/>
        <w:spacing w:lineRule="auto" w:line="240" w:before="0" w:after="240"/>
        <w:jc w:val="center"/>
        <w:rPr/>
      </w:pPr>
      <w:r>
        <w:rPr>
          <w:rFonts w:ascii="Times New Roman;sans-serif" w:hAnsi="Times New Roman;sans-serif"/>
          <w:b/>
          <w:color w:val="010000"/>
          <w:sz w:val="24"/>
        </w:rPr>
        <w:t>Article 6</w:t>
      </w:r>
      <w:r>
        <w:rPr>
          <w:rFonts w:ascii="Times New Roman;sans-serif" w:hAnsi="Times New Roman;sans-serif"/>
          <w:b/>
          <w:color w:val="000000"/>
          <w:sz w:val="24"/>
          <w:u w:val="single"/>
        </w:rPr>
        <w:br/>
        <w:t>POST-EMPLOYMENT BENEFITS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If Employee’s employment is terminated by Aramark for any reason other than Cause, Employee shall be entitled to the following post-employment benefits:</w:t>
      </w:r>
    </w:p>
    <w:p>
      <w:pPr>
        <w:pStyle w:val="TextBody"/>
        <w:bidi w:val="0"/>
        <w:spacing w:lineRule="auto" w:line="240" w:before="0" w:after="240"/>
        <w:ind w:left="0" w:right="0" w:firstLine="1440"/>
        <w:jc w:val="left"/>
        <w:rPr/>
      </w:pPr>
      <w:r>
        <w:rPr>
          <w:rFonts w:ascii="Times New Roman;sans-serif" w:hAnsi="Times New Roman;sans-serif"/>
          <w:b/>
          <w:color w:val="010000"/>
          <w:sz w:val="24"/>
        </w:rPr>
        <w:t>1.</w:t>
      </w:r>
      <w:r>
        <w:rPr>
          <w:rFonts w:ascii="Times New Roman;sans-serif" w:hAnsi="Times New Roman;sans-serif"/>
          <w:b/>
          <w:color w:val="000000"/>
          <w:sz w:val="24"/>
        </w:rPr>
        <w:t xml:space="preserve">Severance Pay: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(a)</w:t>
      </w:r>
      <w:r>
        <w:rPr>
          <w:color w:val="000000"/>
        </w:rPr>
        <w:t xml:space="preserve"> </w:t>
      </w:r>
      <w:r>
        <w:rPr>
          <w:rFonts w:ascii="Times New Roman;sans-serif" w:hAnsi="Times New Roman;sans-serif"/>
          <w:b w:val="false"/>
          <w:color w:val="000000"/>
          <w:sz w:val="24"/>
        </w:rPr>
        <w:t>Monthly payments equivalent to Employee’s monthly base salary as of the effective date of termination for the duration of the Non-Compete Period. Severance payments shall commence with the Employee’s effective date of termination and shall be made in accordance with Aramark’s normal payroll cycle. The period during which Employee receives these monthly severance payments shall be referred to as the “Severance Pay Period.”</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If Employee is not entitled to a Bonus, pro rata or otherwise, in respect of the Aramark fiscal year in which Employee’s termination of employment occurs under the terms of the applicable Bonus Plan (as such term is defined in Exhibit B hereto), a pro rata portion, if any, of the Bonus to which Employee would have been entitled if Employee satisfied the eligibility criteria under the applicable Bonus Plan (the “Pro Rata Bonus”). If Employee is entitled to receive a Bonus, pro rata or otherwise, in respect of the Aramark fiscal year in which Employee’s termination of employment occurs under the terms of the applicable Bonus Plan, Employee shall be entitled to receive either the Bonus under the terms of the applicable Bonus Plan, or the Pro Rata Bonus, whichever is greater;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in no event shall Employee receive duplicate Bonus and Pro Rata Bonus payments under each of this Agreement and the applicable Bonus Plan in respect of the Aramark fiscal year in which Employee’s termination of employment occurs. Further, for the avoidance of doubt, any portion of such Bonus or Pro Rata Bonus amount that is payable based on the achievement of any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performance factors or financial performance metrics shall be determined in accordance with the terms of the applicable Bonus Plan. Any Bonus or Pro Rata Bonus payment will be paid at the same time as all other bonuses are paid under the applicable Bonus Plan.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An amount equal to (i) Employee’s Target Bonus (as such term is defined in Exhibit B hereto), multiplied by (ii) 1.5, which will be paid in substantially equal installments in accordance with Aramark’s normal payroll cycle over the Severance Pay Period.</w:t>
      </w:r>
    </w:p>
    <w:p>
      <w:pPr>
        <w:pStyle w:val="TextBody"/>
        <w:bidi w:val="0"/>
        <w:spacing w:lineRule="auto" w:line="240" w:before="0" w:after="240"/>
        <w:ind w:left="0" w:right="0" w:firstLine="1440"/>
        <w:jc w:val="left"/>
        <w:rPr/>
      </w:pPr>
      <w:r>
        <w:rPr>
          <w:rFonts w:ascii="Times New Roman;sans-serif" w:hAnsi="Times New Roman;sans-serif"/>
          <w:b/>
          <w:color w:val="010000"/>
          <w:sz w:val="24"/>
        </w:rPr>
        <w:t>2.</w:t>
      </w:r>
      <w:r>
        <w:rPr>
          <w:rFonts w:ascii="Times New Roman;sans-serif" w:hAnsi="Times New Roman;sans-serif"/>
          <w:b/>
          <w:color w:val="000000"/>
          <w:sz w:val="24"/>
        </w:rPr>
        <w:t>Other Post-Employment Benefits</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Basic Group medical and life insurance coverages shall continue under then prevailing terms during the Severance Pay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Employee becomes employed by a new employer during that period, continuing coverage from Aramark will become secondary to any coverage afforded by the new employer. Employee’s share of the premiums will be deducted from Employee’s severance payments. Basic Group medical coverage provided during such period shall be applied against Aramark’s obligation to continue group medical coverage under the Consolidated Omnibus Budget Reconciliation Act of 1985 (“COBRA”). Upon termination of basic group medical and life coverages, Employee may convert such coverages to individual policies to the extent allowable under the terms of the plans providing such coverages.</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If Employee is receiving a car allowance at the time of the Employee’s termination, such car allowance will continue to be paid through the Severance Pay Period. At the expiration of the Severance Pay Period, the Employee will cease being paid a car allowance.</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Until the earlier to occur of (i) the last day of the Severance Pay Period or (ii) the date Employee becomes employed by a new employer, Aramark shall reimburse all reasonable expenses incurred by Employee for professional outplacement services by qualified consultants employed by a recognized outplacement services firm selected by Employee, in an amount not to exceed 10% of the Employee’s base salary at the time of termination.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Employee’s eligibility to participate in all other benefit and compensation plans, including, but not limited to the Management Incentive Bonus, Long Term Disability, any qualified or nonqualified retirement plans, and any equity incentive or ownership plans, shall terminate as of the effective date of Employee’s termination unless provided otherwise under the terms of a particular plan;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participation in plans and programs made available solely to Executive Leadership Council members shall cease as of the effective date of termination or the date Employee’s Executive Leadership Council membership ceases, whichever occurs first.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Termination for “Cause” shall be defined as termination of employment due to: (i) conviction or plea of guilty or nolo contendere to a felony, (ii) intentional fraud or dishonesty with respect to Aramark that causes material and demonstrable harm to Aramark, (iii) willful and continuous failure to perform lawfully assigned duties that are consistent with the Employee’s position with Aramark, (iv) willful violation of Aramark’s Business Conduct Policy that causes material harm to Aramark or its business reputation, or (v) intentionally working against the best interests of Aramark; in any case of conduct described in clause (ii)-(v), only if such conduct continues beyond ten business days after receipt by the Employee from Aramark of a written demand to cure such conduct.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If Employee is terminated by Aramark for reasons other than Cause, Employee will receive the severance payments and other post-employment benefits provided in Article 6.A. during the Severance Pay Period even if Employee commences other employment during such period, provided such employment does not violate the terms of Article 2, and subject to the provisions of Article 6.E, 6.F and 6.G.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Notwithstanding anything else contained in this Article 6 to the contrary, Aramark may choose not to commence (or to discontinue) providing any payment or benefit under this Agreement unless and until Employee executes and delivers, without revocation, a release in form reasonably acceptable to Aramark, as described in Article 6.E within 60 days following Employee’s termination of employment;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subject to receipt of such executed release, Aramark shall commence providing such payments and benefits within 75 days following the date of termination of Employee’s employment.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In addition to the remedies set forth in Article 5, Aramark reserves the right to terminate all severance payments and other post-employment benefits (including any rights to equity incentives to which Employee may have become eligible upon a Retirement with Notice as set forth in Article 6.F or Article 6.G of this Agreement) if Employee violates the covenants set forth in Articles 1, 2, 3 or 4 above in any material respect.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Employee’s receipt of severance and other post-employment benefits under this Agreement is contingent on (i) Employee’s execution and non-revocation of a release in a form reasonably acceptable to Aramark, except that such release shall not include any claims by Employee to enforce Employee’s rights under, or with respect to, (1) this Agreement (including the attached Exhibit B), (2) the Certificate of Incorporation and By-laws of Aramark, (3) any indemnification agreement between the Employee and Aramark or (4) any Aramark benefit plan pursuant to its terms, and (ii) the expiration of the applicable Age Discrimination in Employment Act revocation period without such release being revoked by Employee.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Notwithstanding anything set forth in this Agreement (including Exhibit B hereto) to the contrary, in the event that Employee provides Aramark with a notice of Employee’s Retirement with Notice (as such term is defined below), and during the Retirement Notice Period (as defined below), Aramark terminates Employee’s employment, for any reason other than Cause, under circumstances in which the provisions of Exhibit B do not apply, Aramark shall: (i) continue to pay to Employee her monthly base salary in accordance with Aramark’s normal payroll cycle as in effect immediately prior to such termination for any reason other than Cause, over the remainder of the calendar months (including any partial months) occurring between the date of such termination for any reason other than Cause and the last day of the Retirement Notice Period (the “Notice Period Tail”); (ii) provide the same benefits to which Employee would otherwise be entitled upon a Termination without Cause under Article 6.A.2(a) through the last day of the Retirement Notice Period; (iii) for purposes of prorating any Bonus under the terms of the applicable Bonus Plan or Pro Rata Bonus (as that term is defined in Article 6.A.1(b) above) in respect of the Aramark fiscal year in which Employee’s termination for any reason other than Cause actually occurs, prorate as if the last day of Employee’s employment was the last day of the Retirement Notice Period, not the date of Employee’s termination for any reason other than Cause; (iv) to the extent Employee’s termination for any reason other than Cause occurs in the fiscal year prior to the fiscal year in which the last day of the Retirement Notice Period falls, pay Employee a Bonus under the terms of the applicable Bonus Plan or Pro Rata Bonus in respect of the Aramark fiscal year in which the last day of the Retirement Notice Period falls as if the Employee’s termination for any reason other than Cause had actually occurred on the last day of the Retirement Notice Period; and (v) provide that any unvested equity-based incentives of Aramark held by Employee on the first day of the Retirement Notice Period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scheduled to vest during the Notice Period Tail shall remain outstanding and become vested and non-forfeitable on the normal scheduled future vesting date(s) applicable to such awards that occur during the Notice Period Tail, as if no earlier termination of employment had occurred. Any Bonus or Pro Rata Bonus paid pursuant to this paragraph will be paid at the same time as all other bonuses are paid under the applicable Bonus Plan in respect of the Aramark fiscal year to which the Bonus or Pro Rata Bonus corresponds;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no event shall Employee receive duplicate Bonus and Pro Rata Bonus payments under each of this Agreement and the applicable Bonus Plan in respect of the Aramark fiscal year in which Employee’s termination of employment occurs or the Aramark fiscal year in which the last day of the Retirement Notice Period falls. Notwithstanding any other provision of this Agreement and for the avoidance of doubt, any Termination without Cause that occurs during the Retirement Notice Period under circumstances in which the provisions of Exhibit B do not apply, shall not entitle Employee to any severance payments or benefits under this Agreement (including under Exhibit B hereto) or otherwise, beyond the payments and benefits set forth in the first sentence of this paragraph, and shall not fail to qualify as a “Retirement with Notice” for purposes of this Agreement and the provisions of Article 6.G. below. For the further avoidance of doubt, if Employee dies or incurs a Disability during the Retirement Notice Period, such termination from employment</w:t>
      </w:r>
      <w:r>
        <w:rPr>
          <w:color w:val="000000"/>
          <w:shd w:fill="FFFFFF" w:val="clear"/>
        </w:rPr>
        <w:t xml:space="preserve"> </w:t>
      </w:r>
      <w:r>
        <w:rPr>
          <w:rFonts w:ascii="Times New Roman;sans-serif" w:hAnsi="Times New Roman;sans-serif"/>
          <w:b w:val="false"/>
          <w:color w:val="000000"/>
          <w:sz w:val="24"/>
          <w:shd w:fill="FFFFFF" w:val="clear"/>
        </w:rPr>
        <w:t>shall also not fail to qualify as a “Retirement with Notice” for purposes of this Agreement.</w:t>
      </w:r>
      <w:r>
        <w:rPr>
          <w:color w:val="000000"/>
        </w:rPr>
        <w:t xml:space="preserve"> </w:t>
      </w:r>
      <w:r>
        <w:rPr>
          <w:rFonts w:ascii="Times New Roman;sans-serif" w:hAnsi="Times New Roman;sans-serif"/>
          <w:b w:val="false"/>
          <w:color w:val="000000"/>
          <w:sz w:val="24"/>
        </w:rPr>
        <w:t xml:space="preserve">As used herein, the term “Retirement with Notice” means Employee’s retirement from Aramark and its Affiliates after providing Aramark with at least twelve (12) months’ prior written notice of such intended retirement (and with such notice having been delivered upon or after the Employee’s attainment of age 62) after achieving (consecutively or disregarding breaks in service) at least five (5) full years of employment with Aramark and its Affiliates (and for purposes of this Agreement, the term “Retirement Notice Period” means the period beginning on the date Employee provides written notice to Aramark of her Retirement with Notice and ending on the last day of the Retirement Notice Period, as stated in such notice).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rPr>
        <w:t>In addition, each of the award agreements providing for equity-based incentives granted by Aramark to Employee that are outstanding as of the date of this Agreement and that contain the defined term “Retirement with Notice,” as set forth on the books and records of the Company, is hereby amended to provide that the term “Retirement with Notice” as currently defined in each such agreement shall have the same meaning as “Retirement with Notice” as defined herein.</w:t>
      </w:r>
    </w:p>
    <w:p>
      <w:pPr>
        <w:pStyle w:val="TextBody"/>
        <w:bidi w:val="0"/>
        <w:spacing w:lineRule="auto" w:line="240" w:before="0" w:after="240"/>
        <w:jc w:val="center"/>
        <w:rPr/>
      </w:pPr>
      <w:r>
        <w:rPr>
          <w:rFonts w:ascii="Times New Roman;sans-serif" w:hAnsi="Times New Roman;sans-serif"/>
          <w:b/>
          <w:color w:val="010000"/>
          <w:sz w:val="24"/>
        </w:rPr>
        <w:t>Article 7</w:t>
      </w:r>
      <w:r>
        <w:rPr>
          <w:rFonts w:ascii="Times New Roman;sans-serif" w:hAnsi="Times New Roman;sans-serif"/>
          <w:b/>
          <w:color w:val="000000"/>
          <w:sz w:val="24"/>
          <w:u w:val="single"/>
        </w:rPr>
        <w:br/>
        <w:t>TERM OF EMPLOYMENT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Employee acknowledges that Aramark has the right to terminate Employee’s employment at any time for any reason whatsoever,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termination by Aramark for reasons other than Cause shall result in the severance and the post-employment benefits described in Article 6 above, to become due in accordance with the terms of this Agreement subject to the conditions set forth in this Agreement. Employee further acknowledges that the severance payments made and other benefits provided by Aramark are in full satisfaction of any obligations Aramark may have resulting from Aramark’s exercise of its right to terminate Employee’s employment, except for those obligations which are intended to survive termination such as the payments to be made pursuant to retirement plans, deferred compensation plans, conversion of insurance, and the plans and other documents and agreements referred to in Article 6.E above.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10000"/>
          <w:sz w:val="24"/>
        </w:rPr>
        <w:t>Article 8</w:t>
      </w:r>
      <w:r>
        <w:rPr>
          <w:rFonts w:ascii="Times New Roman;sans-serif" w:hAnsi="Times New Roman;sans-serif"/>
          <w:b/>
          <w:color w:val="000000"/>
          <w:sz w:val="24"/>
          <w:u w:val="single"/>
        </w:rPr>
        <w:br/>
        <w:t>MISCELLANEOUS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As used throughout this Agreement, “Aramark” includes Aramark and its subsidiaries and affiliates or any corporation, joint venture, or other entity in which Aramark or its subsidiaries or affiliates has an equity interest in excess of ten percent (10%).</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anything to the contrary contained herein, Employee shall, after termination of employment for Good Reason by Employee or other than for Cause by Aramark, retain all rights to indemnification under applicable law or any agreement, or under Aramark’s or any parent corporation’s Certificate of Incorporation or By-Laws at a level that is at least as favorable to the Employee as that currently provided. In addition, Aramark shall maintain Director’s and Officer’s liability insurance on behalf of Employee, at the level in effect immediately prior to such date of termination, for the three-year period following the date of termination, and throughout the period of any applicable statute of limitations.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In the event that it is reasonably determined by Aramark that, as a result of the deferred compensation tax rules under Section 409A of the Internal Revenue Code of 1986, as amended (and any related regulations or other pronouncements thereunder) (“</w:t>
      </w:r>
      <w:r>
        <w:rPr>
          <w:rFonts w:ascii="Times New Roman;sans-serif" w:hAnsi="Times New Roman;sans-serif"/>
          <w:b w:val="false"/>
          <w:color w:val="000000"/>
          <w:sz w:val="24"/>
          <w:u w:val="single"/>
        </w:rPr>
        <w:t>the Deferred Compensation Tax Rules</w:t>
      </w:r>
      <w:r>
        <w:rPr>
          <w:color w:val="000000"/>
        </w:rPr>
        <w:t>”</w:t>
      </w:r>
      <w:r>
        <w:rPr>
          <w:rFonts w:ascii="Times New Roman;sans-serif" w:hAnsi="Times New Roman;sans-serif"/>
          <w:b w:val="false"/>
          <w:color w:val="000000"/>
          <w:sz w:val="24"/>
        </w:rPr>
        <w:t xml:space="preserve">), any of the payments and benefits that Employee is entitled to under the terms of this Agreement (including under Exhibit B) may not be made at the time contemplated by the terms hereof or thereof, as the case may be, without causing Employee to be subject to tax under the Deferred Compensation Tax Rules, Aramark shall, in lieu of providing such payment or benefit when otherwise due under this Agreement, instead provide such payment or benefit on the first day on which such provision would not result in Employee incurring any tax liability under the Deferred Compensation Tax Rules; which day, if Employee is a “specified employee” within the meaning of the Deferred Compensation Tax Rules, shall be the first day of the seventh month following the date of Employee’s termination of employment (or the earliest date as is permitted under the Deferred Compensation Tax Rules, without any accelerated or additional tax);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to the extent that the amount of payments due under Article 6.A (or Exhibit B, as applicable) are not subject to the Deferred Compensation Tax Rules by virtue of the application of Treas. Reg. Sec. 1.409A-1(b)(9)(iii)(A), such payments may be made prior to the expiration of such six-month period. In addition, if the commencement of any payment or benefit provided under Article 6 that constitutes “deferred compensation” under the Deferred Compensation Tax Rules could, by application of the terms conditioning such payment or benefit upon the execution and non-revocation of a release set forth in Article 6, occur in one of two taxable years, then the commencement of such payment shall begin on the first payroll date occurring in January of such second taxable year. To the extent any reimbursements or in-kind benefits due to Employee under this Agreement constitute “deferred compensation” under the Deferred Compensation Tax Rules, any such reimbursements or in-kind benefits, including but not limited to any reimbursements contemplated by Section 6.a.2(c) of this Agreement, shall be paid to Employee in a manner consistent with Treas. Reg. Section 1.409A-3(i)(1)(iv). Additionally, to the extent that Employee’s receipt of any in-kind benefits from Aramark or its affiliates must be delayed pursuant to this Section due to Employee’s status as a “specified employee,” Employee may elect to instead purchase and receive such benefits during the period in which the provision of benefits would otherwise be delayed by paying Aramark (or its affiliates) for the fair market value of such benefits (as determined by Aramark in good faith) during such period. Any amounts paid by Employee pursuant to the preceding sentence shall be reimbursed to Employee (with interest thereon) as described above on the date that is the first day of the seventh month following Employee’s separation from service. In the event that any payments or benefits that Aramark would otherwise be required to provide under this Agreement cannot be provided in the manner contemplated herein without subjecting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Employee to tax under the Deferred Compensation Tax Rules, Aramark shall provide such intended payments or benefits to Employee in an alternative manner that conveys an equivalent economic benefit to Employee as soon as practicable as may otherwise be permitted under the Deferred Compensation Tax Rules. Without limiting the generality of the foregoing, Employee may notify Aramark if he or she believes that any provision of this Agreement (or of any award of compensation including equity compensation or benefits) would cause Employee to incur any additional tax under Section 409A and, if Aramark concurs with such belief after good faith review or Aramark independently makes such determination, Aramark shall, after consulting with Employee, use reasonable best efforts to reform such provision to comply with Section 409A through good faith modifications to the minimum extent reasonably appropriate to conform the Deferred Compensation Tax Rules;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neither Aramark nor any of its employees or representatives shall have any liability to Employee with respect thereto. For purposes of the Deferred Compensation Tax Rules, each payment made under this Agreement (including, without limitation, each installment payment due under Article 6.A and Exhibit B, as applicable) shall be designated as a “separate payment” within the meaning of the Deferred Compensation Tax Rules, and references herein to Employee’s “termination of employment” shall refer to Employee’s separation from service with Aramark and its affiliates within the meaning of the Deferred Compensation Tax Rules.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In the event of a Change of Control as defined in the attached Exhibit B, the provisions of Exhibit B shall apply to Employee. Further, pursuant to the Deferred Compensation Tax Rules, Aramark, in its discretion, is permitted to accelerate the time and form of payments provided under the deferred compensation arrangement set forth in this Agreement (including Exhibit B), where the right to the payment arises due to a termination of the arrangement within the 30 days preceding or the 12 months following a change in control event (as defined in the Deferred Compensation Tax Rules).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If Employee’s employment with Aramark terminates solely by reason of a transfer of stock or assets of, or a merger or other disposition of, a subsidiary of Aramark (whether direct or indirect), such termination shall not be deemed a termination of employment by Aramark for purposes of this Agreement, provided that Aramark requires the subsequent employer, by agreement, to expressly assume and agree to perform this Agreement in the same manner and to the same extent that Aramark would be required to perform it if no such transaction had taken place. In such case, Employee acknowledges and agrees that Aramark may assign this Agreement and Aramark’s rights hereunder, and particularly Articles 1, 2, 3 and 4, in its sole discretion and without advance approval by Employee. In such case, Employee agrees that Aramark may assign this Agreement and all references to “Aramark” contained in this Agreement shall thereafter be deemed to refer to the subsequent employer.</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rPr>
        <w:t>Employee shall not be required to mitigate damages or the amount of any payment provided for under this Agreement by seeking other employment or otherwise.</w:t>
      </w:r>
    </w:p>
    <w:p>
      <w:pPr>
        <w:pStyle w:val="TextBody"/>
        <w:bidi w:val="0"/>
        <w:spacing w:lineRule="auto" w:line="240" w:before="240" w:after="240"/>
        <w:ind w:left="0" w:right="0" w:firstLine="72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rPr>
        <w:t>This Agreement shall supersede and substitute for any previous post-employment or severance agreement between Employee and Aramark, including, without limitation that certain Agreement Relating to Employment and Post-Employment Competition dated June 5, 2021 by and between Aramark and Employee.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rPr>
        <w:t>In the event any one or more of the provisions of this Agreement shall be or become invalid, illegal or unenforceable in any respect, the validity, legality and enforceability of the remaining provisions of this Agreement shall not be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The terms of this Agreement shall be governed by the laws of the Commonwealth of Pennsylvania, without regard to conflicts of laws principles thereof. For purposes of any action or proceeding, Employee irrevocably submits to the exclusive jurisdiction of the courts of Pennsylvania and the courts of the United States of America located in Pennsylvania for the purpose of any judicial proceeding arising out of or relating to this Agreement, and acknowledges that the designated </w:t>
      </w:r>
      <w:r>
        <w:rPr>
          <w:rFonts w:ascii="Times New Roman;sans-serif" w:hAnsi="Times New Roman;sans-serif"/>
          <w:b w:val="false"/>
          <w:i/>
          <w:color w:val="000000"/>
          <w:sz w:val="24"/>
        </w:rPr>
        <w:t>fora</w:t>
      </w:r>
      <w:r>
        <w:rPr>
          <w:color w:val="000000"/>
        </w:rPr>
        <w:t xml:space="preserve"> </w:t>
      </w:r>
      <w:r>
        <w:rPr>
          <w:rFonts w:ascii="Times New Roman;sans-serif" w:hAnsi="Times New Roman;sans-serif"/>
          <w:b w:val="false"/>
          <w:color w:val="000000"/>
          <w:sz w:val="24"/>
        </w:rPr>
        <w:t>have a reasonable relation to the Agreement and to the parties’ relationship with one another. Notwithstanding the provisions of this Article 8.I, Aramark may, in its discretion, bring an action or special proceeding in any court of competent jurisdiction for the purpose of seeking temporary or preliminary relief pending resolution of a dispute.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J.</w:t>
      </w:r>
      <w:r>
        <w:rPr>
          <w:rFonts w:ascii="Times New Roman;sans-serif" w:hAnsi="Times New Roman;sans-serif"/>
          <w:b w:val="false"/>
          <w:color w:val="000000"/>
          <w:sz w:val="24"/>
        </w:rPr>
        <w:t>Employee expressly consents to the application of Article 8.I to any judicial action or proceeding arising out of or relating to this Agreement. Aramark shall have the right to serve legal process upon Employee in any manner permitted by law.</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K.</w:t>
      </w:r>
      <w:r>
        <w:rPr>
          <w:rFonts w:ascii="Times New Roman;sans-serif" w:hAnsi="Times New Roman;sans-serif"/>
          <w:b w:val="false"/>
          <w:color w:val="000000"/>
          <w:sz w:val="24"/>
        </w:rPr>
        <w:t>Employee hereby waives, to the fullest extent permitted by applicable law, any objection that Employee now or hereafter may have to personal jurisdiction or to the laying of venue of any action or proceeding brought in any court referenced in Article 8.I and hereby agrees not to plead or claim the same.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L.</w:t>
      </w:r>
      <w:r>
        <w:rPr>
          <w:rFonts w:ascii="Times New Roman;sans-serif" w:hAnsi="Times New Roman;sans-serif"/>
          <w:b w:val="false"/>
          <w:color w:val="000000"/>
          <w:sz w:val="24"/>
        </w:rPr>
        <w:t>Notwithstanding any other provision of this Agreement, Aramark may, to the extent permitted by law, withhold (i) any amounts owed by Employee to Aramark as of the date of Employee’s termination of employment and (ii) all applicable federal, state and local income and other taxes in respect of the payments and benefits provided under this Agreement (including Exhibit B hereto) from any payments due to Employee hereunder.</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M.</w:t>
      </w:r>
      <w:r>
        <w:rPr>
          <w:rFonts w:ascii="Times New Roman;sans-serif" w:hAnsi="Times New Roman;sans-serif"/>
          <w:b w:val="false"/>
          <w:color w:val="000000"/>
          <w:sz w:val="24"/>
        </w:rPr>
        <w:t>Employee and Aramark acknowledge that for purposes of Article 6, Employee’s last hire date with Aramark is August 23, 2021.</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N.</w:t>
      </w:r>
      <w:r>
        <w:rPr>
          <w:rFonts w:ascii="Times New Roman;sans-serif" w:hAnsi="Times New Roman;sans-serif"/>
          <w:b w:val="false"/>
          <w:color w:val="000000"/>
          <w:sz w:val="24"/>
        </w:rPr>
        <w:t xml:space="preserve">Employee expressly acknowledges and agrees that the </w:t>
      </w:r>
      <w:r>
        <w:rPr>
          <w:rFonts w:ascii="Times New Roman;sans-serif" w:hAnsi="Times New Roman;sans-serif"/>
          <w:b w:val="false"/>
          <w:color w:val="000000"/>
          <w:sz w:val="24"/>
          <w:u w:val="single"/>
        </w:rPr>
        <w:t>Incentive Compensation Recoupment Policy</w:t>
      </w:r>
      <w:r>
        <w:rPr>
          <w:color w:val="000000"/>
        </w:rPr>
        <w:t xml:space="preserve"> </w:t>
      </w:r>
      <w:r>
        <w:rPr>
          <w:rFonts w:ascii="Times New Roman;sans-serif" w:hAnsi="Times New Roman;sans-serif"/>
          <w:b w:val="false"/>
          <w:color w:val="000000"/>
          <w:sz w:val="24"/>
        </w:rPr>
        <w:t>set forth in Exhibit A to this Agreement, as the same may be amended from time to time, is binding on Employee and that Employee is a Covered Employee as defined in that policy.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O.</w:t>
      </w:r>
      <w:r>
        <w:rPr>
          <w:rFonts w:ascii="Times New Roman;sans-serif" w:hAnsi="Times New Roman;sans-serif"/>
          <w:b w:val="false"/>
          <w:color w:val="000000"/>
          <w:sz w:val="24"/>
        </w:rPr>
        <w:t>This Agreement shall be binding upon, inure to the benefit of and be enforceable by Aramark and Employee, and their respective heirs, legal representatives, successors and assigns. Employee acknowledges and agrees that this Agreement, including its provisions on post-employment restrictions, is specifically assignable by Aramark. Employee hereby consents to such future assignment and agrees not to challenge the validity of such future assignment.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and intending to be legally bound, the parties hereto have caused this Agreement to be signed this 3rd day of December 2022.</w:t>
      </w:r>
    </w:p>
    <w:p>
      <w:pPr>
        <w:pStyle w:val="TextBody"/>
        <w:bidi w:val="0"/>
        <w:spacing w:before="0" w:after="240"/>
        <w:ind w:left="0" w:right="0" w:firstLine="720"/>
        <w:jc w:val="left"/>
        <w:rPr/>
      </w:pPr>
      <w:r>
        <w:rPr/>
      </w:r>
    </w:p>
    <w:p>
      <w:pPr>
        <w:pStyle w:val="TextBody"/>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Abigail Charpentier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Abigail Charpentier</w:t>
      </w:r>
    </w:p>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Aramark</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Lauren Harrington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By: Lauren Harrington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u w:val="single"/>
        </w:rPr>
        <w:t>Schedule 1</w:t>
      </w:r>
      <w:r>
        <w:rPr>
          <w:rFonts w:ascii="Times New Roman;sans-serif" w:hAnsi="Times New Roman;sans-serif"/>
          <w:b/>
          <w:color w:val="000000"/>
          <w:sz w:val="24"/>
        </w:rPr>
        <w:br/>
        <w:t>Prior Works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ARAMARK INCENTIVE COMPENSATION RECOUPMENT POLICY</w:t>
      </w:r>
    </w:p>
    <w:p>
      <w:pPr>
        <w:pStyle w:val="TextBody"/>
        <w:bidi w:val="0"/>
        <w:spacing w:lineRule="auto" w:line="240" w:before="24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Overview</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Aramark (the “Company”) has adopted this incentive compensation recoupment policy (the “Policy”) in order to ensure that incentive compensation is paid based on accurate financial data and to enable the Company to seek recoupment of incentive compensation in the event of material and willful violations of law that cause significant reputational or economic harm to the Company. In the event of an accounting restatement as described below the Company may seek recovery of incentive compensation that would have not been paid if the correct performance data had been used to determine the amount payable. In the event a Covered Employee (as defined below) commits a willful and material violation of applicable law and such violation results in significant reputational or economic harm to the Company, the Company may seek recovery of incentive compensation from such Covered Employee. The Board of Directors (the “Board”) and the Compensation and Human Resources Committee of the Board (the “Committee”) shall have full authority to interpret and enforce the Policy.</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Covered Employees</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Policy applies to “Covered Employees” who are: the executive officers of the Company and its subsidiaries (as defined under Rule 3b-7 under the Securities Exchange Act of 1934, as amended) and all other executives in the Company’s Executive Leadership Council.</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Incentive Compensation</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For purposes of this Policy, “incentive compensation” means cash performance bonuses and incentive stock awards including performance restricted stock and performance stock units paid, granted, vested or accrued under any Company plan or agreement in the form of cash or Company common stock whose payment or vesting is based on the achievement of one or more financial metrics.</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Accounting Restatement; Calculation of Overpayment</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the Board or the Committee determines that (i) incentive compensation of a Covered Employee was overpaid, in whole or in part, as a result of a restatement of the reported financial or operating results of the Company due to material non-compliance with financial reporting requirements under the securities laws (unless due to a change in accounting policy or applicable law) and (ii) such Covered Employee has engaged in misconduct that causes or contributed, directly or indirectly, to the non-compliance that resulted in the obligation to restate the Company’s reported financial or operating results, the Board or the Committee will determine, in its discretion, whether the Company shall, to the extent permitted by applicable law, seek to recover or cancel the incentive compensation granted, paid to, issued or vested in excess of the incentive compensation that would have been paid or granted to such Covered Employee or the incentive compensation in which such Covered Employee would have vested had the actual payment, granting or vesting been calculated based on the accurate data or restated results, as applicable (the “Overpayment”).</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the Board or the Committee determines that a Covered Employee engaged in misconduct resulting in a material and willful violation of law that causes significant reputational or economic harm to the Company, the Board or the Committee may determine, in its discretion, whether the Company shall, to the extent permitted by applicable law, seek to recover or cancel any incentive compensation granted, paid to or issued or vested to such Covered Employee.</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Forms of Recovery</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the Board or the Committee determines to seek recovery for the Overpayment or due to a material and willful violation of law, the Company shall have the right to demand that the Covered Employee reimburse the Company for the Overpayment or the amount of incentive compensation that the Board or Committee determines is appropriate. The Board or the Committee shall have the discretion to determine the form, amount and timing of any repayment. To the extent the Covered Employee does not make reimbursement of the Overpayment or amount sought to be recovered by the Company, the Company shall have the right to enforce the repayment through the reduction or cancellation of outstanding and future incentive compensation and shall also have the right to sue for repayment. To the extent any shares have been issued under vested awards or such shares have been sold by the Covered Employee, the Company shall have the right to cancel any other outstanding stock-based awards with a value equivalent to the Overpayment or amount sought to be recovered, as determined by the Board or the Committee.</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Time Period for Overpayment Review</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Board or the Committee may make determinations of whether the Company shall seek recovery or cancellation of the Overpayment at any time through the end of the third fiscal year following the year for which the inaccurate performance criteria were measured; provided, that if steps have been taken within such period to restate the Company’s financial or operating results, the time period shall be extended until such restatement is completed. For illustrative purposes only, this means that if incentive compensation is paid in late calendar 2015 for performance metrics based on fiscal year 2015 performance, the compensation shall be subject to review for Overpayment until the end of the 2018 fiscal year. Notwithstanding the above, if the Board or the Committee determines that any Covered Employee engaged in fraud or misconduct, the Board or the Committee shall be entitled to seek recovery or cancellation of the Overpayment with respect to such Covered Employee for a period of six years after the act of fraud or misconduct, as such time period is calculated by the Board or Committee. In the case of material and willful violations of law, the Board and the Committee may seek recovery of any incentive compensation paid within three years prior to the Company’s demand for recoupment.</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No Additional Payments</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no event shall the Company be required to award Covered Employees an additional payment if the restated or accurate financial results would have resulted in a higher incentive compensation payment.</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Applicability</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This Policy applies to all incentive compensation, granted, paid or credited after November 6, 2018, except to the extent prohibited by applicable law or any other legal obligation of the Company. Application of the Policy does not preclude the Company from taking any other action to enforce a Covered Employee’s obligations to the Company, including termination of employment or institution of civil or criminal proceedings or any other remedies that may be available to the Company, including such remedies contained, without limitation, in the Company’s equity grant and employment agreements, whether or not there is a restatement.</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Committee Determination Final</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Any determination by the Board or the Committee (or by any officer of the Company to whom enforcement authority has been delegated) with respect to this Policy shall be final, conclusive and binding on all interested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Other Laws</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Policy is in addition to (and not in lieu of) any right of repayment, forfeiture or right of offset against any Covered Employee that is required pursuant to any statutory repayment requirement implemented at any time prior to or following the adoption of the Policy. This policy is in addition to, and is not a substitute for, the requirements of Section 304 of the Sarbanes-Oxley Act of 2002.</w:t>
      </w:r>
    </w:p>
    <w:p>
      <w:pPr>
        <w:pStyle w:val="TextBody"/>
        <w:bidi w:val="0"/>
        <w:spacing w:lineRule="auto" w:line="240" w:before="360" w:after="283"/>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Amendment; Termination</w:t>
      </w:r>
    </w:p>
    <w:p>
      <w:pPr>
        <w:pStyle w:val="TextBody"/>
        <w:bidi w:val="0"/>
        <w:spacing w:lineRule="auto" w:line="240" w:before="120" w:after="283"/>
        <w:ind w:left="0" w:right="0" w:firstLine="49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Board or the Committee may amend or terminate this Policy at any time.</w:t>
      </w:r>
    </w:p>
    <w:p>
      <w:pPr>
        <w:pStyle w:val="TextBody"/>
        <w:bidi w:val="0"/>
        <w:spacing w:lineRule="auto" w:line="240" w:before="24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Adopted on November 6, 2018</w:t>
      </w:r>
    </w:p>
    <w:p>
      <w:pPr>
        <w:pStyle w:val="TextBody"/>
        <w:bidi w:val="0"/>
        <w:spacing w:before="0" w:after="240"/>
        <w:ind w:left="0" w:right="0" w:firstLine="72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TERMINATION PROTECTION PROVISIONS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is an Exhibit B to, and forms a part of, the Amended and Restated Aramark Agreement Relating to Employment and Post-Employment Competition between Abigail Charpentier (the “Executive”) and Aramark.</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Defined Terms.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Unless otherwise indicated, capitalized terms used in this Exhibit which are defined in Schedule 2 shall have the meanings set forth in Schedule 2.</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Effective Date; Term</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Exhibit shall be effective as of the date upon which the Management Committee Agreement (as defined in Section 8 hereof) is fully executed (the “Effective Date) and shall remain in effect until the later of two years following a Change of Control and the date that all of the Company’s obligations under this Exhibit have been satisfied in full.</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Change of Control Benefits</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Executive’s employment with the Company is terminated at any time within the two years following a Change of Control by the Company without Cause, or by Executive for Good Reason (the effective date of either such termination hereafter referred to as the “Termination Date”), Executive shall be entitled to the payments and benefits provided hereafter in this Section 3 and as set forth in this Exhibit. If Executive’s employment by the Company is terminated prior to a Change of Control by the Company (i) at the request of a party (other than the Company) involved in the Change of Control or (ii) otherwise in connection with or in anticipation of a Change of Control that subsequently occurs, Executive shall be entitled to the benefits provided hereafter in this Section 3 and as set forth in this Exhibit, and Executive’s Termination Date shall be deemed to have occurred immediately following the Change of Control. Payment of benefits under this Exhibit shall be in lieu of any benefits payable under the Aramark Agreement relating to Employment and Post-Employment Competition of which this Exhibit is a part, except as provided in Section 3(b) hereof. Notice of termination without Cause or for Good Reason shall be given in accordance with Section 13, and shall indicate the specific termination provision hereunder relied upon, the relevant facts and circumstances and the Termination Date.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Severance Payments</w:t>
      </w:r>
      <w:r>
        <w:rPr>
          <w:rFonts w:ascii="Times New Roman;sans-serif" w:hAnsi="Times New Roman;sans-serif"/>
          <w:b w:val="false"/>
          <w:color w:val="000000"/>
          <w:sz w:val="24"/>
        </w:rPr>
        <w:t>. The Company shall pay Executive cash benefits equal to:</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(1)</w:t>
      </w:r>
      <w:r>
        <w:rPr>
          <w:rFonts w:ascii="Times New Roman;sans-serif" w:hAnsi="Times New Roman;sans-serif"/>
          <w:b w:val="false"/>
          <w:color w:val="000000"/>
          <w:sz w:val="24"/>
        </w:rPr>
        <w:t xml:space="preserve">two times Executive’s Base Salary in effect on the date of the Change of Control or the Termination Date, whichever is higher;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any reduction of the Base Salary has occurred, then the Base Salary on either date shall be as in effect immediately prior to such reduction, payable in regular installments at such times as would otherwise be the Company’s usual payroll practice over a period of two years; and</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(2)</w:t>
      </w:r>
      <w:r>
        <w:rPr>
          <w:rFonts w:ascii="Times New Roman;sans-serif" w:hAnsi="Times New Roman;sans-serif"/>
          <w:b w:val="false"/>
          <w:color w:val="000000"/>
          <w:sz w:val="24"/>
        </w:rPr>
        <w:t xml:space="preserve">two times Executive’s Target Bonus in effect on the date of the Change of Control or the Termination Date, whichever is greater, payable in either case ratably in regular installments at the same time as payments are made to Executive under Section 3(a)(1) above;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any reduction of the Target Bonus has occurred, then the Target Bonus on either date shall be as in effect immediately prior to such reduction;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(3)</w:t>
      </w:r>
      <w:r>
        <w:rPr>
          <w:rFonts w:ascii="Times New Roman;sans-serif" w:hAnsi="Times New Roman;sans-serif"/>
          <w:b w:val="false"/>
          <w:color w:val="000000"/>
          <w:sz w:val="24"/>
        </w:rPr>
        <w:t>Executive’s Target Bonus (as determined in (2), above) multiplied by a fraction, the numerator of which shall equal the number of days Executive was employed by the Company in the Company fiscal year in which the Termination Date occurs and the denominator of which shall equal 365, payable as a cash lump sum within forty days after the Termination Date.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Continuation of Benefits</w:t>
      </w:r>
      <w:r>
        <w:rPr>
          <w:rFonts w:ascii="Times New Roman;sans-serif" w:hAnsi="Times New Roman;sans-serif"/>
          <w:b w:val="false"/>
          <w:color w:val="000000"/>
          <w:sz w:val="24"/>
        </w:rPr>
        <w:t xml:space="preserve">. Until the second anniversary of the Termination Date, the Company shall at its expense provide Executive and Executive’s spouse and dependents with medical, life insurance and disability coverages at the level provided to Executive immediately prior to the Change of Control;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Executive becomes employed by a new employer, continuing coverage from the Company will become secondary to any coverage afforded by the new employer. The Company shall also provide the benefits described in Article 6.A.2(b) and 6.A.2(c) of the Management Committee Agreement (as defined in Section 8 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benefits shall continue until the second anniversary of the Termination Date (instead of the “Severance Pay Period” as defined in the Management Committee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Payment of Earned But Unpaid Amounts</w:t>
      </w:r>
      <w:r>
        <w:rPr>
          <w:rFonts w:ascii="Times New Roman;sans-serif" w:hAnsi="Times New Roman;sans-serif"/>
          <w:b w:val="false"/>
          <w:color w:val="000000"/>
          <w:sz w:val="24"/>
        </w:rPr>
        <w:t xml:space="preserve">. Within forty days after the Termination Date, the Company shall pay Executive the Base Salary through the Termination Date, any Bonus earned but unpaid as of the Termination Date for </w:t>
      </w:r>
      <w:r>
        <w:rPr>
          <w:rFonts w:ascii="Times New Roman;sans-serif" w:hAnsi="Times New Roman;sans-serif"/>
          <w:b w:val="false"/>
          <w:color w:val="000000"/>
          <w:sz w:val="24"/>
          <w:u w:val="single"/>
        </w:rPr>
        <w:t>any</w:t>
      </w:r>
      <w:r>
        <w:rPr>
          <w:color w:val="000000"/>
        </w:rPr>
        <w:t xml:space="preserve"> </w:t>
      </w:r>
      <w:r>
        <w:rPr>
          <w:rFonts w:ascii="Times New Roman;sans-serif" w:hAnsi="Times New Roman;sans-serif"/>
          <w:b w:val="false"/>
          <w:color w:val="000000"/>
          <w:sz w:val="24"/>
        </w:rPr>
        <w:t>previously completed fiscal year of the Company, to the extent not previously deferred under a particular deferred compensation plan, and reimbursement for any unreimbursed expenses properly incurred by Executive in accordance with Company policies prior to the Termination Date. Executive shall also receive such employee benefits, if any, to which Executive may be entitled from time to time under the employee benefit or fringe benefit plans, policies or programs of the Company, other than any Company severance policy (payments and benefits in this subsection (c), the “Accrued Benefits”).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Vesting of Other Benefits</w:t>
      </w:r>
      <w:r>
        <w:rPr>
          <w:rFonts w:ascii="Times New Roman;sans-serif" w:hAnsi="Times New Roman;sans-serif"/>
          <w:b w:val="false"/>
          <w:color w:val="000000"/>
          <w:sz w:val="24"/>
        </w:rPr>
        <w:t>. Executive shall be entitled to such accelerated vesting of outstanding equity-based awards or retirement plan benefits as is specified under the terms of the applicable plans, agreements and arrangements.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4.</w:t>
      </w:r>
      <w:r>
        <w:rPr>
          <w:rFonts w:ascii="Times New Roman;sans-serif" w:hAnsi="Times New Roman;sans-serif"/>
          <w:b w:val="false"/>
          <w:color w:val="000000"/>
          <w:sz w:val="24"/>
          <w:u w:val="single"/>
        </w:rPr>
        <w:t>Mitigation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Executive shall not be required to mitigate damages or the amount of any payment provided for under this Exhibit by seeking other employment or otherwise, and, subject to Section 3(b), compensation earned from such employment or otherwise shall not reduce the amounts otherwise payable under this Exhibit. No amounts payable under this Exhibit shall be subject to reduction or offset in respect of any claims which the Company (or any other person or entity) may have against Executive.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5.</w:t>
      </w:r>
      <w:r>
        <w:rPr>
          <w:rFonts w:ascii="Times New Roman;sans-serif" w:hAnsi="Times New Roman;sans-serif"/>
          <w:b w:val="false"/>
          <w:color w:val="000000"/>
          <w:sz w:val="24"/>
          <w:u w:val="single"/>
        </w:rPr>
        <w:t>Excise Tax Consequences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In the event it shall be determined that any payment, benefit or distribution (or combination thereof) by the Company, any of its affiliates, or one or more trusts established by the Company for the benefit of its employees, to or for the benefit of Executive (whether paid or payable or distributed or distributable pursuant to the terms of this Exhibit, or otherwise) (a “Payment”) is subject to the excise tax imposed by Section 4999 of the Code or any interest or penalties are incurred by Executive with respect to such excise tax (such excise tax, together with any such interest and penalties, hereinafter collectively referred to as the “Excise Tax”), if the net after-tax amount of such Payments, after Executive has paid all taxes due thereon (including, without limitation, taxes due under Section 4999 of the Code) is less than the net after-tax amount of all such Payments and benefits otherwise due to Executive in the aggregate, if such aggregate Payments were reduced to an amount equal to 2.99 times the Executive’s “base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amount” (as defined in Section 280G(b)(3) of the Code), then the aggregate amount of the payments and benefits shall be reduced to an amount that will equal 2.99 times the Executive’s base amount. To the extent such aggregate parachute payment amounts are required to be so reduced, the parachute payment amounts due to the Executive (but no non-parachute payment amounts) shall be reduced in the following order: (i) payments and benefits due under Section 3.a of this Exhibit shall be reduced (if necessary, to zero) with amounts that are payable last reduced first; (ii) payments and benefits due in respect of any equity fully valued (without regard to any discounts for present value) for purposes of the calculation to be made under Section 280G of the Code for purposes of this Section 5 (the “280G Calculation”) in reverse order of when payable; and (iii) payments and benefits due in respect of any options or stock appreciation rights with regard to Aramark equity securities valued under the 280G Calculation based on time of vesting shall be reduced in an order that is most beneficial to the Executive.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All determinations required to be made under this Section 5, including whether and when a cutback is to be made, and the assumptions to be utilized in arriving at such determination, shall be made by such nationally recognized certified public accounting firm as may be designated by the Company (the “Accounting Firm”) which shall provide detailed supporting calculations both to the Company and Executive within ten business days of the receipt of notice from Executive that there has been a Payment, or such earlier time as is requested by the Company.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Notwithstanding anything contained in this Agreement or any other agreement between the Executive and the Company or any of its subsidiaries to the contrary, the Executive and the Company shall in good faith attempt to agree on steps to ensure that no payments to which the Executive would otherwise be entitled to receive pursuant to this Agreement or any such other agreement will be “parachute payments” (as defined in Section 280G(b)(2) of the Code).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6.</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Nothing in this Exhibit shall be construed to prevent the Company from terminating Executive’s employment for Cause. If Executive is terminated for Cause, the Company shall have no obligation to make any payments under this Exhibit, except for the Accrued Benefits.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7.</w:t>
      </w:r>
      <w:r>
        <w:rPr>
          <w:rFonts w:ascii="Times New Roman;sans-serif" w:hAnsi="Times New Roman;sans-serif"/>
          <w:b w:val="false"/>
          <w:color w:val="000000"/>
          <w:sz w:val="24"/>
          <w:u w:val="single"/>
        </w:rPr>
        <w:t>Indemnification; Director’s and Officer’s Liability Insurance</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Executive shall, after the Termination Date, retain all rights to indemnification under applicable law, any agreements and under the Company’s Certificate of Incorporation or By-Laws, as they may be amended or restated from time to time. In addition, the Company shall maintain Director’s and Officer’s liability insurance on behalf of Executive, at the level in effect immediately prior to the Termination Date, for the three year period following the Termination Date, and throughout the period of any applicable statute of limitations.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8.</w:t>
      </w:r>
      <w:r>
        <w:rPr>
          <w:rFonts w:ascii="Times New Roman;sans-serif" w:hAnsi="Times New Roman;sans-serif"/>
          <w:b w:val="false"/>
          <w:color w:val="000000"/>
          <w:sz w:val="24"/>
          <w:u w:val="single"/>
        </w:rPr>
        <w:t>Executive Covenants</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is an Exhibit B to, and forms a part of, the Amended and Restated Aramark Agreement Relating to Employment and Post-Employment Competition between Executive and Aramark (the “Management Committee Agreement). This Exhibit shall not diminish in any way Executive’s rights under the terms of such Management Committee Agreement, except that Executive’s receipt of benefits under this Exhibit is contingent upon Executive’s compliance in all material respects with all of the terms and conditions of the Management Committee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9.</w:t>
      </w:r>
      <w:r>
        <w:rPr>
          <w:rFonts w:ascii="Times New Roman;sans-serif" w:hAnsi="Times New Roman;sans-serif"/>
          <w:b w:val="false"/>
          <w:color w:val="000000"/>
          <w:sz w:val="24"/>
          <w:u w:val="single"/>
        </w:rPr>
        <w:t>Costs of Proceedings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party shall pay its own costs and expenses in connection with any legal proceeding (including arbitration), relating to the interpretation or enforcement of any provision of this Exhibit, except that the Company shall pay such costs and expenses, including attorneys’ fees and disbursements, of Executive if Executive prevails on a substantial portion of the claims in such proceeding.</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10.</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herein, this Exhibit shall be binding upon, inure to the benefit of and be enforceable by the Company and Executive and their respective heirs, legal representatives, successors and assigns. If the Company shall be merged into or consolidated with another entity, the provisions of this Exhibit shall be binding upon and inure to the benefit of the entity surviving such merger or resulting from such consolidation. The Company shall require any successor (whether direct or indirect, by purchase, merger, consolidation or otherwise) to all or substantially all of the business or assets of the Company, by agreement, expressly to assume and agree to perform this Exhibit in the same manner and to the same extent that the Company would be required to perform it if no such succession had taken place. The provisions of this Section 10 shall continue to apply to each subsequent employer of Executive hereunder in the event of any subsequent merger, consolidation or transfer of assets of such subsequent employer.</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11.</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this Exhibit, the Company may, to the extent required by law, withhold applicable federal, state and local income and other taxes from any payments due to Executive hereunder.</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12.</w:t>
      </w:r>
      <w:r>
        <w:rPr>
          <w:rFonts w:ascii="Times New Roman;sans-serif" w:hAnsi="Times New Roman;sans-serif"/>
          <w:b w:val="false"/>
          <w:color w:val="000000"/>
          <w:sz w:val="24"/>
          <w:u w:val="single"/>
        </w:rPr>
        <w:t>Applicable Law</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Exhibit shall be governed by and construed in accordance with the laws of the Commonwealth of Pennsylvania, without regard to conflicts of laws principles thereof.</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13.</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the purpose of this Exhibit, any notice and all other communication provided for in this Exhibit shall be in writing and shall be deemed to have been duly given when delivered by hand or overnight courier or three days after it has been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receipt.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Aramark</w:t>
        <w:br/>
        <w:t>2400 Market Street</w:t>
        <w:br/>
        <w:t xml:space="preserve">Philadelphia, Pennsylvania 19103 </w:t>
        <w:br/>
        <w:t xml:space="preserve">Attention: General Counsel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Executive: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most recent address of Executive set forth in the personnel records of the Company.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14.</w:t>
      </w:r>
      <w:r>
        <w:rPr>
          <w:rFonts w:ascii="Times New Roman;sans-serif" w:hAnsi="Times New Roman;sans-serif"/>
          <w:b w:val="false"/>
          <w:color w:val="000000"/>
          <w:sz w:val="24"/>
          <w:u w:val="single"/>
        </w:rPr>
        <w:t>Entire Agreement; Modification</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Exhibit constitutes the entire agreement between the parties and, except as expressly provided herein or in Article 6.E of the Management Committee Agreement or in any benefit plan of the Company or of any of its affiliates, supersedes all other prior agreements expressly concerning the effect of a Change of Control occurring after the date of this Agreement with respect to the relationship between the Company and Executive. This Exhibit is not, and nothing herein shall be deemed to create, a contract of employment between the Company and Executive. This Exhibit may be changed only by a written agreement executed by the Company and Executive.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15.</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any one or more of the provisions of this Exhibit shall be or become invalid, illegal or unenforceable in any respect, the validity, legality and enforceability of the remaining provisions shall not be affected thereby.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Schedule 2</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CERTAIN DEFINITIONS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used in this Exhibit B, and unless the context requires a different meaning, the following terms, when capitalized, have the meaning indicated:</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w:t>
      </w:r>
      <w:r>
        <w:rPr>
          <w:color w:val="000000"/>
        </w:rPr>
        <w:t>“</w:t>
      </w:r>
      <w:r>
        <w:rPr>
          <w:rFonts w:ascii="Times New Roman;sans-serif" w:hAnsi="Times New Roman;sans-serif"/>
          <w:b w:val="false"/>
          <w:color w:val="000000"/>
          <w:sz w:val="24"/>
          <w:u w:val="single"/>
        </w:rPr>
        <w:t>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w:t>
      </w: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shall have the same meaning as set forth in the Stock Incentive Plan.</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3.</w:t>
      </w:r>
      <w:r>
        <w:rPr>
          <w:color w:val="000000"/>
        </w:rPr>
        <w:t>“</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means Executive’s annual rate of base salary in effect on the date in question.</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4.</w:t>
      </w:r>
      <w:r>
        <w:rPr>
          <w:color w:val="000000"/>
        </w:rPr>
        <w:t>“</w:t>
      </w:r>
      <w:r>
        <w:rPr>
          <w:rFonts w:ascii="Times New Roman;sans-serif" w:hAnsi="Times New Roman;sans-serif"/>
          <w:b w:val="false"/>
          <w:color w:val="000000"/>
          <w:sz w:val="24"/>
          <w:u w:val="single"/>
        </w:rPr>
        <w:t>Bonus</w:t>
      </w:r>
      <w:r>
        <w:rPr>
          <w:color w:val="000000"/>
        </w:rPr>
        <w:t xml:space="preserve">” </w:t>
      </w:r>
      <w:r>
        <w:rPr>
          <w:rFonts w:ascii="Times New Roman;sans-serif" w:hAnsi="Times New Roman;sans-serif"/>
          <w:b w:val="false"/>
          <w:color w:val="000000"/>
          <w:sz w:val="24"/>
        </w:rPr>
        <w:t xml:space="preserve">means the amount payable to Executive under the applicable Bonus Plan.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5.</w:t>
      </w:r>
      <w:r>
        <w:rPr>
          <w:color w:val="000000"/>
        </w:rPr>
        <w:t>“</w:t>
      </w:r>
      <w:r>
        <w:rPr>
          <w:rFonts w:ascii="Times New Roman;sans-serif" w:hAnsi="Times New Roman;sans-serif"/>
          <w:b w:val="false"/>
          <w:color w:val="000000"/>
          <w:sz w:val="24"/>
        </w:rPr>
        <w:t>Bonus Plan” means the Company annual bonus plan in which Executive is eligible to participate with respect to the given fiscal year of the Company.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6.</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“cause” as defined in the Management Committee Agreement of which this Schedule 2 forms a part.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7.</w:t>
      </w: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have the same meaning as set forth in the Stock Incentive Plan.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8.</w:t>
      </w: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Aramark and its Affiliates, and, on and after a Change of Control, any of Aramark’s parents and any successor or successors thereto.</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9.</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any of the following actions on or after a Change of Control, without Executive’s express prior written approval, other than due to Executive’s Permanent Disability or death:</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any decrease in Base Salary or Target Bonus;</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any decrease in Executive’s pension benefit opportunities or any material diminution in the aggregate employee benefits, in each case, afforded to the Executive immediately prior to the Change of Control, but not including any such decrease or diminution that is inadvertent and that is cured within 30 days following written notice of such decrease or diminution by Executive to the Company;</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any diminution in Executive’s title or reporting relationship, or substantial diminution in duties or responsibilities (other than solely as a result of a Change of Control in which the Company immediately thereafter is no longer publicly held); or</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any relocation of Executive’s principal place of business of 35 miles or more, other than normal travel consistent with past practice.</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Executive shall have twelve months from the time Executive first becomes aware of the existence of Good Reason to resign for Good Reason.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must provide notice to the Company of the existence of the condition described above within a period not to exceed 90 days of the initial existence of the condition,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notice of which the Company shall have a period of 30 days during which it may remedy the condition and not be required to pay the amount.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10.</w:t>
      </w:r>
      <w:r>
        <w:rPr>
          <w:color w:val="000000"/>
        </w:rPr>
        <w:t>“</w:t>
      </w:r>
      <w:r>
        <w:rPr>
          <w:rFonts w:ascii="Times New Roman;sans-serif" w:hAnsi="Times New Roman;sans-serif"/>
          <w:b w:val="false"/>
          <w:color w:val="000000"/>
          <w:sz w:val="24"/>
          <w:u w:val="single"/>
        </w:rPr>
        <w:t>Permanent Disability</w:t>
      </w:r>
      <w:r>
        <w:rPr>
          <w:color w:val="000000"/>
        </w:rPr>
        <w:t xml:space="preserve">” </w:t>
      </w:r>
      <w:r>
        <w:rPr>
          <w:rFonts w:ascii="Times New Roman;sans-serif" w:hAnsi="Times New Roman;sans-serif"/>
          <w:b w:val="false"/>
          <w:color w:val="000000"/>
          <w:sz w:val="24"/>
        </w:rPr>
        <w:t>means “permanent disability” as defined in the Company’s long-term disability plan as in effect from time to time, or if there shall be no plan, the inability of Executive to perform in all material respects Executive’s duties and responsibilities to the Company or any affiliate for a period of six (6) consecutive months or for an aggregate of nine (9) months in any twenty-four (24) consecutive month period by reason of a physical or mental incapacity.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11.</w:t>
      </w:r>
      <w:r>
        <w:rPr>
          <w:color w:val="000000"/>
        </w:rPr>
        <w:t>“</w:t>
      </w:r>
      <w:r>
        <w:rPr>
          <w:rFonts w:ascii="Times New Roman;sans-serif" w:hAnsi="Times New Roman;sans-serif"/>
          <w:b w:val="false"/>
          <w:color w:val="000000"/>
          <w:sz w:val="24"/>
        </w:rPr>
        <w:t>Stock Incentive Plan” means the Aramark Amended and Restated 2013 Stock Incentive Plan, as in effect on the date of this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12.</w:t>
      </w:r>
      <w:r>
        <w:rPr>
          <w:color w:val="000000"/>
        </w:rPr>
        <w:t>“</w:t>
      </w:r>
      <w:r>
        <w:rPr>
          <w:rFonts w:ascii="Times New Roman;sans-serif" w:hAnsi="Times New Roman;sans-serif"/>
          <w:b w:val="false"/>
          <w:color w:val="000000"/>
          <w:sz w:val="24"/>
          <w:u w:val="single"/>
        </w:rPr>
        <w:t>Target Bonus</w:t>
      </w:r>
      <w:r>
        <w:rPr>
          <w:color w:val="000000"/>
        </w:rPr>
        <w:t xml:space="preserve">” </w:t>
      </w:r>
      <w:r>
        <w:rPr>
          <w:rFonts w:ascii="Times New Roman;sans-serif" w:hAnsi="Times New Roman;sans-serif"/>
          <w:b w:val="false"/>
          <w:color w:val="000000"/>
          <w:sz w:val="24"/>
        </w:rPr>
        <w:t>means the target Bonus established for Executive in respect of any given year, whether expressed as a percentage of Base Salary or a dollar amount.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10.94</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FY24 ELT Stock Option Grant Agreement (2023 Plan)</w:t>
      </w:r>
    </w:p>
    <w:p>
      <w:pPr>
        <w:pStyle w:val="TextBody"/>
        <w:bidi w:val="0"/>
        <w:spacing w:lineRule="auto" w:line="240" w:before="79" w:after="283"/>
        <w:jc w:val="left"/>
        <w:rPr/>
      </w:pPr>
      <w:r>
        <w:rPr>
          <w:rFonts w:ascii="Times New Roman;sans-serif" w:hAnsi="Times New Roman;sans-serif"/>
          <w:b/>
          <w:color w:val="000000"/>
          <w:sz w:val="24"/>
        </w:rPr>
        <w:t xml:space="preserve">FORM OF NON-QUALIFIED STOCK OPTION AWARD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dated as</w:t>
      </w:r>
    </w:p>
    <w:p>
      <w:pPr>
        <w:pStyle w:val="TextBody"/>
        <w:bidi w:val="0"/>
        <w:spacing w:lineRule="auto" w:line="240" w:before="0" w:after="0"/>
        <w:jc w:val="left"/>
        <w:rPr/>
      </w:pPr>
      <w:r>
        <w:rPr>
          <w:rFonts w:ascii="Times New Roman;sans-serif" w:hAnsi="Times New Roman;sans-serif"/>
          <w:b w:val="false"/>
          <w:color w:val="000000"/>
          <w:sz w:val="24"/>
        </w:rPr>
        <w:t>of the Date of Grant set forth on the Certificate of Grant to which this Award is attached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xml:space="preserve">) between Aramark (formerly known as </w:t>
      </w:r>
      <w:r>
        <w:rPr>
          <w:rFonts w:ascii="Times New Roman;sans-serif" w:hAnsi="Times New Roman;sans-serif"/>
          <w:b/>
          <w:color w:val="000000"/>
          <w:sz w:val="24"/>
        </w:rPr>
        <w:t>ARAMARK HOLDINGS CORPORATION)</w:t>
      </w:r>
      <w:r>
        <w:rPr>
          <w:rFonts w:ascii="Times New Roman;sans-serif" w:hAnsi="Times New Roman;sans-serif"/>
          <w:b w:val="false"/>
          <w:color w:val="000000"/>
          <w:sz w:val="24"/>
        </w:rPr>
        <w:t>,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the Participant set forth on the Certificate of Grant of the Options attached to this Award and made a part hereof (the “</w:t>
      </w:r>
      <w:r>
        <w:rPr>
          <w:rFonts w:ascii="Times New Roman;sans-serif" w:hAnsi="Times New Roman;sans-serif"/>
          <w:b w:val="false"/>
          <w:color w:val="000000"/>
          <w:sz w:val="24"/>
          <w:u w:val="single"/>
        </w:rPr>
        <w:t>Certificate of Grant</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WHEREAS, the Company, acting through the Committee (as such term is defined in the Plan) or a subcommittee thereof, has agreed to grant to the Participant, as of the Grant Date, an option under the Company 2023 Stock Incentive Plan (as may be amended,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to purchase a number of shares of Common Stock on the terms and subject to the conditions set forth in this Award, the Certificate of Grant and the Plan.</w:t>
      </w:r>
    </w:p>
    <w:p>
      <w:pPr>
        <w:pStyle w:val="TextBody"/>
        <w:bidi w:val="0"/>
        <w:spacing w:before="10"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promises and agreements contained in this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Award: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The Plan</w:t>
      </w:r>
      <w:r>
        <w:rPr>
          <w:rFonts w:ascii="Times New Roman;sans-serif" w:hAnsi="Times New Roman;sans-serif"/>
          <w:b w:val="false"/>
          <w:color w:val="000000"/>
          <w:sz w:val="24"/>
        </w:rPr>
        <w:t>. The terms and provisions of the Plan are hereby incorporated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into this Award as if set forth herein in their entirety. In 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pStyle w:val="TextBody"/>
        <w:bidi w:val="0"/>
        <w:spacing w:before="1" w:after="283"/>
        <w:jc w:val="left"/>
        <w:rPr/>
      </w:pPr>
      <w:r>
        <w:rPr/>
      </w:r>
    </w:p>
    <w:p>
      <w:pPr>
        <w:pStyle w:val="TextBody"/>
        <w:bidi w:val="0"/>
        <w:spacing w:lineRule="auto" w:line="240" w:before="90" w:after="283"/>
        <w:ind w:left="0" w:right="0" w:firstLine="719"/>
        <w:jc w:val="left"/>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Option Award; Exercise Price; Exercise of Vested Option</w:t>
      </w:r>
      <w:r>
        <w:rPr>
          <w:rFonts w:ascii="Times New Roman;sans-serif" w:hAnsi="Times New Roman;sans-serif"/>
          <w:b w:val="false"/>
          <w:color w:val="000000"/>
          <w:sz w:val="24"/>
        </w:rPr>
        <w:t>. Effective on the Grant Date, on the terms and subject to the conditions of the Plan and this Award, the Company hereby grants to the Participant the option to purchase the number of Shares set forth on the Certificate of Grant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the Option (the “</w:t>
      </w:r>
      <w:r>
        <w:rPr>
          <w:rFonts w:ascii="Times New Roman;sans-serif" w:hAnsi="Times New Roman;sans-serif"/>
          <w:b w:val="false"/>
          <w:color w:val="000000"/>
          <w:sz w:val="24"/>
          <w:u w:val="single"/>
        </w:rPr>
        <w:t>Option Term</w:t>
      </w:r>
      <w:r>
        <w:rPr>
          <w:color w:val="000000"/>
        </w:rPr>
        <w:t>”</w:t>
      </w:r>
      <w:r>
        <w:rPr>
          <w:rFonts w:ascii="Times New Roman;sans-serif" w:hAnsi="Times New Roman;sans-serif"/>
          <w:b w:val="false"/>
          <w:color w:val="000000"/>
          <w:sz w:val="24"/>
        </w:rPr>
        <w:t>) shall commence on the Grant Date and expire on the Expiration Date set forth on the Certificate of Grant, unless the Option shall have sooner been terminated in accordance with the terms of the Plan (including, without limitation, Section 13 of the Plan) or this Award.</w:t>
      </w:r>
    </w:p>
    <w:p>
      <w:pPr>
        <w:pStyle w:val="TextBody"/>
        <w:bidi w:val="0"/>
        <w:spacing w:before="10" w:after="283"/>
        <w:jc w:val="left"/>
        <w:rPr/>
      </w:pPr>
      <w:r>
        <w:rPr/>
      </w:r>
    </w:p>
    <w:p>
      <w:pPr>
        <w:pStyle w:val="TextBody"/>
        <w:bidi w:val="0"/>
        <w:spacing w:lineRule="auto" w:line="240" w:before="1" w:after="283"/>
        <w:ind w:left="0" w:right="0" w:firstLine="719"/>
        <w:jc w:val="left"/>
        <w:rPr/>
      </w:pPr>
      <w:r>
        <w:rPr>
          <w:rFonts w:ascii="Times New Roman;sans-serif" w:hAnsi="Times New Roman;sans-serif"/>
          <w:b w:val="false"/>
          <w:color w:val="000000"/>
          <w:sz w:val="24"/>
        </w:rPr>
        <w:t>Section 4.    </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Subject to the Participant’s not having a Termination of Relationship and except as otherwise set forth in Section 7 hereof, the Options shall become non- forfeitable and exercisable (any Options that shall have become non-forfeitable and exercisable pursuant to this Section 4, the “</w:t>
      </w:r>
      <w:r>
        <w:rPr>
          <w:rFonts w:ascii="Times New Roman;sans-serif" w:hAnsi="Times New Roman;sans-serif"/>
          <w:b w:val="false"/>
          <w:color w:val="000000"/>
          <w:sz w:val="24"/>
          <w:u w:val="single"/>
        </w:rPr>
        <w:t>Vested Options</w:t>
      </w:r>
      <w:r>
        <w:rPr>
          <w:color w:val="000000"/>
        </w:rPr>
        <w:t>”</w:t>
      </w:r>
      <w:r>
        <w:rPr>
          <w:rFonts w:ascii="Times New Roman;sans-serif" w:hAnsi="Times New Roman;sans-serif"/>
          <w:b w:val="false"/>
          <w:color w:val="000000"/>
          <w:sz w:val="24"/>
        </w:rPr>
        <w:t>) as follows:</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(a)in such percentages as on such dates as set forth on the Certificate of Grant of this Award under “</w:t>
      </w:r>
      <w:r>
        <w:rPr>
          <w:rFonts w:ascii="Times New Roman;sans-serif" w:hAnsi="Times New Roman;sans-serif"/>
          <w:b w:val="false"/>
          <w:color w:val="000000"/>
          <w:sz w:val="24"/>
          <w:u w:val="single"/>
        </w:rPr>
        <w:t>Vesting Schedule</w:t>
      </w:r>
      <w:r>
        <w:rPr>
          <w:color w:val="000000"/>
        </w:rPr>
        <w:t>”</w:t>
      </w:r>
      <w:r>
        <w:rPr>
          <w:rFonts w:ascii="Times New Roman;sans-serif" w:hAnsi="Times New Roman;sans-serif"/>
          <w:b w:val="false"/>
          <w:color w:val="000000"/>
          <w:sz w:val="24"/>
        </w:rPr>
        <w:t>; or</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(b)in the event of a Termination of Relationship as a result of the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Participant’s death, Disability, or Retirement (other than a “Retirement with Notice” as defined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below) (each, a “</w:t>
      </w:r>
      <w:r>
        <w:rPr>
          <w:rFonts w:ascii="Times New Roman;sans-serif" w:hAnsi="Times New Roman;sans-serif"/>
          <w:b w:val="false"/>
          <w:color w:val="000000"/>
          <w:sz w:val="22"/>
          <w:u w:val="single"/>
        </w:rPr>
        <w:t>Special Termination</w:t>
      </w:r>
      <w:r>
        <w:rPr>
          <w:color w:val="000000"/>
        </w:rPr>
        <w:t>”</w:t>
      </w:r>
      <w:r>
        <w:rPr>
          <w:rFonts w:ascii="Times New Roman;sans-serif" w:hAnsi="Times New Roman;sans-serif"/>
          <w:b w:val="false"/>
          <w:color w:val="000000"/>
          <w:sz w:val="22"/>
        </w:rPr>
        <w:t xml:space="preserve">), the installment of Options scheduled to vest on the next Vesting Date immediately following such Special Termination shall immediately become Vested Options, and the remaining Options which are not then Vested Options shall be forfeited. </w:t>
      </w:r>
      <w:r>
        <w:rPr>
          <w:rFonts w:ascii="Times New Roman;sans-serif" w:hAnsi="Times New Roman;sans-serif"/>
          <w:b w:val="false"/>
          <w:color w:val="000000"/>
          <w:sz w:val="24"/>
        </w:rPr>
        <w:t>For purposes of this Award, “Retirement” shall mean with respect to a Participant, the retirement of such Participant upon or after achieving age 60 and five (5) years of employment with the Company, any of its Affiliates, and/or any of their respective predecessors and giving 30 days’ written notice of retirement to the Company; provided that such notice may be waived by the Chief Executive Officer or the Senior Vice President and Chief Human Resources Officer;</w:t>
      </w:r>
    </w:p>
    <w:p>
      <w:pPr>
        <w:pStyle w:val="TextBody"/>
        <w:bidi w:val="0"/>
        <w:spacing w:before="79"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(c)upon a Termination of Relationship as a result of the Participant’s Retirement with Notice, the installment of Options scheduled to vest on the next two Vesting Dates (or one Vesting Date if there is only one remaining Vesting Date) following such Retirement with Notice shall remain outstanding and become Vested Options on such future Vesting Date(s), and the remaining Options which are not then Vested Options shall be forfeited;</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(d)in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pStyle w:val="TextBody"/>
        <w:bidi w:val="0"/>
        <w:spacing w:before="0" w:after="0"/>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(e)except as otherwise provided above with respect to a Special Termination or Retirement with Notice, upon a Termination of Relationship for any reason, the unvested portion of the Option (i.e. that portion which does not constitute Vested Options) shall terminate and cease to be outstanding on the date the Termination of Relationship occurs and shall no longer be eligible to become Vested Options.</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used herein, the term “Retirement with Notice” means Participant’s retirement from Aramark and its Affiliates after providing Aramark with at least twelve (12) months’ prior written notice of such intended retirement (and with such notice having been delivered upon or after the</w:t>
      </w:r>
    </w:p>
    <w:p>
      <w:pPr>
        <w:pStyle w:val="TextBody"/>
        <w:bidi w:val="0"/>
        <w:spacing w:lineRule="auto" w:line="240" w:before="0" w:after="0"/>
        <w:jc w:val="left"/>
        <w:rPr/>
      </w:pPr>
      <w:r>
        <w:rPr>
          <w:rFonts w:ascii="Times New Roman;sans-serif" w:hAnsi="Times New Roman;sans-serif"/>
          <w:b w:val="false"/>
          <w:color w:val="000000"/>
          <w:sz w:val="24"/>
        </w:rPr>
        <w:t xml:space="preserve">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pStyle w:val="TextBody"/>
        <w:bidi w:val="0"/>
        <w:spacing w:before="0" w:after="0"/>
        <w:jc w:val="left"/>
        <w:rPr/>
      </w:pPr>
      <w:r>
        <w:rPr/>
      </w:r>
    </w:p>
    <w:p>
      <w:pPr>
        <w:pStyle w:val="TextBody"/>
        <w:bidi w:val="0"/>
        <w:spacing w:lineRule="auto" w:line="240"/>
        <w:ind w:left="0" w:right="0" w:firstLine="719"/>
        <w:jc w:val="left"/>
        <w:rPr/>
      </w:pPr>
      <w:r>
        <w:rPr>
          <w:rFonts w:ascii="Times New Roman;sans-serif" w:hAnsi="Times New Roman;sans-serif"/>
          <w:b w:val="false"/>
          <w:color w:val="000000"/>
          <w:sz w:val="24"/>
        </w:rPr>
        <w:t>Section 5.    </w:t>
      </w:r>
      <w:r>
        <w:rPr>
          <w:rFonts w:ascii="Times New Roman;sans-serif" w:hAnsi="Times New Roman;sans-serif"/>
          <w:b w:val="false"/>
          <w:color w:val="000000"/>
          <w:sz w:val="24"/>
          <w:u w:val="single"/>
        </w:rPr>
        <w:t>Restriction on Transfer</w:t>
      </w:r>
      <w:r>
        <w:rPr>
          <w:rFonts w:ascii="Times New Roman;sans-serif" w:hAnsi="Times New Roman;sans-serif"/>
          <w:b w:val="false"/>
          <w:color w:val="000000"/>
          <w:sz w:val="24"/>
        </w:rPr>
        <w:t xml:space="preserve">. The Option may not be transferred, pledged, assigned, hypothecated or otherwise disposed of in any way by the Participant, except (i) if permitted by the Board or the Committee, (ii) by will or the laws of descent and distribution or pursuant to beneficiary designation procedures approved by the Company, in each case, incompliance with applicable laws. The Option shall not be subject to execution, attachment or similar process. Any attempted assignment, transfer, pledge, hypothecation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9700"/>
                <wp:effectExtent l="0" t="0" r="0" b="0"/>
                <wp:wrapNone/>
                <wp:docPr id="144" name="Frame14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disposition of the Option contrary to the provisions of this Award or the Plan shall be null and void and without effect.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6.    </w:t>
      </w:r>
      <w:r>
        <w:rPr>
          <w:color w:val="000000"/>
          <w:u w:val="single"/>
        </w:rPr>
        <w:t xml:space="preserve"> </w:t>
      </w:r>
      <w:r>
        <w:rPr>
          <w:rFonts w:ascii="Times New Roman;sans-serif" w:hAnsi="Times New Roman;sans-serif"/>
          <w:b w:val="false"/>
          <w:color w:val="000000"/>
          <w:sz w:val="24"/>
          <w:u w:val="single"/>
        </w:rPr>
        <w:t>Participant’s Employment</w:t>
      </w:r>
      <w:r>
        <w:rPr>
          <w:rFonts w:ascii="Times New Roman;sans-serif" w:hAnsi="Times New Roman;sans-serif"/>
          <w:b w:val="false"/>
          <w:color w:val="000000"/>
          <w:sz w:val="24"/>
        </w:rPr>
        <w:t>. Nothing in this Award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7.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The Option shall automatically terminate and shall become null and void, be unexercisable and be of no further force and effect upon the earliest of:</w:t>
      </w:r>
    </w:p>
    <w:p>
      <w:pPr>
        <w:pStyle w:val="TextBody"/>
        <w:bidi w:val="0"/>
        <w:spacing w:before="11"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(a)the Expiration Date;</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(b)in the case of a Termination of Relationship due to a Special Termination, with respect to any Options that are vested as of the Termination of Relationship, the first anniversary of the Termination of Relationship;</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(c)in the case of a Retirement with Notice, with respect to any Options that are or become vested upon or following the Termination of Relationship, the third anniversary of the Termination of Relationship;</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(d)in the case of a Termination of Relationship other than (x) for Cause or (y) due to a Special Termination or Retirement with Notice, the 90th day following the Termination of Relationship; and</w:t>
      </w:r>
    </w:p>
    <w:p>
      <w:pPr>
        <w:pStyle w:val="TextBody"/>
        <w:bidi w:val="0"/>
        <w:spacing w:before="11"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(e)the day of the Termination of Relationship in the case of a Termination of Relationship for Cause.</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8.    </w:t>
      </w:r>
      <w:r>
        <w:rPr>
          <w:rFonts w:ascii="Times New Roman;sans-serif" w:hAnsi="Times New Roman;sans-serif"/>
          <w:b/>
          <w:color w:val="000000"/>
          <w:sz w:val="24"/>
          <w:u w:val="single"/>
        </w:rPr>
        <w:t>Data Protection</w:t>
      </w:r>
      <w:r>
        <w:rPr>
          <w:rFonts w:ascii="Times New Roman;sans-serif" w:hAnsi="Times New Roman;sans-serif"/>
          <w:b/>
          <w:color w:val="000000"/>
          <w:sz w:val="24"/>
        </w:rPr>
        <w:t xml:space="preserve">. By accepting this Award, the Participant understands that the processing (including international transfer) of personal data will take place as set out in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rPr>
        <w:t>attached hereto for the purposes specified therein and if required by applicable law, rule or regulation</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9.    </w:t>
      </w:r>
      <w:r>
        <w:rPr>
          <w:rFonts w:ascii="Times New Roman;sans-serif" w:hAnsi="Times New Roman;sans-serif"/>
          <w:b w:val="false"/>
          <w:color w:val="000000"/>
          <w:sz w:val="24"/>
          <w:u w:val="single"/>
        </w:rPr>
        <w:t>No Rights as Stockholder</w:t>
      </w:r>
      <w:r>
        <w:rPr>
          <w:rFonts w:ascii="Times New Roman;sans-serif" w:hAnsi="Times New Roman;sans-serif"/>
          <w:b w:val="false"/>
          <w:color w:val="000000"/>
          <w:sz w:val="24"/>
        </w:rPr>
        <w:t>. The Participant shall not have any rights of a stockholder of the Company until shares of Common 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pStyle w:val="TextBody"/>
        <w:bidi w:val="0"/>
        <w:spacing w:before="11" w:after="283"/>
        <w:jc w:val="left"/>
        <w:rPr/>
      </w:pPr>
      <w:r>
        <w:rPr/>
      </w:r>
    </w:p>
    <w:p>
      <w:pPr>
        <w:pStyle w:val="TextBody"/>
        <w:bidi w:val="0"/>
        <w:spacing w:lineRule="auto" w:line="240" w:before="79" w:after="283"/>
        <w:ind w:left="0" w:right="0" w:firstLine="720"/>
        <w:jc w:val="left"/>
        <w:rPr/>
      </w:pPr>
      <w:r>
        <w:rPr>
          <w:rFonts w:ascii="Times New Roman;sans-serif" w:hAnsi="Times New Roman;sans-serif"/>
          <w:b w:val="false"/>
          <w:color w:val="000000"/>
          <w:sz w:val="24"/>
        </w:rPr>
        <w:t>Section 10.    </w:t>
      </w:r>
      <w:r>
        <w:rPr>
          <w:rFonts w:ascii="Times New Roman;sans-serif" w:hAnsi="Times New Roman;sans-serif"/>
          <w:b/>
          <w:color w:val="000000"/>
          <w:sz w:val="24"/>
          <w:u w:val="single"/>
        </w:rPr>
        <w:t>No Acquired Rights</w:t>
      </w:r>
      <w:r>
        <w:rPr>
          <w:rFonts w:ascii="Times New Roman;sans-serif" w:hAnsi="Times New Roman;sans-serif"/>
          <w:b w:val="false"/>
          <w:color w:val="000000"/>
          <w:sz w:val="24"/>
        </w:rPr>
        <w:t>. The Committee or the Board has the power to amend or terminate the Plan at any time 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pStyle w:val="TextBody"/>
        <w:bidi w:val="0"/>
        <w:spacing w:before="10" w:after="283"/>
        <w:jc w:val="left"/>
        <w:rPr/>
      </w:pPr>
      <w:r>
        <w:rPr/>
      </w:r>
    </w:p>
    <w:p>
      <w:pPr>
        <w:pStyle w:val="TextBody"/>
        <w:bidi w:val="0"/>
        <w:spacing w:lineRule="auto" w:line="240"/>
        <w:ind w:left="0" w:right="0" w:firstLine="719"/>
        <w:jc w:val="left"/>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claims, certifications, requests, demands and other communications hereunder shall be in writing and shall be deemed to have been duly given and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9700"/>
                <wp:effectExtent l="0" t="0" r="0" b="0"/>
                <wp:wrapNone/>
                <wp:docPr id="145" name="Frame14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delivered if personally delivered or if sent by nationally-recognized overnight courier, by telecopy, email or by registered or certified mail, return receipt requested and postage prepaid, addressed as follows:</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 it at:</w:t>
      </w:r>
    </w:p>
    <w:p>
      <w:pPr>
        <w:pStyle w:val="TextBody"/>
        <w:bidi w:val="0"/>
        <w:spacing w:lineRule="auto" w:line="592" w:before="6" w:after="283"/>
        <w:ind w:left="0" w:right="0" w:hanging="100"/>
        <w:jc w:val="left"/>
        <w:rPr>
          <w:rFonts w:ascii="Times New Roman;sans-serif" w:hAnsi="Times New Roman;sans-serif"/>
          <w:b w:val="false"/>
          <w:color w:val="000000"/>
          <w:sz w:val="24"/>
        </w:rPr>
      </w:pPr>
      <w:r>
        <w:rPr>
          <w:rFonts w:ascii="Times New Roman;sans-serif" w:hAnsi="Times New Roman;sans-serif"/>
          <w:b w:val="false"/>
          <w:color w:val="000000"/>
          <w:sz w:val="24"/>
        </w:rPr>
        <w:t>Aramark</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2400 Market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Philadelphia, PA 19103 Attention: General Counsel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before="11"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 xml:space="preserve">Section 12. </w:t>
      </w:r>
      <w:r>
        <w:rPr>
          <w:rFonts w:ascii="Times New Roman;sans-serif" w:hAnsi="Times New Roman;sans-serif"/>
          <w:b w:val="false"/>
          <w:color w:val="000000"/>
          <w:sz w:val="24"/>
          <w:u w:val="single"/>
        </w:rPr>
        <w:t>Waiver of Breach</w:t>
      </w:r>
      <w:r>
        <w:rPr>
          <w:rFonts w:ascii="Times New Roman;sans-serif" w:hAnsi="Times New Roman;sans-serif"/>
          <w:b w:val="false"/>
          <w:color w:val="000000"/>
          <w:sz w:val="24"/>
        </w:rPr>
        <w:t>. The waiver by either party of a breach of any provision of this Award must be in writing and shall not operate or be construed as a waiver of any other or subsequent breach.</w:t>
      </w:r>
    </w:p>
    <w:p>
      <w:pPr>
        <w:pStyle w:val="TextBody"/>
        <w:bidi w:val="0"/>
        <w:spacing w:before="10" w:after="283"/>
        <w:jc w:val="left"/>
        <w:rPr/>
      </w:pPr>
      <w:r>
        <w:rPr/>
      </w:r>
    </w:p>
    <w:p>
      <w:pPr>
        <w:pStyle w:val="TextBody"/>
        <w:bidi w:val="0"/>
        <w:spacing w:lineRule="auto" w:line="240" w:before="79" w:after="283"/>
        <w:ind w:left="0" w:right="0" w:firstLine="719"/>
        <w:jc w:val="left"/>
        <w:rPr/>
      </w:pPr>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pStyle w:val="TextBody"/>
        <w:bidi w:val="0"/>
        <w:spacing w:lineRule="auto" w:line="240" w:before="79" w:after="283"/>
        <w:ind w:left="0" w:right="0" w:firstLine="719"/>
        <w:jc w:val="left"/>
        <w:rPr/>
      </w:pPr>
      <w:r>
        <w:rPr>
          <w:rFonts w:ascii="Times New Roman;sans-serif" w:hAnsi="Times New Roman;sans-serif"/>
          <w:b w:val="false"/>
          <w:color w:val="000000"/>
          <w:sz w:val="24"/>
        </w:rPr>
        <w:t>Section 14.    </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As a condition to exercising this Option in whole or in part, the Participant will pay, or make provisions satisfactory to the Company for payment of, any Federal, state, local and other applicable taxes required to be withheld in connection with such exercise in a manner that is set forth in Section 7(d) of the Plan.</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 xml:space="preserve">Section 15. </w:t>
      </w:r>
      <w:r>
        <w:rPr>
          <w:rFonts w:ascii="Times New Roman;sans-serif" w:hAnsi="Times New Roman;sans-serif"/>
          <w:b w:val="false"/>
          <w:color w:val="000000"/>
          <w:sz w:val="24"/>
          <w:u w:val="single"/>
        </w:rPr>
        <w:t>Adjustment to Option</w:t>
      </w:r>
      <w:r>
        <w:rPr>
          <w:rFonts w:ascii="Times New Roman;sans-serif" w:hAnsi="Times New Roman;sans-serif"/>
          <w:b w:val="false"/>
          <w:color w:val="000000"/>
          <w:sz w:val="24"/>
        </w:rPr>
        <w:t>. In the event of any event described in Section 12 of the Plan occurring after the Grant Date, the adjustment provisions (including cash payments) as provided for under Section 12 of the Plan shall apply.</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16.    </w:t>
      </w:r>
      <w:r>
        <w:rPr>
          <w:rFonts w:ascii="Times New Roman;sans-serif" w:hAnsi="Times New Roman;sans-serif"/>
          <w:b w:val="false"/>
          <w:color w:val="000000"/>
          <w:sz w:val="24"/>
          <w:u w:val="single"/>
        </w:rPr>
        <w:t>Section 409A of the Code</w:t>
      </w:r>
      <w:r>
        <w:rPr>
          <w:rFonts w:ascii="Times New Roman;sans-serif" w:hAnsi="Times New Roman;sans-serif"/>
          <w:b w:val="false"/>
          <w:color w:val="000000"/>
          <w:sz w:val="24"/>
        </w:rPr>
        <w:t>. This Option is intended to constitute a “stock right” within the meaning of Section 409A of the Code, and shall otherwise be subject to the provisions of Section 15(u) of the Plan.</w:t>
      </w:r>
    </w:p>
    <w:p>
      <w:pPr>
        <w:pStyle w:val="TextBody"/>
        <w:bidi w:val="0"/>
        <w:spacing w:before="10" w:after="283"/>
        <w:jc w:val="left"/>
        <w:rPr/>
      </w:pPr>
      <w:r>
        <w:rPr/>
      </w:r>
    </w:p>
    <w:p>
      <w:pPr>
        <w:pStyle w:val="TextBody"/>
        <w:bidi w:val="0"/>
        <w:spacing w:lineRule="auto" w:line="240" w:before="1" w:after="283"/>
        <w:ind w:left="0" w:right="0" w:firstLine="719"/>
        <w:jc w:val="left"/>
        <w:rPr/>
      </w:pPr>
      <w:r>
        <w:rPr>
          <w:rFonts w:ascii="Times New Roman;sans-serif" w:hAnsi="Times New Roman;sans-serif"/>
          <w:b w:val="false"/>
          <w:color w:val="000000"/>
          <w:sz w:val="24"/>
        </w:rPr>
        <w:t>Section 17.    </w:t>
      </w:r>
      <w:r>
        <w:rPr>
          <w:rFonts w:ascii="Times New Roman;sans-serif" w:hAnsi="Times New Roman;sans-serif"/>
          <w:b w:val="false"/>
          <w:color w:val="000000"/>
          <w:sz w:val="24"/>
          <w:u w:val="single"/>
        </w:rPr>
        <w:t>Modification of Rights; Entire Agreement</w:t>
      </w:r>
      <w:r>
        <w:rPr>
          <w:rFonts w:ascii="Times New Roman;sans-serif" w:hAnsi="Times New Roman;sans-serif"/>
          <w:b w:val="false"/>
          <w:color w:val="000000"/>
          <w:sz w:val="24"/>
        </w:rPr>
        <w:t xml:space="preserve">. The Participant’s rights under this Award, the Certificate of Grant and the Plan may 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9700"/>
                <wp:effectExtent l="0" t="0" r="0" b="0"/>
                <wp:wrapNone/>
                <wp:docPr id="146" name="Frame14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Award, the Certificate of Grant and the Plan do not supersede any "Restrictive Covenant Agreement" (as defined below) or employment agreement between the Participant and the Company or its Affiliates.</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18.    </w:t>
      </w:r>
      <w:r>
        <w:rPr>
          <w:rFonts w:ascii="Times New Roman;sans-serif" w:hAnsi="Times New Roman;sans-serif"/>
          <w:b w:val="false"/>
          <w:color w:val="000000"/>
          <w:sz w:val="24"/>
          <w:u w:val="single"/>
        </w:rPr>
        <w:t>Clawback upon Breach of Restrictive Covenants</w:t>
      </w:r>
      <w:r>
        <w:rPr>
          <w:rFonts w:ascii="Times New Roman;sans-serif" w:hAnsi="Times New Roman;sans-serif"/>
          <w:b w:val="false"/>
          <w:color w:val="000000"/>
          <w:sz w:val="24"/>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pStyle w:val="TextBody"/>
        <w:bidi w:val="0"/>
        <w:spacing w:before="0" w:after="0"/>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19.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w:t>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before="10" w:after="283"/>
        <w:jc w:val="left"/>
        <w:rPr/>
      </w:pPr>
      <w:r>
        <w:rPr/>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[(Per Certificate of Grant)] Date:    [Acceptance Date]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[Note: Grant will be accepted electronically.]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5"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9700"/>
                <wp:effectExtent l="0" t="0" r="0" b="0"/>
                <wp:wrapNone/>
                <wp:docPr id="147" name="Frame14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2"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DATA PRIVACY NOTICE</w:t>
      </w:r>
    </w:p>
    <w:p>
      <w:pPr>
        <w:pStyle w:val="TextBody"/>
        <w:bidi w:val="0"/>
        <w:spacing w:before="90" w:after="283"/>
        <w:jc w:val="center"/>
        <w:rPr/>
      </w:pPr>
      <w:r>
        <w:rPr/>
      </w:r>
    </w:p>
    <w:p>
      <w:pPr>
        <w:pStyle w:val="TextBody"/>
        <w:bidi w:val="0"/>
        <w:spacing w:before="10" w:after="283"/>
        <w:jc w:val="both"/>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sans-serif" w:hAnsi="Times New Roman;sans-serif"/>
          <w:b w:val="false"/>
          <w:color w:val="000000"/>
          <w:sz w:val="24"/>
          <w:u w:val="single"/>
        </w:rPr>
        <w:t>Data Privacy Notice</w:t>
      </w:r>
      <w:r>
        <w:rPr>
          <w:color w:val="000000"/>
        </w:rPr>
        <w:t>”</w:t>
      </w:r>
      <w:r>
        <w:rPr>
          <w:rFonts w:ascii="Times New Roman;sans-serif" w:hAnsi="Times New Roman;sans-serif"/>
          <w:b w:val="false"/>
          <w:color w:val="000000"/>
          <w:sz w:val="24"/>
        </w:rPr>
        <w:t xml:space="preserve">). </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These data will include data:</w:t>
      </w:r>
    </w:p>
    <w:p>
      <w:pPr>
        <w:pStyle w:val="TextBody"/>
        <w:bidi w:val="0"/>
        <w:spacing w:before="0" w:after="0"/>
        <w:jc w:val="left"/>
        <w:rPr/>
      </w:pPr>
      <w:r>
        <w:rPr/>
      </w:r>
    </w:p>
    <w:p>
      <w:pPr>
        <w:pStyle w:val="TextBody"/>
        <w:bidi w:val="0"/>
        <w:spacing w:lineRule="auto" w:line="240"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(i)already held in the Participant's records such as the Participant's name and address, ID number, payroll number, length of service and whether the Participant works full-time or part time;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(ii)collected upon the Participant accepting the rights granted under the Plan (if applicable); and</w:t>
      </w:r>
    </w:p>
    <w:p>
      <w:pPr>
        <w:pStyle w:val="TextBody"/>
        <w:bidi w:val="0"/>
        <w:spacing w:before="10" w:after="283"/>
        <w:jc w:val="left"/>
        <w:rPr/>
      </w:pPr>
      <w:r>
        <w:rPr/>
      </w:r>
    </w:p>
    <w:p>
      <w:pPr>
        <w:pStyle w:val="TextBody"/>
        <w:bidi w:val="0"/>
        <w:spacing w:lineRule="auto" w:line="240" w:before="0" w:after="0"/>
        <w:ind w:left="0" w:right="0" w:hanging="541"/>
        <w:jc w:val="left"/>
        <w:rPr>
          <w:rFonts w:ascii="Times New Roman;sans-serif" w:hAnsi="Times New Roman;sans-serif"/>
          <w:b w:val="false"/>
          <w:color w:val="000000"/>
          <w:sz w:val="24"/>
        </w:rPr>
      </w:pPr>
      <w:r>
        <w:rPr>
          <w:rFonts w:ascii="Times New Roman;sans-serif" w:hAnsi="Times New Roman;sans-serif"/>
          <w:b w:val="false"/>
          <w:color w:val="000000"/>
          <w:sz w:val="24"/>
        </w:rPr>
        <w:t>(iii)subsequently collected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pStyle w:val="TextBody"/>
        <w:bidi w:val="0"/>
        <w:spacing w:before="11" w:after="283"/>
        <w:jc w:val="left"/>
        <w:rPr/>
      </w:pPr>
      <w:r>
        <w:rPr/>
      </w:r>
    </w:p>
    <w:p>
      <w:pPr>
        <w:pStyle w:val="TextBody"/>
        <w:bidi w:val="0"/>
        <w:spacing w:before="10" w:after="283"/>
        <w:jc w:val="left"/>
        <w:rPr/>
      </w:pPr>
      <w:r>
        <w:rPr/>
      </w:r>
    </w:p>
    <w:p>
      <w:pPr>
        <w:pStyle w:val="TextBody"/>
        <w:bidi w:val="0"/>
        <w:spacing w:lineRule="auto" w:line="240" w:before="79" w:after="283"/>
        <w:ind w:left="0" w:right="0" w:hanging="630"/>
        <w:jc w:val="left"/>
        <w:rPr/>
      </w:pPr>
      <w:r>
        <w:rPr>
          <w:rFonts w:ascii="Times New Roman;sans-serif" w:hAnsi="Times New Roman;sans-serif"/>
          <w:b w:val="false"/>
          <w:color w:val="000000"/>
          <w:sz w:val="24"/>
        </w:rPr>
        <w:t>(b)Personal data about the Participant as described in paragraph (a) above may be transferred not only within the country in which the Participant is based from time to time or within the European Economic Area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(“EEA”), but also worldwide, to other Affiliates and/or agents and to the following third parties for the purposes described in paragraph (a) above: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(ii)regulators, tax authorities, stock or security exchanges and other supervisory, regulatory, governmental or public bodies as required by law;</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(iii)actual or proposed merger or acquisition partners or proposed assignees of, or those taking or proposing to take security over, the business or assets or stock of the Company or its Affiliates and their agents and contractors;</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(iv)other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European Economic Area is composed of 27 member states of the European Union plus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9700"/>
                <wp:effectExtent l="0" t="0" r="0" b="0"/>
                <wp:wrapNone/>
                <wp:docPr id="148" name="Frame14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(v)the Participant's family members, heirs, legatees and others associated with the Participant in connection with the Plan. </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appropriate measures are in place to ensure an adequate level of protection for your personal data, including technical or contractual measures where necessary.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All national and international transfer of personal data is only done in order to fulfill the obligations and rights of the Company and/or its Affiliates under the Plan.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before="0" w:after="0"/>
        <w:jc w:val="left"/>
        <w:rPr/>
      </w:pPr>
      <w:r>
        <w:rPr/>
      </w:r>
    </w:p>
    <w:p>
      <w:pPr>
        <w:pStyle w:val="TextBody"/>
        <w:bidi w:val="0"/>
        <w:spacing w:lineRule="auto" w:line="240" w:before="0" w:after="0"/>
        <w:ind w:left="0" w:right="0" w:hanging="63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(c)The processing (including transfer) of data described above is essential for the administration and operation of the Plan. Therefore, it is essential that his/her personal data is processed in the manner described above. </w:t>
      </w:r>
    </w:p>
    <w:p>
      <w:pPr>
        <w:pStyle w:val="TextBody"/>
        <w:bidi w:val="0"/>
        <w:spacing w:lineRule="auto" w:line="240" w:before="90" w:after="283"/>
        <w:ind w:left="0" w:right="0" w:hanging="630"/>
        <w:jc w:val="left"/>
        <w:rPr>
          <w:rFonts w:ascii="Times New Roman;sans-serif" w:hAnsi="Times New Roman;sans-serif"/>
          <w:b w:val="false"/>
          <w:color w:val="000000"/>
          <w:sz w:val="24"/>
        </w:rPr>
      </w:pPr>
      <w:r>
        <w:rPr>
          <w:rFonts w:ascii="Times New Roman;sans-serif" w:hAnsi="Times New Roman;sans-serif"/>
          <w:b w:val="false"/>
          <w:color w:val="000000"/>
          <w:sz w:val="24"/>
        </w:rPr>
        <w:t>(d)The Company will only retain personal data for as long as is required to satisfy the purposes as described in paragraph (a) above, except where otherwise provided or required by law (e.g. in connection with pending litigation).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10.95</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9700"/>
                <wp:effectExtent l="0" t="0" r="0" b="0"/>
                <wp:wrapNone/>
                <wp:docPr id="149" name="Frame14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FY24 ELT RSU Grant Agreement (2023 Plan)</w:t>
      </w:r>
    </w:p>
    <w:p>
      <w:pPr>
        <w:pStyle w:val="TextBody"/>
        <w:bidi w:val="0"/>
        <w:spacing w:lineRule="auto" w:line="240" w:before="60" w:after="283"/>
        <w:jc w:val="center"/>
        <w:rPr>
          <w:rFonts w:ascii="Times New Roman;sans-serif" w:hAnsi="Times New Roman;sans-serif"/>
          <w:b/>
          <w:color w:val="000000"/>
          <w:sz w:val="28"/>
        </w:rPr>
      </w:pPr>
      <w:r>
        <w:rPr>
          <w:rFonts w:ascii="Times New Roman;sans-serif" w:hAnsi="Times New Roman;sans-serif"/>
          <w:b/>
          <w:color w:val="000000"/>
          <w:sz w:val="28"/>
        </w:rPr>
        <w:t>Aramark</w:t>
      </w:r>
    </w:p>
    <w:p>
      <w:pPr>
        <w:pStyle w:val="TextBody"/>
        <w:bidi w:val="0"/>
        <w:spacing w:lineRule="auto" w:line="276" w:before="240" w:after="283"/>
        <w:ind w:left="0" w:right="0" w:hanging="2270"/>
        <w:jc w:val="center"/>
        <w:rPr>
          <w:rFonts w:ascii="Times New Roman;sans-serif" w:hAnsi="Times New Roman;sans-serif"/>
          <w:b/>
          <w:color w:val="000000"/>
          <w:sz w:val="28"/>
        </w:rPr>
      </w:pPr>
      <w:r>
        <w:rPr>
          <w:rFonts w:ascii="Times New Roman;sans-serif" w:hAnsi="Times New Roman;sans-serif"/>
          <w:b/>
          <w:color w:val="000000"/>
          <w:sz w:val="28"/>
        </w:rPr>
        <w:t>FORM OF RESTRICTED STOCK UNIT AWARD</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(TIME VESTING)</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RSUs</w:t>
      </w:r>
      <w:r>
        <w:rPr>
          <w:rFonts w:ascii="Times New Roman;sans-serif" w:hAnsi="Times New Roman;sans-serif"/>
          <w:b w:val="false"/>
          <w:color w:val="000000"/>
          <w:sz w:val="24"/>
        </w:rPr>
        <w:t>. The Company hereby grants the number of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set forth on the Certificate of Grant of the Restricted Stock Units attached to this Award and made a part hereof (the “</w:t>
      </w:r>
      <w:r>
        <w:rPr>
          <w:rFonts w:ascii="Times New Roman;sans-serif" w:hAnsi="Times New Roman;sans-serif"/>
          <w:b w:val="false"/>
          <w:color w:val="000000"/>
          <w:sz w:val="24"/>
          <w:u w:val="single"/>
        </w:rPr>
        <w:t>Certificate of Grant</w:t>
      </w:r>
      <w:r>
        <w:rPr>
          <w:color w:val="000000"/>
        </w:rPr>
        <w:t>”</w:t>
      </w:r>
      <w:r>
        <w:rPr>
          <w:rFonts w:ascii="Times New Roman;sans-serif" w:hAnsi="Times New Roman;sans-serif"/>
          <w:b w:val="false"/>
          <w:color w:val="000000"/>
          <w:sz w:val="24"/>
        </w:rPr>
        <w:t>) to the Participant, on the terms and conditions hereinafter set forth. This grant is made pursuant to the terms of the Aramark (formerly known as Aramark Holdings Corporation) 2023 Stock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Times New Roman;sans-serif" w:hAnsi="Times New Roman;sans-serif"/>
          <w:b w:val="false"/>
          <w:color w:val="000000"/>
          <w:sz w:val="24"/>
          <w:u w:val="single"/>
        </w:rPr>
        <w:t>Share</w:t>
      </w:r>
      <w:r>
        <w:rPr>
          <w:color w:val="000000"/>
        </w:rPr>
        <w:t>”</w:t>
      </w:r>
      <w:r>
        <w:rPr>
          <w:rFonts w:ascii="Times New Roman;sans-serif" w:hAnsi="Times New Roman;sans-serif"/>
          <w:b w:val="false"/>
          <w:color w:val="000000"/>
          <w:sz w:val="24"/>
        </w:rPr>
        <w:t>), on the dates specified herein. Capitalized terms not otherwise defined herein shall have the same meanings as in the Plan and the Certificate of Grant.</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Payment of Shares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629"/>
        <w:jc w:val="left"/>
        <w:rPr/>
      </w:pPr>
      <w:r>
        <w:rPr>
          <w:rFonts w:ascii="Times New Roman;sans-serif" w:hAnsi="Times New Roman;sans-serif"/>
          <w:b w:val="false"/>
          <w:color w:val="000000"/>
          <w:sz w:val="24"/>
        </w:rPr>
        <w:t>(a)The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so long as the Participant remains employed with the Company or any of its Affiliates through such Vesting Date, or (y) as otherwise provided in Section 2(b) or (c) below (in whole Shares only with the Participant receiving a cash payment equal to the Fair Market Value of any fractional Share on or about the transfer date).</w:t>
      </w:r>
    </w:p>
    <w:p>
      <w:pPr>
        <w:pStyle w:val="TextBody"/>
        <w:bidi w:val="0"/>
        <w:spacing w:before="10" w:after="283"/>
        <w:jc w:val="left"/>
        <w:rPr/>
      </w:pPr>
      <w:r>
        <w:rPr/>
      </w:r>
    </w:p>
    <w:p>
      <w:pPr>
        <w:pStyle w:val="TextBody"/>
        <w:bidi w:val="0"/>
        <w:spacing w:lineRule="auto" w:line="240" w:before="1" w:after="283"/>
        <w:ind w:left="0" w:right="0" w:hanging="630"/>
        <w:jc w:val="left"/>
        <w:rPr>
          <w:rFonts w:ascii="Times New Roman;sans-serif" w:hAnsi="Times New Roman;sans-serif"/>
          <w:b w:val="false"/>
          <w:color w:val="000000"/>
          <w:sz w:val="24"/>
        </w:rPr>
      </w:pPr>
      <w:r>
        <w:rPr>
          <w:rFonts w:ascii="Times New Roman;sans-serif" w:hAnsi="Times New Roman;sans-serif"/>
          <w:b w:val="false"/>
          <w:color w:val="000000"/>
          <w:sz w:val="24"/>
        </w:rPr>
        <w:t>(b)Notwithstanding Section 2(a) of this Award,</w:t>
      </w:r>
    </w:p>
    <w:p>
      <w:pPr>
        <w:pStyle w:val="TextBody"/>
        <w:bidi w:val="0"/>
        <w:spacing w:before="9"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(i)upon a Participant’s Disability or Termination of Relationship prior to the final Vesting Date as a result of the Participant’s death (each, a “</w:t>
      </w:r>
      <w:r>
        <w:rPr>
          <w:rFonts w:ascii="Times New Roman;sans-serif" w:hAnsi="Times New Roman;sans-serif"/>
          <w:b w:val="false"/>
          <w:color w:val="000000"/>
          <w:sz w:val="24"/>
          <w:u w:val="single"/>
        </w:rPr>
        <w:t>Special Termination</w:t>
      </w:r>
      <w:r>
        <w:rPr>
          <w:color w:val="000000"/>
        </w:rPr>
        <w:t>”</w:t>
      </w:r>
      <w:r>
        <w:rPr>
          <w:rFonts w:ascii="Times New Roman;sans-serif" w:hAnsi="Times New Roman;sans-serif"/>
          <w:b w:val="false"/>
          <w:color w:val="000000"/>
          <w:sz w:val="24"/>
        </w:rPr>
        <w:t>), the installment of RSUs scheduled to vest on the next Vesting Date immediately following such Special Termination shall immediately become vested RSUs pursuant to which Shares equal to the number of RSUs scheduled to vest on the next Vesting Date shall be transferred, and the remaining RSUs which are not then vested shall be forfeited;</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(ii)upon a Termination of Relationship prior to the final Vesting Date as a result of the Participant’s Retirement (other than a “Retirement with Notice” as defined below), the installment of RSUs scheduled to vest on the next Vesting Date immediately following such Special Termination shall remain outstanding and become vested RSUs on such next Vesting Date, at which time the Shares equal to the number of vested RSUs shall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9700"/>
                <wp:effectExtent l="0" t="0" r="0" b="0"/>
                <wp:wrapNone/>
                <wp:docPr id="150" name="Frame14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 transferred, and the remaining RSUs which are not then vested shall be forfeited. For purposes of this Award, “Retirement” shall mean with respect to a Participant, the retirement of such Participant upon or after achieving age 60 and five (5) years of employment with the Company, any of its Affiliates, and/or any of their respective predecessors and giving 30 days’ written notice of retirement to the Company; provided that such notice may be waived by the Chief Executive Officer or the Senior Vice President and Chief Human Resources Officer;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(iii)upon a Termination of Relationship prior to the final Vesting Date as a result of the Participant’s Retirement with Notice, the installment of RSUs scheduled to vest on the next two Vesting Dates (or one Vesting Date if there is only one remaining Vesting Date) following such Retirement with Notice shall remain outstanding and become vested RSUs on such future Vesting Date(s), at which time the Shares equal to the number of vested RSUs on such Vesting Date(s) shall be transferred, and the remaining RSUs which do not become vested pursuant to this clause (iii) shall be forfeited; and</w:t>
      </w:r>
    </w:p>
    <w:p>
      <w:pPr>
        <w:pStyle w:val="TextBody"/>
        <w:bidi w:val="0"/>
        <w:spacing w:before="10" w:after="283"/>
        <w:jc w:val="left"/>
        <w:rPr/>
      </w:pPr>
      <w:r>
        <w:rPr/>
      </w:r>
    </w:p>
    <w:p>
      <w:pPr>
        <w:pStyle w:val="TextBody"/>
        <w:bidi w:val="0"/>
        <w:spacing w:lineRule="auto" w:line="240" w:before="1" w:after="283"/>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(iv)upon a Termination of Relationship for any reason other than as set forth in clauses (i), (ii) and (iii) above, all outstanding RSUs shall be forfeited and immediately cancelled.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As used herein, the term “Retirement with Notice” means Participant’s retirement from Aramark and its Affiliates after providing Aramark with at least twelve (12) months’ prior written notice of such intended retirement (and with such notice having been delivered upon or after the Participant’s attainment of age 62) after achieving (consecutively or disregarding breaks in service) at least five (5) full years of employment with Aramark and its Affiliates (and for purposes of this Agreement, the term “Retirement Notice Period” means the period beginning on the date Participant provides written notice to Aramark of his or her Retirement with Notice and ending on the last day of the Retirement Notice Period, as stated in such notice);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In the event the Company involuntarily terminates the Participant without Cause after the Participant delivers the notice described in the preceding sentence, for purposes of this Section 4 and Section 7 below, the Participant shall not be treated as having had a Termination of Relationship prior to the effective date of the Retirement with Notice. All decisions made by the Committee with respect to any calculations pursuant to this Section 4 shall be made in good faith after consultation with senior management and shall be final and binding on the Participant absent manifest error by the Committee.</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provided that the Committee may determine that, in lieu of Shares and/or fractional Shares, the Participant shall receive a cash payment equal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9700"/>
                <wp:effectExtent l="0" t="0" r="0" b="0"/>
                <wp:wrapNone/>
                <wp:docPr id="151" name="Frame1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Fair Market Value of such Shares (or fractional Shares, as the case may be) on the Change of Control</w:t>
      </w:r>
    </w:p>
    <w:p>
      <w:pPr>
        <w:pStyle w:val="TextBody"/>
        <w:bidi w:val="0"/>
        <w:spacing w:before="0" w:after="0"/>
        <w:ind w:left="0" w:right="0" w:hanging="269"/>
        <w:jc w:val="left"/>
        <w:rPr/>
      </w:pPr>
      <w:r>
        <w:rPr/>
      </w:r>
    </w:p>
    <w:p>
      <w:pPr>
        <w:pStyle w:val="TextBody"/>
        <w:bidi w:val="0"/>
        <w:spacing w:lineRule="auto" w:line="240" w:before="0" w:after="0"/>
        <w:ind w:left="0" w:right="0" w:hanging="629"/>
        <w:jc w:val="left"/>
        <w:rPr/>
      </w:pPr>
      <w:r>
        <w:rPr>
          <w:rFonts w:ascii="Times New Roman;sans-serif" w:hAnsi="Times New Roman;sans-serif"/>
          <w:b w:val="false"/>
          <w:color w:val="000000"/>
          <w:sz w:val="22"/>
        </w:rPr>
        <w:t>(c)</w:t>
      </w:r>
      <w:r>
        <w:rPr>
          <w:rFonts w:ascii="Times New Roman;sans-serif" w:hAnsi="Times New Roman;sans-serif"/>
          <w:b w:val="false"/>
          <w:color w:val="000000"/>
          <w:sz w:val="24"/>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Dividends</w:t>
      </w:r>
      <w:r>
        <w:rPr>
          <w:rFonts w:ascii="Times New Roman;sans-serif" w:hAnsi="Times New Roman;sans-serif"/>
          <w:b w:val="false"/>
          <w:color w:val="000000"/>
          <w:sz w:val="24"/>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Adjustments Upon Certain Events</w:t>
      </w:r>
      <w:r>
        <w:rPr>
          <w:rFonts w:ascii="Times New Roman;sans-serif" w:hAnsi="Times New Roman;sans-serif"/>
          <w:b w:val="false"/>
          <w:color w:val="000000"/>
          <w:sz w:val="24"/>
        </w:rPr>
        <w:t>. In the event of any event described in Section 12 of the Plan occurring after the Date of Grant, the adjustment provisions (including cash payments) as provided for under Section 12 of the Plan shall apply.</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Restriction on Transfer</w:t>
      </w:r>
      <w:r>
        <w:rPr>
          <w:rFonts w:ascii="Times New Roman;sans-serif" w:hAnsi="Times New Roman;sans-serif"/>
          <w:b w:val="false"/>
          <w:color w:val="000000"/>
          <w:sz w:val="24"/>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color w:val="000000"/>
          <w:sz w:val="24"/>
        </w:rPr>
        <w:t>6.</w:t>
      </w:r>
      <w:r>
        <w:rPr>
          <w:rFonts w:ascii="Times New Roman;sans-serif" w:hAnsi="Times New Roman;sans-serif"/>
          <w:b/>
          <w:color w:val="000000"/>
          <w:sz w:val="24"/>
          <w:u w:val="single"/>
        </w:rPr>
        <w:t>Data Protection</w:t>
      </w:r>
      <w:r>
        <w:rPr>
          <w:rFonts w:ascii="Times New Roman;sans-serif" w:hAnsi="Times New Roman;sans-serif"/>
          <w:b/>
          <w:color w:val="000000"/>
          <w:sz w:val="24"/>
        </w:rPr>
        <w:t xml:space="preserve">. By accepting this Award, the Participant understands that the processing (including international transfer) of personal data will take place as set out in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rPr>
        <w:t>attached hereto for the purposes specified therein and if required by applicable law, rule or regulation.</w:t>
      </w:r>
    </w:p>
    <w:p>
      <w:pPr>
        <w:pStyle w:val="TextBody"/>
        <w:bidi w:val="0"/>
        <w:spacing w:before="0" w:after="0"/>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Participant’s Employment</w:t>
      </w:r>
      <w:r>
        <w:rPr>
          <w:rFonts w:ascii="Times New Roman;sans-serif" w:hAnsi="Times New Roman;sans-serif"/>
          <w:b w:val="false"/>
          <w:color w:val="000000"/>
          <w:sz w:val="24"/>
        </w:rPr>
        <w:t>. Nothing in this Award or in the RSU shall confer upon the Participant any right to continue in the employ of the Company or any of its Affiliates or interfere in any way with the right of the Company and its Affiliates, in their sole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discretion, to terminate the Participant’s employment or to increase or decrease the Participant’s compensation at any time.</w:t>
      </w:r>
    </w:p>
    <w:p>
      <w:pPr>
        <w:pStyle w:val="TextBody"/>
        <w:bidi w:val="0"/>
        <w:spacing w:before="10" w:after="283"/>
        <w:jc w:val="left"/>
        <w:rPr/>
      </w:pPr>
      <w:r>
        <w:rPr/>
      </w:r>
    </w:p>
    <w:p>
      <w:pPr>
        <w:pStyle w:val="TextBody"/>
        <w:bidi w:val="0"/>
        <w:spacing w:lineRule="auto" w:line="240"/>
        <w:ind w:left="0" w:right="0" w:hanging="720"/>
        <w:jc w:val="left"/>
        <w:rPr/>
      </w:pPr>
      <w:r>
        <w:rPr>
          <w:rFonts w:ascii="Times New Roman;sans-serif" w:hAnsi="Times New Roman;sans-serif"/>
          <w:b w:val="false"/>
          <w:color w:val="000000"/>
          <w:sz w:val="24"/>
        </w:rPr>
        <w:t>8.</w:t>
      </w:r>
      <w:r>
        <w:rPr>
          <w:rFonts w:ascii="Times New Roman;sans-serif" w:hAnsi="Times New Roman;sans-serif"/>
          <w:b/>
          <w:color w:val="000000"/>
          <w:sz w:val="24"/>
          <w:u w:val="single"/>
        </w:rPr>
        <w:t>No Acquired Rights</w:t>
      </w:r>
      <w:r>
        <w:rPr>
          <w:rFonts w:ascii="Times New Roman;sans-serif" w:hAnsi="Times New Roman;sans-serif"/>
          <w:b w:val="false"/>
          <w:color w:val="000000"/>
          <w:sz w:val="24"/>
        </w:rPr>
        <w:t xml:space="preserve">. The Committee or the Board has the power to amend or terminate the Plan at any time and the opportunity given to the Participant to participate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9700"/>
                <wp:effectExtent l="0" t="0" r="0" b="0"/>
                <wp:wrapNone/>
                <wp:docPr id="152" name="Frame1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 the grant of this Award is entirely at the discretion of the Committee or the Board and does not obligate the Company or any of its Affiliates to offer such participation in</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pStyle w:val="TextBody"/>
        <w:bidi w:val="0"/>
        <w:spacing w:before="10" w:after="283"/>
        <w:jc w:val="left"/>
        <w:rPr/>
      </w:pPr>
      <w:r>
        <w:rPr/>
      </w:r>
    </w:p>
    <w:p>
      <w:pPr>
        <w:pStyle w:val="TextBody"/>
        <w:bidi w:val="0"/>
        <w:spacing w:lineRule="auto" w:line="240" w:before="0" w:after="0"/>
        <w:ind w:left="0" w:right="0" w:hanging="632"/>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Rights of a Stockholder</w:t>
      </w:r>
      <w:r>
        <w:rPr>
          <w:rFonts w:ascii="Times New Roman;sans-serif" w:hAnsi="Times New Roman;sans-serif"/>
          <w:b w:val="false"/>
          <w:color w:val="000000"/>
          <w:sz w:val="24"/>
        </w:rPr>
        <w:t>. The Participant shall not have any rights as a stockholder of the Company until the Shares in question have been registered in the Company’s register of stockholders.</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and the Company and any such Affiliate is hereby authorized to withhold such amounts from any such issuance, transfer, compensation or other amount owing to the Participant.</w:t>
      </w:r>
    </w:p>
    <w:p>
      <w:pPr>
        <w:pStyle w:val="TextBody"/>
        <w:bidi w:val="0"/>
        <w:spacing w:before="11"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9700"/>
                <wp:effectExtent l="0" t="0" r="0" b="0"/>
                <wp:wrapNone/>
                <wp:docPr id="153" name="Frame14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ind w:left="0" w:right="0" w:hanging="632"/>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Section 409A of the Code</w:t>
      </w:r>
      <w:r>
        <w:rPr>
          <w:rFonts w:ascii="Times New Roman;sans-serif" w:hAnsi="Times New Roman;sans-serif"/>
          <w:b w:val="false"/>
          <w:color w:val="000000"/>
          <w:sz w:val="24"/>
        </w:rPr>
        <w:t>. The provisions of Section 15(u) of the Plan are hereby incorporated by reference and made a part hereof.</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RSUs Subject to Plan</w:t>
      </w:r>
      <w:r>
        <w:rPr>
          <w:rFonts w:ascii="Times New Roman;sans-serif" w:hAnsi="Times New Roman;sans-serif"/>
          <w:b w:val="false"/>
          <w:color w:val="000000"/>
          <w:sz w:val="24"/>
        </w:rPr>
        <w:t>. All RSUs are subject to the Plan. In the event of a conflict between any term or provision contained herein and a term or provision of the Plan, the applicable terms and provisions of the Plan will govern and prevail.</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pStyle w:val="TextBody"/>
        <w:bidi w:val="0"/>
        <w:spacing w:before="10"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 it at:</w:t>
      </w:r>
    </w:p>
    <w:p>
      <w:pPr>
        <w:pStyle w:val="TextBody"/>
        <w:bidi w:val="0"/>
        <w:spacing w:lineRule="auto" w:line="592" w:before="6" w:after="283"/>
        <w:ind w:left="0" w:right="0" w:hanging="100"/>
        <w:jc w:val="left"/>
        <w:rPr>
          <w:rFonts w:ascii="Times New Roman;sans-serif" w:hAnsi="Times New Roman;sans-serif"/>
          <w:b w:val="false"/>
          <w:color w:val="000000"/>
          <w:sz w:val="24"/>
        </w:rPr>
      </w:pPr>
      <w:r>
        <w:rPr>
          <w:rFonts w:ascii="Times New Roman;sans-serif" w:hAnsi="Times New Roman;sans-serif"/>
          <w:b w:val="false"/>
          <w:color w:val="000000"/>
          <w:sz w:val="24"/>
        </w:rPr>
        <w:t>Aramark</w:t>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2400 Market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Philadelphia, PA 19103 Attention: General Counsel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Waiver of Breach</w:t>
      </w:r>
      <w:r>
        <w:rPr>
          <w:rFonts w:ascii="Times New Roman;sans-serif" w:hAnsi="Times New Roman;sans-serif"/>
          <w:b w:val="false"/>
          <w:color w:val="000000"/>
          <w:sz w:val="24"/>
        </w:rPr>
        <w:t>. The waiver by either party of a breach of any provision of this Award must be in writing and shall not operate or be construed as a waiver of any other or subsequent breach.</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Governing Law.</w:t>
      </w:r>
      <w:r>
        <w:rPr>
          <w:color w:val="000000"/>
        </w:rPr>
        <w:t xml:space="preserve"> </w:t>
      </w:r>
      <w:r>
        <w:rPr>
          <w:rFonts w:ascii="Times New Roman;sans-serif" w:hAnsi="Times New Roman;sans-serif"/>
          <w:b w:val="false"/>
          <w:color w:val="000000"/>
          <w:sz w:val="24"/>
        </w:rPr>
        <w:t>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EVEN IF UNDER SUCH JURISDICTION’S CHOICE OF LAW OR CONFLICT OF LAW ANALYSIS, THE SUBSTANTIVE LAW OF SOME OTHER JURISDICTION WOULD ORDINARILY APPLY.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9700"/>
                <wp:effectExtent l="0" t="0" r="0" b="0"/>
                <wp:wrapNone/>
                <wp:docPr id="154" name="Frame15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79" w:after="283"/>
        <w:ind w:left="0" w:right="0" w:hanging="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Modification of Rights; Entire Agreement.</w:t>
      </w:r>
      <w:r>
        <w:rPr>
          <w:color w:val="000000"/>
        </w:rPr>
        <w:t xml:space="preserve"> </w:t>
      </w:r>
      <w:r>
        <w:rPr>
          <w:rFonts w:ascii="Times New Roman;sans-serif" w:hAnsi="Times New Roman;sans-serif"/>
          <w:b w:val="false"/>
          <w:color w:val="000000"/>
          <w:sz w:val="24"/>
        </w:rPr>
        <w:t>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pStyle w:val="TextBody"/>
        <w:bidi w:val="0"/>
        <w:spacing w:before="0" w:after="0"/>
        <w:jc w:val="left"/>
        <w:rPr/>
      </w:pPr>
      <w:r>
        <w:rPr/>
      </w:r>
    </w:p>
    <w:p>
      <w:pPr>
        <w:pStyle w:val="TextBody"/>
        <w:bidi w:val="0"/>
        <w:spacing w:lineRule="auto" w:line="240" w:before="217" w:after="283"/>
        <w:ind w:left="0" w:right="0" w:hanging="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Clawback upon Breach of Restrictive Covenants</w:t>
      </w:r>
      <w:r>
        <w:rPr>
          <w:rFonts w:ascii="Times New Roman;sans-serif" w:hAnsi="Times New Roman;sans-serif"/>
          <w:b w:val="false"/>
          <w:color w:val="000000"/>
          <w:sz w:val="24"/>
        </w:rPr>
        <w:t>. In the event the Participant breaches the Participant’s “Restrictive Covenant Agreement” (as defined below) at any time</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before="11" w:after="283"/>
        <w:jc w:val="left"/>
        <w:rPr/>
      </w:pPr>
      <w:r>
        <w:rPr/>
      </w:r>
    </w:p>
    <w:p>
      <w:pPr>
        <w:pStyle w:val="TextBody"/>
        <w:bidi w:val="0"/>
        <w:spacing w:lineRule="auto" w:line="5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[(Per Certificate of Grant)] Date:    [Acceptance Date]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[Note: Grant will be accepted electronically.]</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9700"/>
                <wp:effectExtent l="0" t="0" r="0" b="0"/>
                <wp:wrapNone/>
                <wp:docPr id="155" name="Frame15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DATA PRIVACY NOTICE</w:t>
      </w:r>
    </w:p>
    <w:p>
      <w:pPr>
        <w:pStyle w:val="TextBody"/>
        <w:bidi w:val="0"/>
        <w:spacing w:before="10" w:after="283"/>
        <w:jc w:val="both"/>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sans-serif" w:hAnsi="Times New Roman;sans-serif"/>
          <w:b w:val="false"/>
          <w:color w:val="000000"/>
          <w:sz w:val="24"/>
          <w:u w:val="single"/>
        </w:rPr>
        <w:t>Data Privacy Notice</w:t>
      </w:r>
      <w:r>
        <w:rPr>
          <w:color w:val="000000"/>
        </w:rPr>
        <w:t>”</w:t>
      </w:r>
      <w:r>
        <w:rPr>
          <w:rFonts w:ascii="Times New Roman;sans-serif" w:hAnsi="Times New Roman;sans-serif"/>
          <w:b w:val="false"/>
          <w:color w:val="000000"/>
          <w:sz w:val="24"/>
        </w:rPr>
        <w:t xml:space="preserve">). </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These data will include data:</w:t>
      </w:r>
    </w:p>
    <w:p>
      <w:pPr>
        <w:pStyle w:val="TextBody"/>
        <w:bidi w:val="0"/>
        <w:spacing w:before="0" w:after="0"/>
        <w:jc w:val="left"/>
        <w:rPr/>
      </w:pPr>
      <w:r>
        <w:rPr/>
      </w:r>
    </w:p>
    <w:p>
      <w:pPr>
        <w:pStyle w:val="TextBody"/>
        <w:bidi w:val="0"/>
        <w:spacing w:lineRule="auto" w:line="240" w:before="0" w:after="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(i)already held in the Participant's records such as the Participant's name and address, ID number, payroll number, length of service and whether the Participant works full-time or part time;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(ii)collected upon the Participant accepting the rights granted under the Plan (if applicable); and</w:t>
      </w:r>
    </w:p>
    <w:p>
      <w:pPr>
        <w:pStyle w:val="TextBody"/>
        <w:bidi w:val="0"/>
        <w:spacing w:before="10" w:after="283"/>
        <w:jc w:val="left"/>
        <w:rPr/>
      </w:pPr>
      <w:r>
        <w:rPr/>
      </w:r>
    </w:p>
    <w:p>
      <w:pPr>
        <w:pStyle w:val="TextBody"/>
        <w:bidi w:val="0"/>
        <w:spacing w:lineRule="auto" w:line="240" w:before="0" w:after="0"/>
        <w:ind w:left="0" w:right="0" w:hanging="541"/>
        <w:jc w:val="left"/>
        <w:rPr>
          <w:rFonts w:ascii="Times New Roman;sans-serif" w:hAnsi="Times New Roman;sans-serif"/>
          <w:b w:val="false"/>
          <w:color w:val="000000"/>
          <w:sz w:val="24"/>
        </w:rPr>
      </w:pPr>
      <w:r>
        <w:rPr>
          <w:rFonts w:ascii="Times New Roman;sans-serif" w:hAnsi="Times New Roman;sans-serif"/>
          <w:b w:val="false"/>
          <w:color w:val="000000"/>
          <w:sz w:val="24"/>
        </w:rPr>
        <w:t>(iii)subsequently collected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pStyle w:val="TextBody"/>
        <w:bidi w:val="0"/>
        <w:spacing w:before="11" w:after="283"/>
        <w:jc w:val="left"/>
        <w:rPr/>
      </w:pPr>
      <w:r>
        <w:rPr/>
      </w:r>
    </w:p>
    <w:p>
      <w:pPr>
        <w:pStyle w:val="TextBody"/>
        <w:bidi w:val="0"/>
        <w:spacing w:before="10" w:after="283"/>
        <w:jc w:val="left"/>
        <w:rPr/>
      </w:pPr>
      <w:r>
        <w:rPr/>
      </w:r>
    </w:p>
    <w:p>
      <w:pPr>
        <w:pStyle w:val="TextBody"/>
        <w:bidi w:val="0"/>
        <w:spacing w:lineRule="auto" w:line="240" w:before="79" w:after="283"/>
        <w:ind w:left="0" w:right="0" w:hanging="630"/>
        <w:jc w:val="left"/>
        <w:rPr/>
      </w:pPr>
      <w:r>
        <w:rPr>
          <w:rFonts w:ascii="Times New Roman;sans-serif" w:hAnsi="Times New Roman;sans-serif"/>
          <w:b w:val="false"/>
          <w:color w:val="000000"/>
          <w:sz w:val="24"/>
        </w:rPr>
        <w:t>(b)Personal data about the Participant as described in paragraph (a) above may be transferred not only within the country in which the Participant is based from time to time or within the European Economic Area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(“EEA”), but also worldwide, to other Affiliates and/or agents and to the following third parties for the purposes described in paragraph (a) above: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(ii)regulators, tax authorities, stock or security exchanges and other supervisory, regulatory, governmental or public bodies as required by law;</w:t>
      </w:r>
    </w:p>
    <w:p>
      <w:pPr>
        <w:pStyle w:val="TextBody"/>
        <w:bidi w:val="0"/>
        <w:spacing w:before="10" w:after="283"/>
        <w:jc w:val="left"/>
        <w:rPr/>
      </w:pPr>
      <w:r>
        <w:rPr/>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European Economic Area is composed of 27 member states of the European Union plus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9700"/>
                <wp:effectExtent l="0" t="0" r="0" b="0"/>
                <wp:wrapNone/>
                <wp:docPr id="156" name="Frame1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(iii)actual or proposed merger or acquisition partners or proposed assignees of, or those taking or proposing to take security over, the business or assets or stock of the Company or its Affiliates and their agents and contractors;</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(iv)other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(v)the Participant's family members, heirs, legatees and others associated with the Participant in connection with the Plan. </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appropriate measures are in place to ensure an adequate level of protection for your personal data, including technical or contractual measures where necessary.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All national and international transfer of personal data is only done in order to fulfill the obligations and rights of the Company and/or its Affiliates under the Plan.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The processing (including transfer) of data described above is essential for the administration and operation of the Plan. Therefore, it is essential that his/her personal data is processed in the manner described above. The Company will only retain personal data for as long as is required to satisfy the purposes as described in paragraph (a) above, except where otherwise provided or required by law (e.g. in connection with pending litigation).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10.96</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9700"/>
                <wp:effectExtent l="0" t="0" r="0" b="0"/>
                <wp:wrapNone/>
                <wp:docPr id="157" name="Frame15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FY24 ELT PSU Grant Agreement (2023 Plan)</w:t>
      </w:r>
    </w:p>
    <w:p>
      <w:pPr>
        <w:pStyle w:val="TextBody"/>
        <w:bidi w:val="0"/>
        <w:spacing w:lineRule="auto" w:line="240" w:before="77" w:after="283"/>
        <w:jc w:val="center"/>
        <w:rPr>
          <w:rFonts w:ascii="Times New Roman;sans-serif" w:hAnsi="Times New Roman;sans-serif"/>
          <w:b/>
          <w:color w:val="000000"/>
          <w:sz w:val="28"/>
        </w:rPr>
      </w:pPr>
      <w:r>
        <w:rPr>
          <w:rFonts w:ascii="Times New Roman;sans-serif" w:hAnsi="Times New Roman;sans-serif"/>
          <w:b/>
          <w:color w:val="000000"/>
          <w:sz w:val="28"/>
        </w:rPr>
        <w:t>Aramark</w:t>
      </w:r>
    </w:p>
    <w:p>
      <w:pPr>
        <w:pStyle w:val="TextBody"/>
        <w:bidi w:val="0"/>
        <w:spacing w:lineRule="auto" w:line="240" w:before="241" w:after="283"/>
        <w:ind w:left="0" w:right="0" w:hanging="2006"/>
        <w:jc w:val="center"/>
        <w:rPr>
          <w:rFonts w:ascii="Times New Roman;sans-serif" w:hAnsi="Times New Roman;sans-serif"/>
          <w:b/>
          <w:color w:val="000000"/>
          <w:sz w:val="28"/>
        </w:rPr>
      </w:pPr>
      <w:r>
        <w:rPr>
          <w:rFonts w:ascii="Times New Roman;sans-serif" w:hAnsi="Times New Roman;sans-serif"/>
          <w:b/>
          <w:color w:val="000000"/>
          <w:sz w:val="28"/>
        </w:rPr>
        <w:t>FORM OF PERFORMANCE STOCK UNIT AWARD</w:t>
      </w:r>
    </w:p>
    <w:p>
      <w:pPr>
        <w:pStyle w:val="TextBody"/>
        <w:bidi w:val="0"/>
        <w:spacing w:before="0" w:after="0"/>
        <w:jc w:val="left"/>
        <w:rPr/>
      </w:pPr>
      <w:r>
        <w:rPr/>
      </w:r>
    </w:p>
    <w:p>
      <w:pPr>
        <w:pStyle w:val="TextBody"/>
        <w:bidi w:val="0"/>
        <w:spacing w:lineRule="auto" w:line="240" w:before="200" w:after="283"/>
        <w:ind w:left="0" w:right="0" w:hanging="72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u w:val="single"/>
        </w:rPr>
        <w:t>Grant of PSUs</w:t>
      </w:r>
      <w:r>
        <w:rPr>
          <w:rFonts w:ascii="Times New Roman;sans-serif" w:hAnsi="Times New Roman;sans-serif"/>
          <w:b w:val="false"/>
          <w:color w:val="000000"/>
          <w:sz w:val="22"/>
        </w:rPr>
        <w:t>. The Company hereby grants the opportunity to vest in a number of Performance Stock Units determined based on the “</w:t>
      </w:r>
      <w:r>
        <w:rPr>
          <w:rFonts w:ascii="Times New Roman;sans-serif" w:hAnsi="Times New Roman;sans-serif"/>
          <w:b w:val="false"/>
          <w:color w:val="000000"/>
          <w:sz w:val="22"/>
          <w:u w:val="single"/>
        </w:rPr>
        <w:t>Target Number of PSUs</w:t>
      </w:r>
      <w:r>
        <w:rPr>
          <w:color w:val="000000"/>
        </w:rPr>
        <w:t xml:space="preserve">” </w:t>
      </w:r>
      <w:r>
        <w:rPr>
          <w:rFonts w:ascii="Times New Roman;sans-serif" w:hAnsi="Times New Roman;sans-serif"/>
          <w:b w:val="false"/>
          <w:color w:val="000000"/>
          <w:sz w:val="22"/>
        </w:rPr>
        <w:t>set forth on the Certificate of Grant attached to this Award and made a part hereof (the “</w:t>
      </w:r>
      <w:r>
        <w:rPr>
          <w:rFonts w:ascii="Times New Roman;sans-serif" w:hAnsi="Times New Roman;sans-serif"/>
          <w:b w:val="false"/>
          <w:color w:val="000000"/>
          <w:sz w:val="22"/>
          <w:u w:val="single"/>
        </w:rPr>
        <w:t>Certificate of Grant</w:t>
      </w:r>
      <w:r>
        <w:rPr>
          <w:color w:val="000000"/>
        </w:rPr>
        <w:t>”</w:t>
      </w:r>
      <w:r>
        <w:rPr>
          <w:rFonts w:ascii="Times New Roman;sans-serif" w:hAnsi="Times New Roman;sans-serif"/>
          <w:b w:val="false"/>
          <w:color w:val="000000"/>
          <w:sz w:val="22"/>
        </w:rPr>
        <w:t xml:space="preserve">) to the Participant, on the terms and conditions hereinafter set forth including </w:t>
      </w:r>
      <w:r>
        <w:rPr>
          <w:rFonts w:ascii="Times New Roman;sans-serif" w:hAnsi="Times New Roman;sans-serif"/>
          <w:b w:val="false"/>
          <w:color w:val="000000"/>
          <w:sz w:val="22"/>
          <w:u w:val="single"/>
        </w:rPr>
        <w:t>on Schedule I</w:t>
      </w:r>
      <w:r>
        <w:rPr>
          <w:color w:val="000000"/>
        </w:rPr>
        <w:t xml:space="preserve"> </w:t>
      </w:r>
      <w:r>
        <w:rPr>
          <w:rFonts w:ascii="Times New Roman;sans-serif" w:hAnsi="Times New Roman;sans-serif"/>
          <w:b w:val="false"/>
          <w:color w:val="000000"/>
          <w:sz w:val="22"/>
        </w:rPr>
        <w:t>which is made a part hereof. This grant is made pursuant to the terms of the Aramark (formerly known as Aramark Holdings Corporation) 2023 Stock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which Plan, as amended from time to time, is incorporated herein by reference and made a part of this Award. Each Performance Stock Unit (a “</w:t>
      </w:r>
      <w:r>
        <w:rPr>
          <w:rFonts w:ascii="Times New Roman;sans-serif" w:hAnsi="Times New Roman;sans-serif"/>
          <w:b w:val="false"/>
          <w:color w:val="000000"/>
          <w:sz w:val="22"/>
          <w:u w:val="single"/>
        </w:rPr>
        <w:t>PSU</w:t>
      </w:r>
      <w:r>
        <w:rPr>
          <w:color w:val="000000"/>
        </w:rPr>
        <w:t>”</w:t>
      </w:r>
      <w:r>
        <w:rPr>
          <w:rFonts w:ascii="Times New Roman;sans-serif" w:hAnsi="Times New Roman;sans-serif"/>
          <w:b w:val="false"/>
          <w:color w:val="000000"/>
          <w:sz w:val="22"/>
        </w:rPr>
        <w:t>) represents the unfunded, unsecured right of the Participant to receive a share of Common Stock of the Company (each a “</w:t>
      </w:r>
      <w:r>
        <w:rPr>
          <w:rFonts w:ascii="Times New Roman;sans-serif" w:hAnsi="Times New Roman;sans-serif"/>
          <w:b w:val="false"/>
          <w:color w:val="000000"/>
          <w:sz w:val="22"/>
          <w:u w:val="single"/>
        </w:rPr>
        <w:t>Share</w:t>
      </w:r>
      <w:r>
        <w:rPr>
          <w:color w:val="000000"/>
        </w:rPr>
        <w:t>”</w:t>
      </w:r>
      <w:r>
        <w:rPr>
          <w:rFonts w:ascii="Times New Roman;sans-serif" w:hAnsi="Times New Roman;sans-serif"/>
          <w:b w:val="false"/>
          <w:color w:val="000000"/>
          <w:sz w:val="22"/>
        </w:rPr>
        <w:t>), subject to the terms and conditions hereof, on the date(s) specified herein. Capitalized terms not otherwise defined herein shall have the same meanings as in the Plan and the Certificate of Grant.</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2.</w:t>
      </w:r>
      <w:r>
        <w:rPr>
          <w:rFonts w:ascii="Times New Roman;sans-serif" w:hAnsi="Times New Roman;sans-serif"/>
          <w:b w:val="false"/>
          <w:color w:val="000000"/>
          <w:sz w:val="22"/>
          <w:u w:val="single"/>
        </w:rPr>
        <w:t>Performance and Service Vesting Conditions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Subject to the remainder of the terms and conditions of this Award, so long as the Participant continues Employment through the Vesting Date the Participant shall earn, and become vested in a number of PSUs (if any) equal to a percentage of the Target Number of PSUs based on the level of the Company’s achievement of the performance conditions, with respect to the applicable performance period (the “</w:t>
      </w:r>
      <w:r>
        <w:rPr>
          <w:rFonts w:ascii="Times New Roman;sans-serif" w:hAnsi="Times New Roman;sans-serif"/>
          <w:b w:val="false"/>
          <w:color w:val="000000"/>
          <w:sz w:val="22"/>
          <w:u w:val="single"/>
        </w:rPr>
        <w:t>Performance Period</w:t>
      </w:r>
      <w:r>
        <w:rPr>
          <w:color w:val="000000"/>
        </w:rPr>
        <w:t>”</w:t>
      </w:r>
      <w:r>
        <w:rPr>
          <w:rFonts w:ascii="Times New Roman;sans-serif" w:hAnsi="Times New Roman;sans-serif"/>
          <w:b w:val="false"/>
          <w:color w:val="000000"/>
          <w:sz w:val="22"/>
        </w:rPr>
        <w:t xml:space="preserve">), each as set forth on </w:t>
      </w:r>
      <w:r>
        <w:rPr>
          <w:rFonts w:ascii="Times New Roman;sans-serif" w:hAnsi="Times New Roman;sans-serif"/>
          <w:b w:val="false"/>
          <w:color w:val="000000"/>
          <w:sz w:val="22"/>
          <w:u w:val="single"/>
        </w:rPr>
        <w:t>Schedule I</w:t>
      </w:r>
      <w:r>
        <w:rPr>
          <w:rFonts w:ascii="Times New Roman;sans-serif" w:hAnsi="Times New Roman;sans-serif"/>
          <w:b w:val="false"/>
          <w:color w:val="000000"/>
          <w:sz w:val="22"/>
        </w:rPr>
        <w:t>, on the date such achievement is certified by the Committee following the end of the Performance Period (the “</w:t>
      </w:r>
      <w:r>
        <w:rPr>
          <w:rFonts w:ascii="Times New Roman;sans-serif" w:hAnsi="Times New Roman;sans-serif"/>
          <w:b w:val="false"/>
          <w:color w:val="000000"/>
          <w:sz w:val="22"/>
          <w:u w:val="single"/>
        </w:rPr>
        <w:t>Determination Date</w:t>
      </w:r>
      <w:r>
        <w:rPr>
          <w:color w:val="000000"/>
        </w:rPr>
        <w:t>”</w:t>
      </w:r>
      <w:r>
        <w:rPr>
          <w:rFonts w:ascii="Times New Roman;sans-serif" w:hAnsi="Times New Roman;sans-serif"/>
          <w:b w:val="false"/>
          <w:color w:val="000000"/>
          <w:sz w:val="22"/>
        </w:rPr>
        <w:t>) (such number of PSUs, once established, the “</w:t>
      </w:r>
      <w:r>
        <w:rPr>
          <w:rFonts w:ascii="Times New Roman;sans-serif" w:hAnsi="Times New Roman;sans-serif"/>
          <w:b w:val="false"/>
          <w:color w:val="000000"/>
          <w:sz w:val="22"/>
          <w:u w:val="single"/>
        </w:rPr>
        <w:t>Earned PSUs</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3.</w:t>
      </w:r>
      <w:r>
        <w:rPr>
          <w:rFonts w:ascii="Times New Roman;sans-serif" w:hAnsi="Times New Roman;sans-serif"/>
          <w:b w:val="false"/>
          <w:color w:val="000000"/>
          <w:sz w:val="22"/>
          <w:u w:val="single"/>
        </w:rPr>
        <w:t>Payment of Shares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1" w:after="283"/>
        <w:ind w:left="0" w:right="0" w:hanging="629"/>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The Company shall, subject to the remainder of this Award, transfer to the Participant a number of Shares of the Company equal to the number (if any) of Earned PSUs under this Award on or as soon as practicable following the Vesting Date so long as the Participant remains employed with the Company or any of its Affiliates through the Vesting Date, or at such other times as provided in Section 3(b) or (c) below (in whole Shares only with the Participant receiving a cash payment equal to the Fair Market Value of any fractional Share on or about the transfer date).</w:t>
      </w:r>
    </w:p>
    <w:p>
      <w:pPr>
        <w:pStyle w:val="TextBody"/>
        <w:bidi w:val="0"/>
        <w:spacing w:before="10" w:after="283"/>
        <w:jc w:val="left"/>
        <w:rPr/>
      </w:pPr>
      <w:r>
        <w:rPr/>
      </w:r>
    </w:p>
    <w:p>
      <w:pPr>
        <w:pStyle w:val="TextBody"/>
        <w:bidi w:val="0"/>
        <w:spacing w:lineRule="auto" w:line="240" w:before="0" w:after="0"/>
        <w:ind w:left="0" w:right="0" w:hanging="63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Notwithstanding Section 3(a) of this Award,</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upon a Termination of Relationship as a result of the Participant’s death, Disability, or Retirement (other than a “Retirement with Notice” as defined below) (each, a “</w:t>
      </w:r>
      <w:r>
        <w:rPr>
          <w:rFonts w:ascii="Times New Roman;sans-serif" w:hAnsi="Times New Roman;sans-serif"/>
          <w:b w:val="false"/>
          <w:color w:val="000000"/>
          <w:sz w:val="22"/>
          <w:u w:val="single"/>
        </w:rPr>
        <w:t>Special Termination</w:t>
      </w:r>
      <w:r>
        <w:rPr>
          <w:color w:val="000000"/>
        </w:rPr>
        <w:t>”</w:t>
      </w:r>
      <w:r>
        <w:rPr>
          <w:rFonts w:ascii="Times New Roman;sans-serif" w:hAnsi="Times New Roman;sans-serif"/>
          <w:b w:val="false"/>
          <w:color w:val="000000"/>
          <w:sz w:val="22"/>
        </w:rPr>
        <w:t>), which occurs prior to the Vesting Date, the PSUs shall remain outstanding and unvested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72" w:after="283"/>
        <w:jc w:val="left"/>
        <w:rPr/>
      </w:pPr>
      <w:r>
        <w:rPr>
          <w:rFonts w:ascii="Times New Roman;sans-serif" w:hAnsi="Times New Roman;sans-serif"/>
          <w:b w:val="false"/>
          <w:color w:val="000000"/>
          <w:sz w:val="22"/>
        </w:rPr>
        <w:t>through the later of the Determination Date and the date of such Special Termination, and the Specified Portion (as defined below) of the Earned PSUs (if any) scheduled to vest on the Vesting Date shall become vested PSUs as of the later of the Determination Date and the date of such Special Termination; and Shares equal to such number of Earned PSUs shall be transferred on or as soon as practicable following the later of the Determination Date and the date of such Special Termination, and the remaining PSUs which do not become vested pursuant to this clause (i) shall be automatically forfeited; for purposes of this Section 3(b)(i), the term “</w:t>
      </w:r>
      <w:r>
        <w:rPr>
          <w:rFonts w:ascii="Times New Roman;sans-serif" w:hAnsi="Times New Roman;sans-serif"/>
          <w:b w:val="false"/>
          <w:color w:val="000000"/>
          <w:sz w:val="22"/>
          <w:u w:val="single"/>
        </w:rPr>
        <w:t>Specified Portion</w:t>
      </w:r>
      <w:r>
        <w:rPr>
          <w:color w:val="000000"/>
        </w:rPr>
        <w:t xml:space="preserve">” </w:t>
      </w:r>
      <w:r>
        <w:rPr>
          <w:rFonts w:ascii="Times New Roman;sans-serif" w:hAnsi="Times New Roman;sans-serif"/>
          <w:b w:val="false"/>
          <w:color w:val="000000"/>
          <w:sz w:val="22"/>
        </w:rPr>
        <w:t>shall mean (x) one-third (1/3) if the Special Termination occurs prior to the beginning of the second fiscal year of the Performance Period, (y) two-thirds (2/3) if the Special Termination occurs on or after the beginning of the second fiscal year of the Performance Period and prior to the beginning of the third fiscal year of the Performance Period and (z) the entire amount if the Special Termination occurs on or after the beginning of the third fiscal year of the Performance Period. For purposes of this Award, “Retirement” shall mean with respect to a Participant, the retirement of such Participant upon or after achieving age 60 and five (5) years of employment with the Company, any of its Affiliates, and/or any of their respective predecessors and giving 30 days’ written notice of retirement to the Company; provided that such notice may be waived by the Chief Executive Officer or the Senior Vice President and Chief Human Resources Officer;</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upon a Termination of Relationship as a result of the Participant’s Retirement with Notice which occurs prior to the Vesting Date, the PSUs shall remain outstanding and shall be treated as described in Section 3(b)(i) above, except that the term “Specified Portion” shall be deemed to mean (x) two-thirds (2/3) if the Special Termination occurs prior to the beginning of the second fiscal year of the Performance Period and (y) the entire amount if the Special Termination occurs on or after the beginning of the second fiscal year of the Performance Period; and</w:t>
      </w:r>
    </w:p>
    <w:p>
      <w:pPr>
        <w:pStyle w:val="TextBody"/>
        <w:bidi w:val="0"/>
        <w:spacing w:before="10" w:after="283"/>
        <w:jc w:val="left"/>
        <w:rPr/>
      </w:pPr>
      <w:r>
        <w:rPr/>
      </w:r>
    </w:p>
    <w:p>
      <w:pPr>
        <w:pStyle w:val="TextBody"/>
        <w:bidi w:val="0"/>
        <w:spacing w:lineRule="auto" w:line="240" w:before="0" w:after="0"/>
        <w:ind w:left="0" w:right="0" w:hanging="54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upon a Termination of Relationship for any reason other than as set forth in clauses (i) and (ii) above, all outstanding PSUs shall be forfeited and immediately cancelled.</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As used herein, the term “Retirement with Notice” means the Participant’s retirement from the Company and its Affiliates after providing the Company with at least 12 months’ prior written notice of such intended retirement (and with such notice having been delivered upon or after the Participant’s attainment of age 62) and achieving 5 years of employment with the Company and its Affiliates;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12 months after the notice 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2" w:after="283"/>
        <w:ind w:left="0" w:right="0" w:hanging="629"/>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Also notwithstanding Section 3(a) or (b) of this Award, in accordance with the terms of Section 13 of the Plan, in the event of a Termination of Relationship of the Participant by the Company or any of its Affiliates (or successors in interest) without Cause or by the Participant for Good Reason, in each case, that occurs within two years following a Change of Control, the following treatment (under clauses (A) or (B), as applicable) will apply with respect to any then outstanding PSUs:</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if such termination occurs prior to the end of the Performance Period, then such Performance Period shall end as of such date, and the Target Number of PSUs shall become vested on the date of such Termination of Relationship, and a number of Shares equal to such number of PSUs shall be distributed to the Participant as soon as practicable following the date of such Termination of Relationship; or</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if such termination occurs on or following the end of the Performance Period but prior to the date Shares of the Company are transferred in settlement of the Earned PSUs (if any), then the Earned PSUs (if any) shall immediately be distributed to the Participant as soon as practicable following the date of such Termination of Relationship;</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Committee may determine that, in lieu of Shares and/or fractional Shares deliverable to the Participant under clauses (A) or (B) above, the Participant shall receive a cash payment equal to the Fair Market Value of such Shares (or fractional Shares, as the case may be) on the Change of Control.</w:t>
      </w:r>
    </w:p>
    <w:p>
      <w:pPr>
        <w:pStyle w:val="TextBody"/>
        <w:bidi w:val="0"/>
        <w:spacing w:before="10" w:after="283"/>
        <w:jc w:val="left"/>
        <w:rPr/>
      </w:pPr>
      <w:r>
        <w:rPr/>
      </w:r>
    </w:p>
    <w:p>
      <w:pPr>
        <w:pStyle w:val="TextBody"/>
        <w:bidi w:val="0"/>
        <w:spacing w:lineRule="auto" w:line="240" w:before="0" w:after="0"/>
        <w:ind w:left="0" w:right="0" w:hanging="629"/>
        <w:jc w:val="left"/>
        <w:rPr/>
      </w:pPr>
      <w:r>
        <w:rPr>
          <w:rFonts w:ascii="Times New Roman;sans-serif" w:hAnsi="Times New Roman;sans-serif"/>
          <w:b w:val="false"/>
          <w:color w:val="000000"/>
          <w:sz w:val="24"/>
        </w:rPr>
        <w:t>(d)</w:t>
      </w:r>
      <w:r>
        <w:rPr>
          <w:rFonts w:ascii="Times New Roman;sans-serif" w:hAnsi="Times New Roman;sans-serif"/>
          <w:b w:val="false"/>
          <w:color w:val="000000"/>
          <w:sz w:val="22"/>
        </w:rPr>
        <w:t>Upon the vesting event of any Earned PSUs and the corresponding transfer of Shares as a result thereof, in each case in accordance with Sections 3(a), 3(b) or 3(c) of this Award, as applicable, the Earned PSUs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4.</w:t>
      </w:r>
      <w:r>
        <w:rPr>
          <w:rFonts w:ascii="Times New Roman;sans-serif" w:hAnsi="Times New Roman;sans-serif"/>
          <w:b w:val="false"/>
          <w:color w:val="000000"/>
          <w:sz w:val="22"/>
          <w:u w:val="single"/>
        </w:rPr>
        <w:t>Dividends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ind w:left="0" w:right="0" w:hanging="629"/>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 xml:space="preserve">If on any date while PSUs are outstanding hereunder, the Company shall pay any dividend on the Shares (other than a dividend payable in Shares), then the number of PSUs (if any) held by the Participant shall be increased by a number equal to: (a) the product of (x) the number of outstanding PSUs held by the Participant as of the related dividend record date, </w:t>
      </w:r>
      <w:r>
        <w:rPr>
          <w:rFonts w:ascii="Times New Roman;sans-serif" w:hAnsi="Times New Roman;sans-serif"/>
          <w:b w:val="false"/>
          <w:color w:val="000000"/>
          <w:sz w:val="22"/>
          <w:u w:val="single"/>
        </w:rPr>
        <w:t>multiplied</w:t>
      </w:r>
      <w:r>
        <w:rPr>
          <w:color w:val="000000"/>
        </w:rPr>
        <w:t xml:space="preserve"> </w:t>
      </w:r>
      <w:r>
        <w:rPr>
          <w:rFonts w:ascii="Times New Roman;sans-serif" w:hAnsi="Times New Roman;sans-serif"/>
          <w:b w:val="false"/>
          <w:color w:val="000000"/>
          <w:sz w:val="22"/>
        </w:rPr>
        <w:t>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w:t>
      </w:r>
    </w:p>
    <w:p>
      <w:pPr>
        <w:pStyle w:val="TextBody"/>
        <w:bidi w:val="0"/>
        <w:spacing w:before="10" w:after="283"/>
        <w:jc w:val="left"/>
        <w:rPr/>
      </w:pPr>
      <w:r>
        <w:rPr/>
      </w:r>
    </w:p>
    <w:p>
      <w:pPr>
        <w:pStyle w:val="TextBody"/>
        <w:bidi w:val="0"/>
        <w:spacing w:lineRule="auto" w:line="240" w:before="1" w:after="283"/>
        <w:ind w:left="0" w:right="0" w:hanging="629"/>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In the case of any dividend declared on Shares that is payable in the form of Shares, then the number of PSUs (if any) held by the Participant shall be increased by a number equal to the product of (I) the number of outstanding PSUs held by the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2"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 as of the related dividend record date, multiplied by (II) the number of Shares (including any fraction thereof) payable as a dividend on a Share. Shares shall be transferred with respect to all additional PSUs granted pursuant to this Section 4 at the same time as Shares are transferred with respect to the Earned PSUs to which such additional PSUs were attributable.</w:t>
      </w:r>
    </w:p>
    <w:p>
      <w:pPr>
        <w:pStyle w:val="TextBody"/>
        <w:bidi w:val="0"/>
        <w:spacing w:before="10" w:after="283"/>
        <w:jc w:val="left"/>
        <w:rPr/>
      </w:pPr>
      <w:r>
        <w:rPr/>
      </w:r>
    </w:p>
    <w:p>
      <w:pPr>
        <w:pStyle w:val="TextBody"/>
        <w:bidi w:val="0"/>
        <w:spacing w:lineRule="auto" w:line="240" w:before="0" w:after="0"/>
        <w:ind w:left="0" w:right="0" w:hanging="629"/>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For purposes of this Section 4, the number of PSUs held by the Participant as of the applicable dividend record date shall be deemed to equal the Target Number of PSUs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aggregate number of additional PSUs (if any) previously credited to the Participant pursuant to Sections 4(a) and 4(b) above in respect of any prior dividend declared on Shares since the Date of Grant.</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5.</w:t>
      </w:r>
      <w:r>
        <w:rPr>
          <w:rFonts w:ascii="Times New Roman;sans-serif" w:hAnsi="Times New Roman;sans-serif"/>
          <w:b w:val="false"/>
          <w:color w:val="000000"/>
          <w:sz w:val="22"/>
          <w:u w:val="single"/>
        </w:rPr>
        <w:t>Adjustments Upon Certain Events</w:t>
      </w:r>
      <w:r>
        <w:rPr>
          <w:rFonts w:ascii="Times New Roman;sans-serif" w:hAnsi="Times New Roman;sans-serif"/>
          <w:b w:val="false"/>
          <w:color w:val="000000"/>
          <w:sz w:val="22"/>
        </w:rPr>
        <w:t>. In the event of any event described in Section 12 of the Plan occurring after the Date of Grant, the adjustment provisions (including cash payments) as provided for under Section 12 of the Plan shall apply (without duplication of any dividend adjustments reflected pursuant to Section 4 hereof).</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6.</w:t>
      </w:r>
      <w:r>
        <w:rPr>
          <w:rFonts w:ascii="Times New Roman;sans-serif" w:hAnsi="Times New Roman;sans-serif"/>
          <w:b w:val="false"/>
          <w:color w:val="000000"/>
          <w:sz w:val="22"/>
          <w:u w:val="single"/>
        </w:rPr>
        <w:t>Restriction on Transfer</w:t>
      </w:r>
      <w:r>
        <w:rPr>
          <w:rFonts w:ascii="Times New Roman;sans-serif" w:hAnsi="Times New Roman;sans-serif"/>
          <w:b w:val="false"/>
          <w:color w:val="000000"/>
          <w:sz w:val="22"/>
        </w:rPr>
        <w:t>. The PSUs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PSUs shall not be subject to execution, attachment or similar process. Any attempted assignment, transfer, pledge, hypothecation or other disposition of the PSUs contrary to the provisions of this Award or the Plan shall be null and void and without effect.</w:t>
      </w:r>
    </w:p>
    <w:p>
      <w:pPr>
        <w:pStyle w:val="TextBody"/>
        <w:bidi w:val="0"/>
        <w:spacing w:before="6" w:after="283"/>
        <w:jc w:val="left"/>
        <w:rPr/>
      </w:pPr>
      <w:r>
        <w:rPr/>
      </w:r>
    </w:p>
    <w:p>
      <w:pPr>
        <w:pStyle w:val="TextBody"/>
        <w:bidi w:val="0"/>
        <w:spacing w:lineRule="auto" w:line="276" w:before="0" w:after="0"/>
        <w:ind w:left="0" w:right="0" w:hanging="632"/>
        <w:jc w:val="left"/>
        <w:rPr/>
      </w:pPr>
      <w:r>
        <w:rPr>
          <w:rFonts w:ascii="Times New Roman;sans-serif" w:hAnsi="Times New Roman;sans-serif"/>
          <w:b w:val="false"/>
          <w:color w:val="000000"/>
          <w:sz w:val="24"/>
        </w:rPr>
        <w:t>7.</w:t>
      </w:r>
      <w:r>
        <w:rPr>
          <w:rFonts w:ascii="Times New Roman;sans-serif" w:hAnsi="Times New Roman;sans-serif"/>
          <w:b/>
          <w:color w:val="000000"/>
          <w:sz w:val="22"/>
          <w:u w:val="single"/>
        </w:rPr>
        <w:t>Data Protection</w:t>
      </w:r>
      <w:r>
        <w:rPr>
          <w:rFonts w:ascii="Times New Roman;sans-serif" w:hAnsi="Times New Roman;sans-serif"/>
          <w:b/>
          <w:color w:val="000000"/>
          <w:sz w:val="22"/>
        </w:rPr>
        <w:t xml:space="preserve">. By accepting this Award, the Participant understands that the processing (including international transfer) of personal data will take place as set out in </w:t>
      </w:r>
      <w:r>
        <w:rPr>
          <w:rFonts w:ascii="Times New Roman;sans-serif" w:hAnsi="Times New Roman;sans-serif"/>
          <w:b/>
          <w:color w:val="000000"/>
          <w:sz w:val="22"/>
          <w:u w:val="single"/>
        </w:rPr>
        <w:t>Exhibit A</w:t>
      </w:r>
      <w:r>
        <w:rPr>
          <w:color w:val="000000"/>
        </w:rPr>
        <w:t xml:space="preserve"> </w:t>
      </w:r>
      <w:r>
        <w:rPr>
          <w:rFonts w:ascii="Times New Roman;sans-serif" w:hAnsi="Times New Roman;sans-serif"/>
          <w:b/>
          <w:color w:val="000000"/>
          <w:sz w:val="22"/>
        </w:rPr>
        <w:t>attached hereto for the purposes specified therein and if required by applicable law, rule or regulation</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8.</w:t>
      </w:r>
      <w:r>
        <w:rPr>
          <w:color w:val="000000"/>
          <w:u w:val="single"/>
        </w:rPr>
        <w:t xml:space="preserve"> </w:t>
      </w:r>
      <w:r>
        <w:rPr>
          <w:rFonts w:ascii="Times New Roman;sans-serif" w:hAnsi="Times New Roman;sans-serif"/>
          <w:b w:val="false"/>
          <w:color w:val="000000"/>
          <w:sz w:val="22"/>
          <w:u w:val="single"/>
        </w:rPr>
        <w:t>Participant’s Employment</w:t>
      </w:r>
      <w:r>
        <w:rPr>
          <w:rFonts w:ascii="Times New Roman;sans-serif" w:hAnsi="Times New Roman;sans-serif"/>
          <w:b w:val="false"/>
          <w:color w:val="000000"/>
          <w:sz w:val="22"/>
        </w:rPr>
        <w:t>. Nothing in this Award or in the PSU shall confer upon the Participant any right to continue in the employ of the Company or any of its Affiliates or interfere in any way with the right of the Company and its Affiliates, in their sole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discretion, to terminate the Participant’s employment or to increase or decrease the Participant’s compensation at any time.</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9.</w:t>
      </w:r>
      <w:r>
        <w:rPr>
          <w:rFonts w:ascii="Times New Roman;sans-serif" w:hAnsi="Times New Roman;sans-serif"/>
          <w:b/>
          <w:color w:val="000000"/>
          <w:sz w:val="22"/>
          <w:u w:val="single"/>
        </w:rPr>
        <w:t>No Acquired Rights</w:t>
      </w:r>
      <w:r>
        <w:rPr>
          <w:rFonts w:ascii="Times New Roman;sans-serif" w:hAnsi="Times New Roman;sans-serif"/>
          <w:b w:val="false"/>
          <w:color w:val="000000"/>
          <w:sz w:val="22"/>
        </w:rPr>
        <w:t>. The Committee or the Board has the power to amend or terminate the Plan at any time and the opportunity given to the Participant to participate in the Plan and the grant of this Award is entirely at the discretion of the Committee or the Board and does not obligate the Company or any of its Affiliates to offer such participation in</w:t>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or its Affiliates in respect of any loss of rights under this Award or the Plan that may arise as a result of such termination of employment.</w:t>
      </w:r>
    </w:p>
    <w:p>
      <w:pPr>
        <w:pStyle w:val="TextBody"/>
        <w:bidi w:val="0"/>
        <w:spacing w:before="10" w:after="283"/>
        <w:jc w:val="left"/>
        <w:rPr/>
      </w:pPr>
      <w:r>
        <w:rPr/>
      </w:r>
    </w:p>
    <w:p>
      <w:pPr>
        <w:pStyle w:val="TextBody"/>
        <w:bidi w:val="0"/>
        <w:spacing w:lineRule="auto" w:line="240" w:before="0" w:after="0"/>
        <w:ind w:left="0" w:right="0" w:hanging="632"/>
        <w:jc w:val="both"/>
        <w:rPr/>
      </w:pPr>
      <w:r>
        <w:rPr>
          <w:rFonts w:ascii="Times New Roman;sans-serif" w:hAnsi="Times New Roman;sans-serif"/>
          <w:b w:val="false"/>
          <w:color w:val="000000"/>
          <w:sz w:val="24"/>
        </w:rPr>
        <w:t>10.</w:t>
      </w:r>
      <w:r>
        <w:rPr>
          <w:rFonts w:ascii="Times New Roman;sans-serif" w:hAnsi="Times New Roman;sans-serif"/>
          <w:b w:val="false"/>
          <w:color w:val="000000"/>
          <w:sz w:val="22"/>
          <w:u w:val="single"/>
        </w:rPr>
        <w:t>No Rights of a Stockholder</w:t>
      </w:r>
      <w:r>
        <w:rPr>
          <w:rFonts w:ascii="Times New Roman;sans-serif" w:hAnsi="Times New Roman;sans-serif"/>
          <w:b w:val="false"/>
          <w:color w:val="000000"/>
          <w:sz w:val="22"/>
        </w:rPr>
        <w:t>. The Participant shall not have any rights as a stockholder of the Company until the Shares in question have been registered in the Company’s register of stockholders.</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11.</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and the Company and any such Affiliate is hereby authorized to withhold such amounts from any such issuance, transfer, compensation or other amount owing to the Participant.</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11(a) above.</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12.</w:t>
      </w:r>
      <w:r>
        <w:rPr>
          <w:rFonts w:ascii="Times New Roman;sans-serif" w:hAnsi="Times New Roman;sans-serif"/>
          <w:b w:val="false"/>
          <w:color w:val="000000"/>
          <w:sz w:val="22"/>
          <w:u w:val="single"/>
        </w:rPr>
        <w:t>Section 409A of the Code</w:t>
      </w:r>
      <w:r>
        <w:rPr>
          <w:rFonts w:ascii="Times New Roman;sans-serif" w:hAnsi="Times New Roman;sans-serif"/>
          <w:b w:val="false"/>
          <w:color w:val="000000"/>
          <w:sz w:val="22"/>
        </w:rPr>
        <w:t>. The provisions of Section 15(u) of the Plan are hereby incorporated by reference and made a part hereof.</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13.</w:t>
      </w:r>
      <w:r>
        <w:rPr>
          <w:rFonts w:ascii="Times New Roman;sans-serif" w:hAnsi="Times New Roman;sans-serif"/>
          <w:b w:val="false"/>
          <w:color w:val="000000"/>
          <w:sz w:val="22"/>
          <w:u w:val="single"/>
        </w:rPr>
        <w:t>PSUs Subject to Plan</w:t>
      </w:r>
      <w:r>
        <w:rPr>
          <w:rFonts w:ascii="Times New Roman;sans-serif" w:hAnsi="Times New Roman;sans-serif"/>
          <w:b w:val="false"/>
          <w:color w:val="000000"/>
          <w:sz w:val="22"/>
        </w:rPr>
        <w:t>. All PSUs are subject to the Plan. In the event of a conflict between any term or provision contained herein and a term or provision of the Plan, the applicable terms and provisions of the Plan will govern and prevail.</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pStyle w:val="TextBody"/>
        <w:bidi w:val="0"/>
        <w:spacing w:before="10" w:after="283"/>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 to it at: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72" w:after="283"/>
        <w:jc w:val="left"/>
        <w:rPr/>
      </w:pPr>
      <w:r>
        <w:rPr/>
      </w:r>
    </w:p>
    <w:p>
      <w:pPr>
        <w:pStyle w:val="TextBody"/>
        <w:bidi w:val="0"/>
        <w:spacing w:lineRule="auto" w:line="240" w:before="72"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Aramark Headquarters</w:t>
      </w:r>
    </w:p>
    <w:p>
      <w:pPr>
        <w:pStyle w:val="TextBody"/>
        <w:bidi w:val="0"/>
        <w:spacing w:lineRule="auto" w:line="240" w:before="72"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2400 Market Street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Philadelphia, PA 19103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15.</w:t>
      </w:r>
      <w:r>
        <w:rPr>
          <w:rFonts w:ascii="Times New Roman;sans-serif" w:hAnsi="Times New Roman;sans-serif"/>
          <w:b w:val="false"/>
          <w:color w:val="000000"/>
          <w:sz w:val="22"/>
          <w:u w:val="single"/>
        </w:rPr>
        <w:t>Waiver of Breach</w:t>
      </w:r>
      <w:r>
        <w:rPr>
          <w:rFonts w:ascii="Times New Roman;sans-serif" w:hAnsi="Times New Roman;sans-serif"/>
          <w:b w:val="false"/>
          <w:color w:val="000000"/>
          <w:sz w:val="22"/>
        </w:rPr>
        <w:t>. The waiver by either party of a breach of any provision of this Award must be in writing and shall not operate or be construed as a waiver of any other or subsequent breach.</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16.</w:t>
      </w:r>
      <w:r>
        <w:rPr>
          <w:rFonts w:ascii="Times New Roman;sans-serif" w:hAnsi="Times New Roman;sans-serif"/>
          <w:b w:val="false"/>
          <w:color w:val="000000"/>
          <w:sz w:val="22"/>
          <w:u w:val="single"/>
        </w:rPr>
        <w:t>Governing Law.</w:t>
      </w:r>
      <w:r>
        <w:rPr>
          <w:color w:val="000000"/>
        </w:rPr>
        <w:t xml:space="preserve"> </w:t>
      </w:r>
      <w:r>
        <w:rPr>
          <w:rFonts w:ascii="Times New Roman;sans-serif" w:hAnsi="Times New Roman;sans-serif"/>
          <w:b w:val="false"/>
          <w:color w:val="000000"/>
          <w:sz w:val="22"/>
        </w:rPr>
        <w:t>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EVEN IF UNDER SUCH JURISDICTION’S CHOICE OF LAW OR CONFLICT OF LAW ANALYSIS, THE SUBSTANTIVE LAW OF SOME OTHER JURISDICTION WOULD ORDINARILY APPLY.</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17.</w:t>
      </w:r>
      <w:r>
        <w:rPr>
          <w:rFonts w:ascii="Times New Roman;sans-serif" w:hAnsi="Times New Roman;sans-serif"/>
          <w:b w:val="false"/>
          <w:color w:val="000000"/>
          <w:sz w:val="22"/>
          <w:u w:val="single"/>
        </w:rPr>
        <w:t>Modification of Rights; Entire Agreement</w:t>
      </w:r>
      <w:r>
        <w:rPr>
          <w:rFonts w:ascii="Times New Roman;sans-serif" w:hAnsi="Times New Roman;sans-serif"/>
          <w:b w:val="false"/>
          <w:color w:val="000000"/>
          <w:sz w:val="22"/>
        </w:rPr>
        <w:t>.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2"/>
          <w:u w:val="single"/>
        </w:rPr>
        <w:t>Clawback upon Breach of Restrictive Covenants</w:t>
      </w:r>
      <w:r>
        <w:rPr>
          <w:rFonts w:ascii="Times New Roman;sans-serif" w:hAnsi="Times New Roman;sans-serif"/>
          <w:b w:val="false"/>
          <w:color w:val="000000"/>
          <w:sz w:val="22"/>
        </w:rPr>
        <w:t>. In the event the Participant breaches the Participant’s “Restrictive Covenant Agreement” (as defined below) at any time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Participant’s employment with the Company or within two years following the termination thereof, then without limiting any other remedies available to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2"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before="0" w:after="0"/>
        <w:jc w:val="left"/>
        <w:rPr/>
      </w:pPr>
      <w:r>
        <w:rPr/>
      </w:r>
    </w:p>
    <w:p>
      <w:pPr>
        <w:pStyle w:val="TextBody"/>
        <w:bidi w:val="0"/>
        <w:spacing w:lineRule="auto" w:line="5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[see Certificate of Grant - Participant] Date:    [Acceptance Date]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[Note: Grant will be accepted electronically.]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DATA PRIVACY NOTICE</w:t>
      </w:r>
    </w:p>
    <w:p>
      <w:pPr>
        <w:pStyle w:val="TextBody"/>
        <w:bidi w:val="0"/>
        <w:spacing w:before="10" w:after="283"/>
        <w:jc w:val="both"/>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sans-serif" w:hAnsi="Times New Roman;sans-serif"/>
          <w:b w:val="false"/>
          <w:color w:val="000000"/>
          <w:sz w:val="22"/>
          <w:u w:val="single"/>
        </w:rPr>
        <w:t>Data Privacy Notice</w:t>
      </w:r>
      <w:r>
        <w:rPr>
          <w:color w:val="000000"/>
        </w:rPr>
        <w:t>”</w:t>
      </w:r>
      <w:r>
        <w:rPr>
          <w:rFonts w:ascii="Times New Roman;sans-serif" w:hAnsi="Times New Roman;sans-serif"/>
          <w:b w:val="false"/>
          <w:color w:val="000000"/>
          <w:sz w:val="22"/>
        </w:rPr>
        <w:t xml:space="preserve">). </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data will include data:</w:t>
      </w:r>
    </w:p>
    <w:p>
      <w:pPr>
        <w:pStyle w:val="TextBody"/>
        <w:bidi w:val="0"/>
        <w:spacing w:before="0" w:after="0"/>
        <w:jc w:val="left"/>
        <w:rPr/>
      </w:pPr>
      <w:r>
        <w:rPr/>
      </w:r>
    </w:p>
    <w:p>
      <w:pPr>
        <w:pStyle w:val="TextBody"/>
        <w:bidi w:val="0"/>
        <w:spacing w:lineRule="auto" w:line="240" w:before="0" w:after="0"/>
        <w:ind w:left="0" w:right="0" w:hanging="1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already held in the Participant's records such as the Participant's name and address, ID number, payroll number, length of service and whether the Participant works full-time or part time;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collected upon the Participant accepting the rights granted under the Plan (if applicable); and</w:t>
      </w:r>
    </w:p>
    <w:p>
      <w:pPr>
        <w:pStyle w:val="TextBody"/>
        <w:bidi w:val="0"/>
        <w:spacing w:before="10" w:after="283"/>
        <w:jc w:val="left"/>
        <w:rPr/>
      </w:pPr>
      <w:r>
        <w:rPr/>
      </w:r>
    </w:p>
    <w:p>
      <w:pPr>
        <w:pStyle w:val="TextBody"/>
        <w:bidi w:val="0"/>
        <w:spacing w:lineRule="auto" w:line="240" w:before="0" w:after="0"/>
        <w:ind w:left="0" w:right="0" w:hanging="541"/>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subsequently collected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pStyle w:val="TextBody"/>
        <w:bidi w:val="0"/>
        <w:spacing w:before="11" w:after="283"/>
        <w:jc w:val="left"/>
        <w:rPr/>
      </w:pPr>
      <w:r>
        <w:rPr/>
      </w:r>
    </w:p>
    <w:p>
      <w:pPr>
        <w:pStyle w:val="TextBody"/>
        <w:bidi w:val="0"/>
        <w:spacing w:before="10" w:after="283"/>
        <w:jc w:val="left"/>
        <w:rPr/>
      </w:pPr>
      <w:r>
        <w:rPr/>
      </w:r>
    </w:p>
    <w:p>
      <w:pPr>
        <w:pStyle w:val="TextBody"/>
        <w:bidi w:val="0"/>
        <w:spacing w:lineRule="auto" w:line="240" w:before="79" w:after="283"/>
        <w:ind w:left="0" w:right="0" w:hanging="63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Personal data about the Participant as described in paragraph (a) above may be transferred not only within the country in which the Participant is based from time to time or within the European Economic Area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(“EEA”), but also worldwide, to other Affiliates and/or agents and to the following third parties for the purposes described in paragraph (a) above: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regulators, tax authorities, stock or security exchanges and other supervisory, regulatory, governmental or public bodies as required by law;</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actual or proposed merger or acquisition partners or proposed assignees of, or those taking or proposing to take security over, the business or assets or stock of the Company or its Affiliates and their agents and contractors;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(iv)</w:t>
      </w:r>
      <w:r>
        <w:rPr>
          <w:rFonts w:ascii="Times New Roman;sans-serif" w:hAnsi="Times New Roman;sans-serif"/>
          <w:b w:val="false"/>
          <w:color w:val="000000"/>
          <w:sz w:val="22"/>
        </w:rPr>
        <w:t>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(v)</w:t>
      </w:r>
      <w:r>
        <w:rPr>
          <w:rFonts w:ascii="Times New Roman;sans-serif" w:hAnsi="Times New Roman;sans-serif"/>
          <w:b w:val="false"/>
          <w:color w:val="000000"/>
          <w:sz w:val="22"/>
        </w:rPr>
        <w:t xml:space="preserve">the Participant's family members, heirs, legatees and others associated with the Participant in connection with the Plan. </w:t>
      </w:r>
    </w:p>
    <w:p>
      <w:pPr>
        <w:pStyle w:val="TextBody"/>
        <w:bidi w:val="0"/>
        <w:spacing w:before="10" w:after="283"/>
        <w:jc w:val="left"/>
        <w:rPr/>
      </w:pPr>
      <w:r>
        <w:rPr/>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European Economic Area is composed of 27 member states of the European Union plus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appropriate measures are in place to ensure an adequate level of protection for your personal data, including technical or contractual measures where necessary.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 national and international transfer of personal data is only done in order to fulfill the obligations and rights of the Company and/or its Affiliates under the Plan.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before="0" w:after="0"/>
        <w:jc w:val="left"/>
        <w:rPr/>
      </w:pPr>
      <w:r>
        <w:rPr/>
      </w:r>
    </w:p>
    <w:p>
      <w:pPr>
        <w:pStyle w:val="TextBody"/>
        <w:bidi w:val="0"/>
        <w:spacing w:lineRule="auto" w:line="240" w:before="0" w:after="0"/>
        <w:ind w:left="0" w:right="0" w:hanging="630"/>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The processing (including transfer) of data described above is essential for the administration and operation of the Plan. Therefore, it is essential that his/her personal data is processed in the manner described above. </w:t>
      </w:r>
    </w:p>
    <w:p>
      <w:pPr>
        <w:pStyle w:val="TextBody"/>
        <w:bidi w:val="0"/>
        <w:spacing w:lineRule="auto" w:line="240" w:before="90" w:after="283"/>
        <w:ind w:left="0" w:right="0" w:hanging="630"/>
        <w:jc w:val="left"/>
        <w:rPr/>
      </w:pPr>
      <w:r>
        <w:rPr>
          <w:rFonts w:ascii="Times New Roman;sans-serif" w:hAnsi="Times New Roman;sans-serif"/>
          <w:b w:val="false"/>
          <w:color w:val="000000"/>
          <w:sz w:val="24"/>
        </w:rPr>
        <w:t>(d)</w:t>
      </w:r>
      <w:r>
        <w:rPr>
          <w:rFonts w:ascii="Times New Roman;sans-serif" w:hAnsi="Times New Roman;sans-serif"/>
          <w:b w:val="false"/>
          <w:color w:val="000000"/>
          <w:sz w:val="22"/>
        </w:rPr>
        <w:t>The Company will only retain personal data for as long as is required to satisfy the purposes as described in paragraph (a) above, except where otherwise provided or required by law (e.g. in connection with pending litigation).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10.97</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FY24 CEO Stock Option Grant Agreement (2023 Plan)</w:t>
      </w:r>
    </w:p>
    <w:p>
      <w:pPr>
        <w:pStyle w:val="TextBody"/>
        <w:bidi w:val="0"/>
        <w:spacing w:lineRule="auto" w:line="240" w:before="206" w:after="283"/>
        <w:ind w:left="0" w:right="0" w:firstLine="620"/>
        <w:jc w:val="left"/>
        <w:rPr/>
      </w:pPr>
      <w:r>
        <w:rPr>
          <w:rFonts w:ascii="Times New Roman;sans-serif" w:hAnsi="Times New Roman;sans-serif"/>
          <w:b/>
          <w:color w:val="000000"/>
          <w:sz w:val="24"/>
        </w:rPr>
        <w:t>FORM OF NON-QUALIFIED STOCK OPTION AWARD</w:t>
      </w:r>
      <w:r>
        <w:rPr>
          <w:color w:val="000000"/>
        </w:rPr>
        <w:t xml:space="preserve"> </w:t>
      </w:r>
      <w:r>
        <w:rPr>
          <w:rFonts w:ascii="Times New Roman;sans-serif" w:hAnsi="Times New Roman;sans-serif"/>
          <w:b w:val="false"/>
          <w:color w:val="000000"/>
          <w:sz w:val="24"/>
        </w:rPr>
        <w:t>(this “Award”) dated as of the Date of Grant set forth on the Certificate of Grant to which this Award is attached (the “Grant Date”) between Aramark (formerly known as ARAMARK HOLDINGS CORPORATION), a Delaware corporation (the “Company”), and the Participant set forth on the Certificate of Grant of the Options attached to this Award and made a part hereof (the “Certificate of Grant”).</w:t>
      </w:r>
    </w:p>
    <w:p>
      <w:pPr>
        <w:pStyle w:val="TextBody"/>
        <w:bidi w:val="0"/>
        <w:spacing w:before="10" w:after="283"/>
        <w:jc w:val="left"/>
        <w:rPr/>
      </w:pPr>
      <w:r>
        <w:rPr/>
      </w:r>
    </w:p>
    <w:p>
      <w:pPr>
        <w:pStyle w:val="TextBody"/>
        <w:bidi w:val="0"/>
        <w:spacing w:lineRule="auto" w:line="240" w:before="0" w:after="0"/>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acting through the Committee (as such term is defined in the Plan) or a subcommittee thereof, has agreed to grant to the Participant, as of the Grant Date, an option under the Company 2023 Stock Incentive Plan (as may be</w:t>
      </w:r>
    </w:p>
    <w:p>
      <w:pPr>
        <w:pStyle w:val="TextBody"/>
        <w:bidi w:val="0"/>
        <w:spacing w:lineRule="auto" w:line="240" w:before="1" w:after="283"/>
        <w:jc w:val="left"/>
        <w:rPr/>
      </w:pPr>
      <w:r>
        <w:rPr>
          <w:rFonts w:ascii="Times New Roman;sans-serif" w:hAnsi="Times New Roman;sans-serif"/>
          <w:b w:val="false"/>
          <w:color w:val="000000"/>
          <w:sz w:val="24"/>
        </w:rPr>
        <w:t>amended,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to purchase a number of shares of Common Stock on the terms and subject to the conditions set forth in this Award, the Certificate of Grant and the Plan.</w:t>
      </w:r>
    </w:p>
    <w:p>
      <w:pPr>
        <w:pStyle w:val="TextBody"/>
        <w:bidi w:val="0"/>
        <w:spacing w:before="9"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promises and agreements contained in this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Award: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The Plan</w:t>
      </w:r>
      <w:r>
        <w:rPr>
          <w:rFonts w:ascii="Times New Roman;sans-serif" w:hAnsi="Times New Roman;sans-serif"/>
          <w:b w:val="false"/>
          <w:color w:val="000000"/>
          <w:sz w:val="24"/>
        </w:rPr>
        <w:t>. The terms and provisions of the Plan are hereby incorporated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into this Award as if set forth herein in their entirety. In the event of a conflict between any provision of this Award and the Plan, the provisions of the Plan shall control. A copy of the Plan has been provided to the Participant. Capitalized terms used herein and not otherwise defined herein shall have the respective meanings ascribed thereto in the Plan and the Certificate of Grant.</w:t>
      </w:r>
    </w:p>
    <w:p>
      <w:pPr>
        <w:pStyle w:val="TextBody"/>
        <w:bidi w:val="0"/>
        <w:spacing w:before="1" w:after="283"/>
        <w:jc w:val="left"/>
        <w:rPr/>
      </w:pPr>
      <w:r>
        <w:rPr/>
      </w:r>
    </w:p>
    <w:p>
      <w:pPr>
        <w:pStyle w:val="TextBody"/>
        <w:bidi w:val="0"/>
        <w:spacing w:lineRule="auto" w:line="240" w:before="90" w:after="283"/>
        <w:ind w:left="0" w:right="0" w:firstLine="719"/>
        <w:jc w:val="left"/>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Option Award; Exercise Price; Exercise of Vested Option</w:t>
      </w:r>
      <w:r>
        <w:rPr>
          <w:rFonts w:ascii="Times New Roman;sans-serif" w:hAnsi="Times New Roman;sans-serif"/>
          <w:b w:val="false"/>
          <w:color w:val="000000"/>
          <w:sz w:val="24"/>
        </w:rPr>
        <w:t>. Effective on the Grant Date, on the terms and subject to the conditions of the Plan and this Award, the Company hereby grants to the Participant the option to purchase the number of Shares set forth on the Certificate of Grant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at the Exercise Price equal to the Exercise Price as set forth on the Certificate of Grant. Upon any exercise of any portion of any Vested Options, the payment of the Exercise Price may be made, at the election of the Participant, in any manner specified under Section 7(d) of the Plan, as such section is in effect on the Grant Date. The Option is not intended to qualify for federal income tax purposes as an “incentive stock option” within the meaning of Section 422 of the Code.</w:t>
      </w:r>
    </w:p>
    <w:p>
      <w:pPr>
        <w:pStyle w:val="TextBody"/>
        <w:bidi w:val="0"/>
        <w:spacing w:before="10" w:after="283"/>
        <w:jc w:val="left"/>
        <w:rPr/>
      </w:pPr>
      <w:r>
        <w:rPr/>
      </w:r>
    </w:p>
    <w:p>
      <w:pPr>
        <w:pStyle w:val="TextBody"/>
        <w:bidi w:val="0"/>
        <w:spacing w:lineRule="auto" w:line="240" w:before="1" w:after="283"/>
        <w:ind w:left="0" w:right="0" w:firstLine="719"/>
        <w:jc w:val="left"/>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the Option (the “</w:t>
      </w:r>
      <w:r>
        <w:rPr>
          <w:rFonts w:ascii="Times New Roman;sans-serif" w:hAnsi="Times New Roman;sans-serif"/>
          <w:b w:val="false"/>
          <w:color w:val="000000"/>
          <w:sz w:val="24"/>
          <w:u w:val="single"/>
        </w:rPr>
        <w:t>Option Term</w:t>
      </w:r>
      <w:r>
        <w:rPr>
          <w:color w:val="000000"/>
        </w:rPr>
        <w:t>”</w:t>
      </w:r>
      <w:r>
        <w:rPr>
          <w:rFonts w:ascii="Times New Roman;sans-serif" w:hAnsi="Times New Roman;sans-serif"/>
          <w:b w:val="false"/>
          <w:color w:val="000000"/>
          <w:sz w:val="24"/>
        </w:rPr>
        <w:t>) shall commence on the Grant Date and expire on the Expiration Date set forth on the Certificate of Grant, unless the Option shall have sooner been terminated in accordance with the terms of the Plan (including, without limitation, Section 13 of the Plan) or this Award.</w:t>
      </w:r>
    </w:p>
    <w:p>
      <w:pPr>
        <w:pStyle w:val="TextBody"/>
        <w:bidi w:val="0"/>
        <w:spacing w:before="9" w:after="283"/>
        <w:jc w:val="left"/>
        <w:rPr/>
      </w:pPr>
      <w:r>
        <w:rPr/>
      </w:r>
    </w:p>
    <w:p>
      <w:pPr>
        <w:pStyle w:val="TextBody"/>
        <w:bidi w:val="0"/>
        <w:spacing w:lineRule="auto" w:line="240" w:before="1" w:after="283"/>
        <w:ind w:left="0" w:right="0" w:firstLine="719"/>
        <w:jc w:val="left"/>
        <w:rPr/>
      </w:pPr>
      <w:r>
        <w:rPr>
          <w:rFonts w:ascii="Times New Roman;sans-serif" w:hAnsi="Times New Roman;sans-serif"/>
          <w:b w:val="false"/>
          <w:color w:val="000000"/>
          <w:sz w:val="24"/>
        </w:rPr>
        <w:t>Section 4.    </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Subject to the Participant’s not having a Termination of Relationship and except as otherwise set forth in Section 7 hereof, the Options shall become non- forfeitable and exercisable (any Options that shall have become non-forfeitable and exercisable pursuant to this Section 4, the “</w:t>
      </w:r>
      <w:r>
        <w:rPr>
          <w:rFonts w:ascii="Times New Roman;sans-serif" w:hAnsi="Times New Roman;sans-serif"/>
          <w:b w:val="false"/>
          <w:color w:val="000000"/>
          <w:sz w:val="24"/>
          <w:u w:val="single"/>
        </w:rPr>
        <w:t>Vested Options</w:t>
      </w:r>
      <w:r>
        <w:rPr>
          <w:color w:val="000000"/>
        </w:rPr>
        <w:t>”</w:t>
      </w:r>
      <w:r>
        <w:rPr>
          <w:rFonts w:ascii="Times New Roman;sans-serif" w:hAnsi="Times New Roman;sans-serif"/>
          <w:b w:val="false"/>
          <w:color w:val="000000"/>
          <w:sz w:val="24"/>
        </w:rPr>
        <w:t>) as follows:</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(a)in such percentages as on such dates as set forth on the Certificate of Grant of this Award under “</w:t>
      </w:r>
      <w:r>
        <w:rPr>
          <w:rFonts w:ascii="Times New Roman;sans-serif" w:hAnsi="Times New Roman;sans-serif"/>
          <w:b w:val="false"/>
          <w:color w:val="000000"/>
          <w:sz w:val="24"/>
          <w:u w:val="single"/>
        </w:rPr>
        <w:t>Vesting Schedule</w:t>
      </w:r>
      <w:r>
        <w:rPr>
          <w:color w:val="000000"/>
        </w:rPr>
        <w:t>”</w:t>
      </w:r>
      <w:r>
        <w:rPr>
          <w:rFonts w:ascii="Times New Roman;sans-serif" w:hAnsi="Times New Roman;sans-serif"/>
          <w:b w:val="false"/>
          <w:color w:val="000000"/>
          <w:sz w:val="24"/>
        </w:rPr>
        <w:t>; or</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(b)in the event of Participant’s Disability (a “</w:t>
      </w:r>
      <w:r>
        <w:rPr>
          <w:rFonts w:ascii="Times New Roman;sans-serif" w:hAnsi="Times New Roman;sans-serif"/>
          <w:b w:val="false"/>
          <w:color w:val="000000"/>
          <w:sz w:val="24"/>
          <w:u w:val="single"/>
        </w:rPr>
        <w:t>Special Termination</w:t>
      </w:r>
      <w:r>
        <w:rPr>
          <w:color w:val="000000"/>
        </w:rPr>
        <w:t>”</w:t>
      </w:r>
      <w:r>
        <w:rPr>
          <w:rFonts w:ascii="Times New Roman;sans-serif" w:hAnsi="Times New Roman;sans-serif"/>
          <w:b w:val="false"/>
          <w:color w:val="000000"/>
          <w:sz w:val="24"/>
        </w:rPr>
        <w:t>), the installment of Options scheduled to vest on the next Vesting Date immediately following such</w:t>
      </w:r>
    </w:p>
    <w:p>
      <w:pPr>
        <w:pStyle w:val="TextBody"/>
        <w:bidi w:val="0"/>
        <w:spacing w:before="0" w:after="0"/>
        <w:ind w:left="0" w:right="0" w:firstLine="1439"/>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Special Termination shall immediately become Vested Options, and the remaining Options which are not then Vested Options shall be forfeited;</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(c)upon Participant’s death, any previously unvested Options shall immediately become Vested Options;</w:t>
      </w:r>
    </w:p>
    <w:p>
      <w:pPr>
        <w:pStyle w:val="TextBody"/>
        <w:bidi w:val="0"/>
        <w:spacing w:before="10" w:after="283"/>
        <w:jc w:val="left"/>
        <w:rPr/>
      </w:pPr>
      <w:r>
        <w:rPr/>
      </w:r>
    </w:p>
    <w:p>
      <w:pPr>
        <w:pStyle w:val="TextBody"/>
        <w:bidi w:val="0"/>
        <w:spacing w:lineRule="auto" w:line="24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(d)upon a Termination of Relationship as a result of the Participant’s Retirement with Notice, any previously unvested Options shall remain outstanding and become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Vested Options on the normal scheduled future Vesting Date(s) occurring during the remainder of the full term of the Options, as if no Termination of Relationship had occurred;</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(e)in the event of (i) the occurrence of a Change of Control and</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(ii)thereafter, a Termination of Relationship of the Participant by the Company or any of its Affiliates (or successors in interest) without Cause or by the Participant for Good Reason that occurs prior to the second anniversary of the Change of Control, then each outstanding Option which has not theretofore become a Vested Option pursuant to Section 4(a) shall become a Vested Option on the date of such Termination of Relationship; or</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(f)except as otherwise provided above with respect to a Special Termination, death, or Retirement with Notice or a Termination of Relationship as provided in Section 4(e) above, upon a Termination of Relationship for any other reason, the unvested portion of the Option (i.e. , that portion which does not constitute Vested Options) shall terminate and cease to be outstanding on the date the Termination of Relationship occurs and shall no longer be eligible to become Vested Options.</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As used herein, the term “Retirement with Notice” means the Participant’s Termination of Relationship due to his retirement from the Company and its Affiliates after providing the Company with at least 6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following October 7, 2019 (or such earlier date as approved by the Committee in its sole discretion);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xml:space="preserve">,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such that, for purposes of this Section 4 and Section 7 below, the Participant shall not be treated as having had a Termination of Relationship prior to the effective date of the Retirement with Notice; and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further</w:t>
      </w:r>
      <w:r>
        <w:rPr>
          <w:rFonts w:ascii="Times New Roman;sans-serif" w:hAnsi="Times New Roman;sans-serif"/>
          <w:b w:val="false"/>
          <w:color w:val="000000"/>
          <w:sz w:val="24"/>
        </w:rPr>
        <w:t>, that the Committee may, in its sole discretion, waive any such notice, in whole or in part, as may be required for Participant to effect a Retirement with Notice.</w:t>
      </w:r>
    </w:p>
    <w:p>
      <w:pPr>
        <w:pStyle w:val="TextBody"/>
        <w:bidi w:val="0"/>
        <w:spacing w:before="0" w:after="0"/>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5.    </w:t>
      </w:r>
      <w:r>
        <w:rPr>
          <w:rFonts w:ascii="Times New Roman;sans-serif" w:hAnsi="Times New Roman;sans-serif"/>
          <w:b w:val="false"/>
          <w:color w:val="000000"/>
          <w:sz w:val="24"/>
          <w:u w:val="single"/>
        </w:rPr>
        <w:t>Restriction on Transfer</w:t>
      </w:r>
      <w:r>
        <w:rPr>
          <w:rFonts w:ascii="Times New Roman;sans-serif" w:hAnsi="Times New Roman;sans-serif"/>
          <w:b w:val="false"/>
          <w:color w:val="000000"/>
          <w:sz w:val="24"/>
        </w:rPr>
        <w:t>. The Option may not be transferred, pledged, assigned, hypothecated or otherwise disposed of in any way by the Participant, except (i) if permitted by the Board or the Committee, (ii) by will or the laws of descent and distribution 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(iii)pursuant to beneficiary designation procedures approved by the Company, in each case, in compliance with applicable laws. The Option shall not be subject to execution, attachment or similar process. Any attempted assignment, transfer, pledge, hypothecation or other disposition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9700"/>
                <wp:effectExtent l="0" t="0" r="0" b="0"/>
                <wp:wrapNone/>
                <wp:docPr id="168" name="Frame16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the Option contrary to the provisions of this Award or the Plan shall be null and void and without effect.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6.    </w:t>
      </w:r>
      <w:r>
        <w:rPr>
          <w:rFonts w:ascii="Times New Roman;sans-serif" w:hAnsi="Times New Roman;sans-serif"/>
          <w:b w:val="false"/>
          <w:color w:val="000000"/>
          <w:sz w:val="24"/>
          <w:u w:val="single"/>
        </w:rPr>
        <w:t>Participant’s Employment</w:t>
      </w:r>
      <w:r>
        <w:rPr>
          <w:rFonts w:ascii="Times New Roman;sans-serif" w:hAnsi="Times New Roman;sans-serif"/>
          <w:b w:val="false"/>
          <w:color w:val="000000"/>
          <w:sz w:val="24"/>
        </w:rPr>
        <w:t>. Nothing in this Award shall confer upon the Participant any right to continue in the employ of the Company or any of its Affiliates or interfere in any way with the right of the Company and its Affiliates, in their sole discretion,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terminate the Participant’s employment or to increase or decrease the Participant’s compensation at any time.</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7.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The Option shall automatically terminate and shall become null and void, be unexercisable and be of no further force and effect upon the earliest of:</w:t>
      </w:r>
    </w:p>
    <w:p>
      <w:pPr>
        <w:pStyle w:val="TextBody"/>
        <w:bidi w:val="0"/>
        <w:spacing w:before="10" w:after="283"/>
        <w:jc w:val="left"/>
        <w:rPr/>
      </w:pPr>
      <w:r>
        <w:rPr/>
      </w:r>
    </w:p>
    <w:p>
      <w:pPr>
        <w:pStyle w:val="TextBody"/>
        <w:bidi w:val="0"/>
        <w:spacing w:lineRule="auto" w:line="240" w:before="1"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(a)the Expiration Date;</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(b)in the case of a Termination of Relationship due to a Special Termination, with respect to any Options that are vested as of the Termination of Relationship, the first anniversary of the Termination of Relationship;</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 xml:space="preserve">(c)in the case of a Termination of Relationship </w:t>
      </w:r>
      <w:r>
        <w:rPr>
          <w:rFonts w:ascii="Times New Roman;sans-serif" w:hAnsi="Times New Roman;sans-serif"/>
          <w:b w:val="false"/>
          <w:i/>
          <w:color w:val="000000"/>
          <w:sz w:val="24"/>
          <w:u w:val="single"/>
        </w:rPr>
        <w:t>other than</w:t>
      </w:r>
      <w:r>
        <w:rPr>
          <w:color w:val="000000"/>
        </w:rPr>
        <w:t xml:space="preserve"> </w:t>
      </w:r>
      <w:r>
        <w:rPr>
          <w:rFonts w:ascii="Times New Roman;sans-serif" w:hAnsi="Times New Roman;sans-serif"/>
          <w:b w:val="false"/>
          <w:color w:val="000000"/>
          <w:sz w:val="24"/>
        </w:rPr>
        <w:t>(x) for Cause or (y) due to a Special Termination, Retirement with Notice, or death, the 90th day following the Termination of Relationship;</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(d)the day of the Termination of Relationship in the case of a Termination of Relationship for Cause;</w:t>
      </w:r>
    </w:p>
    <w:p>
      <w:pPr>
        <w:pStyle w:val="TextBody"/>
        <w:bidi w:val="0"/>
        <w:spacing w:before="10" w:after="283"/>
        <w:jc w:val="left"/>
        <w:rPr/>
      </w:pPr>
      <w:r>
        <w:rPr/>
      </w:r>
    </w:p>
    <w:p>
      <w:pPr>
        <w:pStyle w:val="TextBody"/>
        <w:bidi w:val="0"/>
        <w:spacing w:lineRule="auto" w:line="240" w:before="0" w:after="0"/>
        <w:ind w:left="0" w:right="0" w:firstLine="1439"/>
        <w:jc w:val="both"/>
        <w:rPr>
          <w:rFonts w:ascii="Times New Roman;sans-serif" w:hAnsi="Times New Roman;sans-serif"/>
          <w:b w:val="false"/>
          <w:color w:val="000000"/>
          <w:sz w:val="24"/>
        </w:rPr>
      </w:pPr>
      <w:r>
        <w:rPr>
          <w:rFonts w:ascii="Times New Roman;sans-serif" w:hAnsi="Times New Roman;sans-serif"/>
          <w:b w:val="false"/>
          <w:color w:val="000000"/>
          <w:sz w:val="24"/>
        </w:rPr>
        <w:t>(e)in the case of Participant’s Retirement with Notice, with respect to any Options that are or become Vested Options as a result of the Termination of Relationship, the Expiration Date; and</w:t>
      </w:r>
    </w:p>
    <w:p>
      <w:pPr>
        <w:pStyle w:val="TextBody"/>
        <w:bidi w:val="0"/>
        <w:spacing w:before="11"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(f)in the case of Participant’s death, with respect to any Options that are or become Vested Options upon the Termination of Relationship, one year following Participant’s death (or the Expiration Date, whichever comes first).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8.    </w:t>
      </w:r>
      <w:r>
        <w:rPr>
          <w:rFonts w:ascii="Times New Roman;sans-serif" w:hAnsi="Times New Roman;sans-serif"/>
          <w:b/>
          <w:color w:val="000000"/>
          <w:sz w:val="24"/>
          <w:u w:val="single"/>
        </w:rPr>
        <w:t>Data Protection</w:t>
      </w:r>
      <w:r>
        <w:rPr>
          <w:rFonts w:ascii="Times New Roman;sans-serif" w:hAnsi="Times New Roman;sans-serif"/>
          <w:b/>
          <w:color w:val="000000"/>
          <w:sz w:val="24"/>
        </w:rPr>
        <w:t xml:space="preserve">. By accepting this Award, the Participant understands that the processing (including international transfer) of personal data as set out in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rPr>
        <w:t>attached hereto for the purposes specified therein and if required by applicable law, rule or regulation</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9.    </w:t>
      </w:r>
      <w:r>
        <w:rPr>
          <w:rFonts w:ascii="Times New Roman;sans-serif" w:hAnsi="Times New Roman;sans-serif"/>
          <w:b w:val="false"/>
          <w:color w:val="000000"/>
          <w:sz w:val="24"/>
          <w:u w:val="single"/>
        </w:rPr>
        <w:t>No Rights as Stockholder</w:t>
      </w:r>
      <w:r>
        <w:rPr>
          <w:rFonts w:ascii="Times New Roman;sans-serif" w:hAnsi="Times New Roman;sans-serif"/>
          <w:b w:val="false"/>
          <w:color w:val="000000"/>
          <w:sz w:val="24"/>
        </w:rPr>
        <w:t>. The Participant shall not have any rights of a stockholder of the Company until shares of Common Stock have been issued pursuant to the exercise of the Options hereunder and until such shares have been registered in the Company’s register of stockholders (including, without limitation, the right to any payment of any dividends paid on Shares (which prohibition does not prevent the Company, in its discretion, from providing dividend equivalent payments to the Participant or reducing the exercise price in respect of the Option pursuant to the Plan)).</w:t>
      </w:r>
    </w:p>
    <w:p>
      <w:pPr>
        <w:pStyle w:val="TextBody"/>
        <w:bidi w:val="0"/>
        <w:spacing w:before="11"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10.    </w:t>
      </w:r>
      <w:r>
        <w:rPr>
          <w:rFonts w:ascii="Times New Roman;sans-serif" w:hAnsi="Times New Roman;sans-serif"/>
          <w:b/>
          <w:color w:val="000000"/>
          <w:sz w:val="24"/>
          <w:u w:val="single"/>
        </w:rPr>
        <w:t>No Acquired Rights</w:t>
      </w:r>
      <w:r>
        <w:rPr>
          <w:rFonts w:ascii="Times New Roman;sans-serif" w:hAnsi="Times New Roman;sans-serif"/>
          <w:b w:val="false"/>
          <w:color w:val="000000"/>
          <w:sz w:val="24"/>
        </w:rPr>
        <w:t>. The Committee or the Board has the power to amend or terminate the Plan at any time and the opportunity given to the Participant to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9700"/>
                <wp:effectExtent l="0" t="0" r="0" b="0"/>
                <wp:wrapNone/>
                <wp:docPr id="169" name="Frame16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participate in the Plan and the grant of this Award is entirely at the discretion of the Committee or the Board and does not obligate the Company or any of its Affiliates to offer such participation in the future (whether on the same or different terms). The Participant’s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 it at:</w:t>
      </w:r>
    </w:p>
    <w:p>
      <w:pPr>
        <w:pStyle w:val="TextBody"/>
        <w:bidi w:val="0"/>
        <w:spacing w:before="10" w:after="283"/>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Aramark</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2400 Market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Philadelphia, PA 19103 Attention: General Counsel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before="10" w:after="283"/>
        <w:jc w:val="left"/>
        <w:rPr/>
      </w:pPr>
      <w:r>
        <w:rPr/>
      </w:r>
    </w:p>
    <w:p>
      <w:pPr>
        <w:pStyle w:val="TextBody"/>
        <w:bidi w:val="0"/>
        <w:spacing w:lineRule="auto" w:line="240" w:before="1" w:after="283"/>
        <w:ind w:left="0" w:right="0" w:firstLine="719"/>
        <w:jc w:val="both"/>
        <w:rPr/>
      </w:pPr>
      <w:r>
        <w:rPr>
          <w:rFonts w:ascii="Times New Roman;sans-serif" w:hAnsi="Times New Roman;sans-serif"/>
          <w:b w:val="false"/>
          <w:color w:val="000000"/>
          <w:sz w:val="24"/>
        </w:rPr>
        <w:t xml:space="preserve">Section 12. </w:t>
      </w:r>
      <w:r>
        <w:rPr>
          <w:rFonts w:ascii="Times New Roman;sans-serif" w:hAnsi="Times New Roman;sans-serif"/>
          <w:b w:val="false"/>
          <w:color w:val="000000"/>
          <w:sz w:val="24"/>
          <w:u w:val="single"/>
        </w:rPr>
        <w:t>Waiver of Breach</w:t>
      </w:r>
      <w:r>
        <w:rPr>
          <w:rFonts w:ascii="Times New Roman;sans-serif" w:hAnsi="Times New Roman;sans-serif"/>
          <w:b w:val="false"/>
          <w:color w:val="000000"/>
          <w:sz w:val="24"/>
        </w:rPr>
        <w:t>. The waiver by either party of a breach of any provision of this Award must be in writing and shall not operate or be construed as a waiver of any other or subsequent breach.</w:t>
      </w:r>
    </w:p>
    <w:p>
      <w:pPr>
        <w:pStyle w:val="TextBody"/>
        <w:bidi w:val="0"/>
        <w:spacing w:before="9" w:after="283"/>
        <w:jc w:val="left"/>
        <w:rPr/>
      </w:pPr>
      <w:r>
        <w:rPr/>
      </w:r>
    </w:p>
    <w:p>
      <w:pPr>
        <w:pStyle w:val="TextBody"/>
        <w:bidi w:val="0"/>
        <w:spacing w:lineRule="auto" w:line="240" w:before="1" w:after="283"/>
        <w:ind w:left="0" w:right="0" w:firstLine="719"/>
        <w:jc w:val="left"/>
        <w:rPr/>
      </w:pPr>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9700"/>
                <wp:effectExtent l="0" t="0" r="0" b="0"/>
                <wp:wrapNone/>
                <wp:docPr id="170" name="Frame16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JURISDICTION’S CHOICE OF LAW OR CONFLICT OF LAW ANALYSIS, THE SUBSTANTIVE LAW OF SOME OTHER JURISDICTION WOULD ORDINARILY APPLY.</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14.    </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As a condition to exercising this Option in whole or in part, the Participant will pay, or make provisions satisfactory to the Company for payment of, any Federal, state, local and other applicable taxes required to be withheld in connection with such exercise in a manner that is set forth in Section 7(d) of the Plan.</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 xml:space="preserve">Section 15. </w:t>
      </w:r>
      <w:r>
        <w:rPr>
          <w:rFonts w:ascii="Times New Roman;sans-serif" w:hAnsi="Times New Roman;sans-serif"/>
          <w:b w:val="false"/>
          <w:color w:val="000000"/>
          <w:sz w:val="24"/>
          <w:u w:val="single"/>
        </w:rPr>
        <w:t>Adjustment to Option</w:t>
      </w:r>
      <w:r>
        <w:rPr>
          <w:rFonts w:ascii="Times New Roman;sans-serif" w:hAnsi="Times New Roman;sans-serif"/>
          <w:b w:val="false"/>
          <w:color w:val="000000"/>
          <w:sz w:val="24"/>
        </w:rPr>
        <w:t>. In the event of any event described in Section 12 of the Plan occurring after the Grant Date, the adjustment provisions (including cash payments) as provided for under Section 12 of the Plan shall apply.</w:t>
      </w:r>
    </w:p>
    <w:p>
      <w:pPr>
        <w:pStyle w:val="TextBody"/>
        <w:bidi w:val="0"/>
        <w:spacing w:before="10" w:after="283"/>
        <w:jc w:val="left"/>
        <w:rPr/>
      </w:pPr>
      <w:r>
        <w:rPr/>
      </w:r>
    </w:p>
    <w:p>
      <w:pPr>
        <w:pStyle w:val="TextBody"/>
        <w:bidi w:val="0"/>
        <w:spacing w:lineRule="auto" w:line="240" w:before="1" w:after="283"/>
        <w:ind w:left="0" w:right="0" w:firstLine="719"/>
        <w:jc w:val="left"/>
        <w:rPr/>
      </w:pPr>
      <w:r>
        <w:rPr>
          <w:rFonts w:ascii="Times New Roman;sans-serif" w:hAnsi="Times New Roman;sans-serif"/>
          <w:b w:val="false"/>
          <w:color w:val="000000"/>
          <w:sz w:val="24"/>
        </w:rPr>
        <w:t>Section 16.    </w:t>
      </w:r>
      <w:r>
        <w:rPr>
          <w:rFonts w:ascii="Times New Roman;sans-serif" w:hAnsi="Times New Roman;sans-serif"/>
          <w:b w:val="false"/>
          <w:color w:val="000000"/>
          <w:sz w:val="24"/>
          <w:u w:val="single"/>
        </w:rPr>
        <w:t>Section 409A of the Code</w:t>
      </w:r>
      <w:r>
        <w:rPr>
          <w:rFonts w:ascii="Times New Roman;sans-serif" w:hAnsi="Times New Roman;sans-serif"/>
          <w:b w:val="false"/>
          <w:color w:val="000000"/>
          <w:sz w:val="24"/>
        </w:rPr>
        <w:t>. This Option is intended to constitute a “stock right” within the meaning of Section 409A of the Code, and shall otherwise be subject to the provisions of Section 15(u) of the Plan.</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17.    </w:t>
      </w:r>
      <w:r>
        <w:rPr>
          <w:rFonts w:ascii="Times New Roman;sans-serif" w:hAnsi="Times New Roman;sans-serif"/>
          <w:b w:val="false"/>
          <w:color w:val="000000"/>
          <w:sz w:val="24"/>
          <w:u w:val="single"/>
        </w:rPr>
        <w:t>Modification of Rights; Entire Agreement</w:t>
      </w:r>
      <w:r>
        <w:rPr>
          <w:rFonts w:ascii="Times New Roman;sans-serif" w:hAnsi="Times New Roman;sans-serif"/>
          <w:b w:val="false"/>
          <w:color w:val="000000"/>
          <w:sz w:val="24"/>
        </w:rPr>
        <w:t>. The Participant’s rights under this Award, the Certificate of Grant and the Plan may be modified only to the extent expressly provided under this Award or under Sections 14(a) and (b) of the Plan. This Award, the Certificate of Grant and the Plan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pStyle w:val="TextBody"/>
        <w:bidi w:val="0"/>
        <w:spacing w:before="10"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18.    </w:t>
      </w:r>
      <w:r>
        <w:rPr>
          <w:rFonts w:ascii="Times New Roman;sans-serif" w:hAnsi="Times New Roman;sans-serif"/>
          <w:b w:val="false"/>
          <w:color w:val="000000"/>
          <w:sz w:val="24"/>
          <w:u w:val="single"/>
        </w:rPr>
        <w:t>Clawback upon Breach of Restrictive Covenants</w:t>
      </w:r>
      <w:r>
        <w:rPr>
          <w:rFonts w:ascii="Times New Roman;sans-serif" w:hAnsi="Times New Roman;sans-serif"/>
          <w:b w:val="false"/>
          <w:color w:val="000000"/>
          <w:sz w:val="24"/>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Option and the Participant shall be required to return to the Company all Shares previously issued in respect of the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Option.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pStyle w:val="TextBody"/>
        <w:bidi w:val="0"/>
        <w:spacing w:before="0" w:after="0"/>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Section 19.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9700"/>
                <wp:effectExtent l="0" t="0" r="0" b="0"/>
                <wp:wrapNone/>
                <wp:docPr id="171" name="Frame16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lineRule="auto" w:line="556"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[(Per Certificate of Grant)] Date:    [Acceptance Date]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[Note: Grant will be accepted electronically.]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84"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9700"/>
                <wp:effectExtent l="0" t="0" r="0" b="0"/>
                <wp:wrapNone/>
                <wp:docPr id="172" name="Frame16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2" w:after="283"/>
        <w:jc w:val="left"/>
        <w:rPr/>
      </w:pPr>
      <w:r>
        <w:rPr/>
      </w:r>
    </w:p>
    <w:p>
      <w:pPr>
        <w:pStyle w:val="TextBody"/>
        <w:bidi w:val="0"/>
        <w:spacing w:lineRule="auto" w:line="240" w:before="90" w:after="283"/>
        <w:jc w:val="left"/>
        <w:rPr>
          <w:rFonts w:ascii="Times New Roman;sans-serif" w:hAnsi="Times New Roman;sans-serif"/>
          <w:b/>
          <w:color w:val="000000"/>
          <w:sz w:val="24"/>
        </w:rPr>
      </w:pPr>
      <w:r>
        <w:rPr>
          <w:rFonts w:ascii="Times New Roman;sans-serif" w:hAnsi="Times New Roman;sans-serif"/>
          <w:b/>
          <w:color w:val="000000"/>
          <w:sz w:val="24"/>
        </w:rPr>
        <w:t>DATA PRIVACY NOTICE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sans-serif" w:hAnsi="Times New Roman;sans-serif"/>
          <w:b w:val="false"/>
          <w:color w:val="000000"/>
          <w:sz w:val="22"/>
          <w:u w:val="single"/>
        </w:rPr>
        <w:t>Data Privacy Notice</w:t>
      </w:r>
      <w:r>
        <w:rPr>
          <w:color w:val="000000"/>
        </w:rPr>
        <w:t>”</w:t>
      </w:r>
      <w:r>
        <w:rPr>
          <w:rFonts w:ascii="Times New Roman;sans-serif" w:hAnsi="Times New Roman;sans-serif"/>
          <w:b w:val="false"/>
          <w:color w:val="000000"/>
          <w:sz w:val="22"/>
        </w:rPr>
        <w:t xml:space="preserve">). </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data will include data:</w:t>
      </w:r>
    </w:p>
    <w:p>
      <w:pPr>
        <w:pStyle w:val="TextBody"/>
        <w:bidi w:val="0"/>
        <w:spacing w:before="0" w:after="0"/>
        <w:jc w:val="left"/>
        <w:rPr/>
      </w:pPr>
      <w:r>
        <w:rPr/>
      </w:r>
    </w:p>
    <w:p>
      <w:pPr>
        <w:pStyle w:val="TextBody"/>
        <w:bidi w:val="0"/>
        <w:spacing w:lineRule="auto" w:line="240" w:before="0" w:after="0"/>
        <w:ind w:left="0" w:right="0" w:hanging="1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already held in the Participant's records such as the Participant's name and address, ID number, payroll number, length of service and whether the Participant works full-time or part time;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collected upon the Participant accepting the rights granted under the Plan (if applicable); and</w:t>
      </w:r>
    </w:p>
    <w:p>
      <w:pPr>
        <w:pStyle w:val="TextBody"/>
        <w:bidi w:val="0"/>
        <w:spacing w:before="10" w:after="283"/>
        <w:jc w:val="left"/>
        <w:rPr/>
      </w:pPr>
      <w:r>
        <w:rPr/>
      </w:r>
    </w:p>
    <w:p>
      <w:pPr>
        <w:pStyle w:val="TextBody"/>
        <w:bidi w:val="0"/>
        <w:spacing w:lineRule="auto" w:line="240" w:before="0" w:after="0"/>
        <w:ind w:left="0" w:right="0" w:hanging="541"/>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subsequently collected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pStyle w:val="TextBody"/>
        <w:bidi w:val="0"/>
        <w:spacing w:before="11" w:after="283"/>
        <w:jc w:val="left"/>
        <w:rPr/>
      </w:pPr>
      <w:r>
        <w:rPr/>
      </w:r>
    </w:p>
    <w:p>
      <w:pPr>
        <w:pStyle w:val="TextBody"/>
        <w:bidi w:val="0"/>
        <w:spacing w:before="10" w:after="283"/>
        <w:jc w:val="left"/>
        <w:rPr/>
      </w:pPr>
      <w:r>
        <w:rPr/>
      </w:r>
    </w:p>
    <w:p>
      <w:pPr>
        <w:pStyle w:val="TextBody"/>
        <w:bidi w:val="0"/>
        <w:spacing w:lineRule="auto" w:line="240" w:before="79" w:after="283"/>
        <w:ind w:left="0" w:right="0" w:hanging="63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Personal data about the Participant as described in paragraph (a) above may be transferred not only within the country in which the Participant is based from time to time or within the European Economic Area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(“EEA”), but also worldwide, to other Affiliates and/or agents and to the following third parties for the purposes described in paragraph (a) above: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regulators, tax authorities, stock or security exchanges and other supervisory, regulatory, governmental or public bodies as required by law;</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actual or proposed merger or acquisition partners or proposed assignees of, or those taking or proposing to take security over, the business or assets or stock of the Company or its Affiliates and their agents and contractors;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(iv)</w:t>
      </w:r>
      <w:r>
        <w:rPr>
          <w:rFonts w:ascii="Times New Roman;sans-serif" w:hAnsi="Times New Roman;sans-serif"/>
          <w:b w:val="false"/>
          <w:color w:val="000000"/>
          <w:sz w:val="22"/>
        </w:rPr>
        <w:t>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(v)</w:t>
      </w:r>
      <w:r>
        <w:rPr>
          <w:rFonts w:ascii="Times New Roman;sans-serif" w:hAnsi="Times New Roman;sans-serif"/>
          <w:b w:val="false"/>
          <w:color w:val="000000"/>
          <w:sz w:val="22"/>
        </w:rPr>
        <w:t xml:space="preserve">the Participant's family members, heirs, legatees and others associated with the Participant in connection with the Plan. </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w:t>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European Economic Area is composed of 27 member states of the European Union plus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9700"/>
                <wp:effectExtent l="0" t="0" r="0" b="0"/>
                <wp:wrapNone/>
                <wp:docPr id="173" name="Frame16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or with a third party, the Company will ensure that appropriate measures are in place to ensure an adequate level of protection for your personal data, including technical or contractual measures where necessary.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 national and international transfer of personal data is only done in order to fulfill the obligations and rights of the Company and/or its Affiliates under the Plan.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before="0" w:after="0"/>
        <w:jc w:val="left"/>
        <w:rPr/>
      </w:pPr>
      <w:r>
        <w:rPr/>
      </w:r>
    </w:p>
    <w:p>
      <w:pPr>
        <w:pStyle w:val="TextBody"/>
        <w:bidi w:val="0"/>
        <w:spacing w:lineRule="auto" w:line="240" w:before="0" w:after="0"/>
        <w:ind w:left="0" w:right="0" w:hanging="630"/>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The processing (including transfer) of data described above is essential for the administration and operation of the Plan. Therefore, it is essential that his/her personal data is processed in the manner described above. </w:t>
      </w:r>
    </w:p>
    <w:p>
      <w:pPr>
        <w:pStyle w:val="TextBody"/>
        <w:bidi w:val="0"/>
        <w:spacing w:lineRule="auto" w:line="240" w:before="90" w:after="283"/>
        <w:ind w:left="0" w:right="0" w:hanging="630"/>
        <w:jc w:val="left"/>
        <w:rPr/>
      </w:pPr>
      <w:r>
        <w:rPr>
          <w:rFonts w:ascii="Times New Roman;sans-serif" w:hAnsi="Times New Roman;sans-serif"/>
          <w:b w:val="false"/>
          <w:color w:val="000000"/>
          <w:sz w:val="24"/>
        </w:rPr>
        <w:t>(d)</w:t>
      </w:r>
      <w:r>
        <w:rPr>
          <w:rFonts w:ascii="Times New Roman;sans-serif" w:hAnsi="Times New Roman;sans-serif"/>
          <w:b w:val="false"/>
          <w:color w:val="000000"/>
          <w:sz w:val="22"/>
        </w:rPr>
        <w:t>The Company will only retain personal data for as long as is required to satisfy the purposes as described in paragraph (a) above, except where otherwise provided or required by law (e.g. in connection with pending litigation).</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10.98</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9700"/>
                <wp:effectExtent l="0" t="0" r="0" b="0"/>
                <wp:wrapNone/>
                <wp:docPr id="174" name="Frame17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FY24 CEO RSU Grant Agreement (2023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10" w:after="283"/>
        <w:jc w:val="center"/>
        <w:rPr>
          <w:rFonts w:ascii="Times New Roman;sans-serif" w:hAnsi="Times New Roman;sans-serif"/>
          <w:b/>
          <w:color w:val="000000"/>
          <w:sz w:val="28"/>
        </w:rPr>
      </w:pPr>
      <w:r>
        <w:rPr>
          <w:rFonts w:ascii="Times New Roman;sans-serif" w:hAnsi="Times New Roman;sans-serif"/>
          <w:b/>
          <w:color w:val="000000"/>
          <w:sz w:val="28"/>
        </w:rPr>
        <w:t>Aramark</w:t>
      </w:r>
    </w:p>
    <w:p>
      <w:pPr>
        <w:pStyle w:val="TextBody"/>
        <w:bidi w:val="0"/>
        <w:spacing w:lineRule="auto" w:line="276" w:before="240" w:after="283"/>
        <w:jc w:val="center"/>
        <w:rPr>
          <w:rFonts w:ascii="Times New Roman;sans-serif" w:hAnsi="Times New Roman;sans-serif"/>
          <w:b/>
          <w:color w:val="000000"/>
          <w:sz w:val="28"/>
        </w:rPr>
      </w:pPr>
      <w:r>
        <w:rPr>
          <w:rFonts w:ascii="Times New Roman;sans-serif" w:hAnsi="Times New Roman;sans-serif"/>
          <w:b/>
          <w:color w:val="000000"/>
          <w:sz w:val="28"/>
        </w:rPr>
        <w:t>FORM OF RESTRICTED STOCK UNIT AWARD</w:t>
      </w:r>
    </w:p>
    <w:p>
      <w:pPr>
        <w:pStyle w:val="TextBody"/>
        <w:bidi w:val="0"/>
        <w:spacing w:lineRule="auto" w:line="235" w:before="0" w:after="0"/>
        <w:jc w:val="center"/>
        <w:rPr>
          <w:rFonts w:ascii="Times New Roman;sans-serif" w:hAnsi="Times New Roman;sans-serif"/>
          <w:b/>
          <w:color w:val="000000"/>
          <w:sz w:val="28"/>
        </w:rPr>
      </w:pPr>
      <w:r>
        <w:rPr>
          <w:rFonts w:ascii="Times New Roman;sans-serif" w:hAnsi="Times New Roman;sans-serif"/>
          <w:b/>
          <w:color w:val="000000"/>
          <w:sz w:val="28"/>
        </w:rPr>
        <w:t>(TIME VESTING)</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u w:val="single"/>
        </w:rPr>
        <w:t>Grant of RSUs</w:t>
      </w:r>
      <w:r>
        <w:rPr>
          <w:rFonts w:ascii="Times New Roman;sans-serif" w:hAnsi="Times New Roman;sans-serif"/>
          <w:b w:val="false"/>
          <w:color w:val="000000"/>
          <w:sz w:val="22"/>
        </w:rPr>
        <w:t>. Aramark (formerly known as Aramark Holdings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the number of Restricted Stock Units (“</w:t>
      </w:r>
      <w:r>
        <w:rPr>
          <w:rFonts w:ascii="Times New Roman;sans-serif" w:hAnsi="Times New Roman;sans-serif"/>
          <w:b w:val="false"/>
          <w:color w:val="000000"/>
          <w:sz w:val="22"/>
          <w:u w:val="single"/>
        </w:rPr>
        <w:t>RSUs</w:t>
      </w:r>
      <w:r>
        <w:rPr>
          <w:color w:val="000000"/>
        </w:rPr>
        <w:t>”</w:t>
      </w:r>
      <w:r>
        <w:rPr>
          <w:rFonts w:ascii="Times New Roman;sans-serif" w:hAnsi="Times New Roman;sans-serif"/>
          <w:b w:val="false"/>
          <w:color w:val="000000"/>
          <w:sz w:val="22"/>
        </w:rPr>
        <w:t>) set forth on the Certificate of Grant of the Restricted Stock Units attached to this Award and made a part hereof (the “</w:t>
      </w:r>
      <w:r>
        <w:rPr>
          <w:rFonts w:ascii="Times New Roman;sans-serif" w:hAnsi="Times New Roman;sans-serif"/>
          <w:b w:val="false"/>
          <w:color w:val="000000"/>
          <w:sz w:val="22"/>
          <w:u w:val="single"/>
        </w:rPr>
        <w:t>Certificate of Grant</w:t>
      </w:r>
      <w:r>
        <w:rPr>
          <w:color w:val="000000"/>
        </w:rPr>
        <w:t>”</w:t>
      </w:r>
      <w:r>
        <w:rPr>
          <w:rFonts w:ascii="Times New Roman;sans-serif" w:hAnsi="Times New Roman;sans-serif"/>
          <w:b w:val="false"/>
          <w:color w:val="000000"/>
          <w:sz w:val="22"/>
        </w:rPr>
        <w:t>) to the Participant, on the terms and conditions hereinafter set forth. This grant is made pursuant to the terms of the Company 2023 Stock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Times New Roman;sans-serif" w:hAnsi="Times New Roman;sans-serif"/>
          <w:b w:val="false"/>
          <w:color w:val="000000"/>
          <w:sz w:val="22"/>
          <w:u w:val="single"/>
        </w:rPr>
        <w:t>Share</w:t>
      </w:r>
      <w:r>
        <w:rPr>
          <w:color w:val="000000"/>
        </w:rPr>
        <w:t>”</w:t>
      </w:r>
      <w:r>
        <w:rPr>
          <w:rFonts w:ascii="Times New Roman;sans-serif" w:hAnsi="Times New Roman;sans-serif"/>
          <w:b w:val="false"/>
          <w:color w:val="000000"/>
          <w:sz w:val="22"/>
        </w:rPr>
        <w:t>), on the dates specified herein. Capitalized terms not otherwise defined herein shall have the same meanings as in the Plan and the Certificate of Grant.</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2.</w:t>
      </w:r>
      <w:r>
        <w:rPr>
          <w:rFonts w:ascii="Times New Roman;sans-serif" w:hAnsi="Times New Roman;sans-serif"/>
          <w:b w:val="false"/>
          <w:color w:val="000000"/>
          <w:sz w:val="22"/>
          <w:u w:val="single"/>
        </w:rPr>
        <w:t>Payment of Shares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ind w:left="0" w:right="0" w:hanging="629"/>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set forth on the Certificate of Grant under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so long as the Participant remains employed with the Company or any of its Affiliates through such Vesting Date, or (y) as otherwise provided in Section 2(b) or (c) below (in whole Shares only with the Participant receiving a cash payment equal to the Fair Market Value of any fractional Share on or about the transfer date).</w:t>
      </w:r>
    </w:p>
    <w:p>
      <w:pPr>
        <w:pStyle w:val="TextBody"/>
        <w:bidi w:val="0"/>
        <w:spacing w:before="10" w:after="283"/>
        <w:jc w:val="left"/>
        <w:rPr/>
      </w:pPr>
      <w:r>
        <w:rPr/>
      </w:r>
    </w:p>
    <w:p>
      <w:pPr>
        <w:pStyle w:val="TextBody"/>
        <w:bidi w:val="0"/>
        <w:spacing w:lineRule="auto" w:line="240" w:before="1" w:after="283"/>
        <w:ind w:left="0" w:right="0" w:hanging="63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Notwithstanding Section 2(a) of this Award,</w:t>
      </w:r>
    </w:p>
    <w:p>
      <w:pPr>
        <w:pStyle w:val="TextBody"/>
        <w:bidi w:val="0"/>
        <w:spacing w:before="9"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upon the Participant’s Disability (a “</w:t>
      </w:r>
      <w:r>
        <w:rPr>
          <w:rFonts w:ascii="Times New Roman;sans-serif" w:hAnsi="Times New Roman;sans-serif"/>
          <w:b w:val="false"/>
          <w:color w:val="000000"/>
          <w:sz w:val="22"/>
          <w:u w:val="single"/>
        </w:rPr>
        <w:t>Special Termination</w:t>
      </w:r>
      <w:r>
        <w:rPr>
          <w:color w:val="000000"/>
        </w:rPr>
        <w:t>”</w:t>
      </w:r>
      <w:r>
        <w:rPr>
          <w:rFonts w:ascii="Times New Roman;sans-serif" w:hAnsi="Times New Roman;sans-serif"/>
          <w:b w:val="false"/>
          <w:color w:val="000000"/>
          <w:sz w:val="22"/>
        </w:rPr>
        <w:t>), the installment of RSUs scheduled to vest on the next Vesting Date immediately following such Special Termination shall remain outstanding and become vested RSUs on such next Vesting Date, at which time the Shares equal to the number of vested RSUs shall be transferred, and the remaining RSUs which are not then vested shall be forfeited; and</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upon Participant’s death, any previously unvested RSUs shall immediately become vested RSUs pursuant to which Shares equal to the number of RSUs which become vested in accordance with this clause (iii) shall be transferred;</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upon a Termination of Relationship as a result of the Participant’s Retirement with Notice (as defined below), any previously unvested RSUs shall remain outstanding and become vested RSUs on the normal scheduled future Vesting Date(s) as if no Termination of Relationship had</w:t>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occurred, at which time(s) the Shares equal to the number of vested RSUs at each such time shall be transferred; and</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(iv)</w:t>
      </w:r>
      <w:r>
        <w:rPr>
          <w:rFonts w:ascii="Times New Roman;sans-serif" w:hAnsi="Times New Roman;sans-serif"/>
          <w:b w:val="false"/>
          <w:color w:val="000000"/>
          <w:sz w:val="22"/>
        </w:rPr>
        <w:t>upon a Termination of Relationship for any reason other than as set forth in clauses (i), (ii), or (iii) above, all outstanding RSUs shall be forfeited and immediately cancelled.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As used herein, the term “Retirement with Notice” means the Participant’s Termination of Relationship due to his retirement from the Company and its Affiliates after providing the Company with at least 6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following October 7, 2019 (or such earlier date as approved by the Committee in its sole discretion); </w:t>
      </w:r>
      <w:r>
        <w:rPr>
          <w:rFonts w:ascii="Times New Roman;sans-serif" w:hAnsi="Times New Roman;sans-serif"/>
          <w:b w:val="false"/>
          <w:i/>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u w:val="single"/>
        </w:rPr>
        <w:t>however</w:t>
      </w:r>
      <w:r>
        <w:rPr>
          <w:rFonts w:ascii="Times New Roman;sans-serif" w:hAnsi="Times New Roman;sans-serif"/>
          <w:b w:val="false"/>
          <w:color w:val="000000"/>
          <w:sz w:val="22"/>
        </w:rPr>
        <w:t xml:space="preserve">, that if the Company involuntarily terminates the Participant without Cause or the Participant dies or incurs a Disability after the Participant delivers the notice described in this sentence, such termination shall not fail to qualify as a “Retirement with Notice” by virtue of the termination occurring less than the number of months of the notice period after the notice date, such that, for purposes of this Section 2, the Participant shall not be treated as having had a Termination of Relationship prior to the effective date of the Retirement with Notice; and </w:t>
      </w:r>
      <w:r>
        <w:rPr>
          <w:rFonts w:ascii="Times New Roman;sans-serif" w:hAnsi="Times New Roman;sans-serif"/>
          <w:b w:val="false"/>
          <w:i/>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u w:val="single"/>
        </w:rPr>
        <w:t>further</w:t>
      </w:r>
      <w:r>
        <w:rPr>
          <w:rFonts w:ascii="Times New Roman;sans-serif" w:hAnsi="Times New Roman;sans-serif"/>
          <w:b w:val="false"/>
          <w:color w:val="000000"/>
          <w:sz w:val="22"/>
        </w:rPr>
        <w:t>, that the Committee may, in its sole discretion, waive any such notice, in whole or in part, as may be required for Participant to effect a Retirement with Notice.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Also notwithstanding Section 2(a) or (b)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Committee may determine that, in lieu of Shares and/or fractional Shares, the Participant shall receive a cash payment equal to the Fair Market Value of such Shares (or fractional Shares, as the case may be) on the Change of Control.</w:t>
      </w:r>
    </w:p>
    <w:p>
      <w:pPr>
        <w:pStyle w:val="TextBody"/>
        <w:bidi w:val="0"/>
        <w:spacing w:before="10" w:after="283"/>
        <w:jc w:val="left"/>
        <w:rPr/>
      </w:pPr>
      <w:r>
        <w:rPr/>
      </w:r>
    </w:p>
    <w:p>
      <w:pPr>
        <w:pStyle w:val="TextBody"/>
        <w:bidi w:val="0"/>
        <w:spacing w:lineRule="auto" w:line="240" w:before="1" w:after="283"/>
        <w:ind w:left="0" w:right="0" w:hanging="629"/>
        <w:jc w:val="left"/>
        <w:rPr/>
      </w:pPr>
      <w:r>
        <w:rPr>
          <w:rFonts w:ascii="Times New Roman;sans-serif" w:hAnsi="Times New Roman;sans-serif"/>
          <w:b w:val="false"/>
          <w:color w:val="000000"/>
          <w:sz w:val="24"/>
        </w:rPr>
        <w:t>(d)</w:t>
      </w:r>
      <w:r>
        <w:rPr>
          <w:rFonts w:ascii="Times New Roman;sans-serif" w:hAnsi="Times New Roman;sans-serif"/>
          <w:b w:val="false"/>
          <w:color w:val="000000"/>
          <w:sz w:val="22"/>
        </w:rPr>
        <w:t>Upon each vesting event of any RSUs and the corresponding transfer of Shares as a result thereof, in each case in accordance with Sections 2(a), 2(b) or 2(c) of this Award, as applicable, the RSUs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39700"/>
                <wp:effectExtent l="0" t="0" r="0" b="0"/>
                <wp:wrapNone/>
                <wp:docPr id="176" name="Frame17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ind w:left="0" w:right="0" w:hanging="632"/>
        <w:jc w:val="left"/>
        <w:rPr/>
      </w:pPr>
      <w:r>
        <w:rPr>
          <w:rFonts w:ascii="Times New Roman;sans-serif" w:hAnsi="Times New Roman;sans-serif"/>
          <w:b w:val="false"/>
          <w:color w:val="000000"/>
          <w:sz w:val="24"/>
        </w:rPr>
        <w:t>3.</w:t>
      </w:r>
      <w:r>
        <w:rPr>
          <w:rFonts w:ascii="Times New Roman;sans-serif" w:hAnsi="Times New Roman;sans-serif"/>
          <w:b w:val="false"/>
          <w:color w:val="000000"/>
          <w:sz w:val="22"/>
          <w:u w:val="single"/>
        </w:rPr>
        <w:t>Dividends</w:t>
      </w:r>
      <w:r>
        <w:rPr>
          <w:rFonts w:ascii="Times New Roman;sans-serif" w:hAnsi="Times New Roman;sans-serif"/>
          <w:b w:val="false"/>
          <w:color w:val="000000"/>
          <w:sz w:val="22"/>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4.</w:t>
      </w:r>
      <w:r>
        <w:rPr>
          <w:rFonts w:ascii="Times New Roman;sans-serif" w:hAnsi="Times New Roman;sans-serif"/>
          <w:b w:val="false"/>
          <w:color w:val="000000"/>
          <w:sz w:val="22"/>
          <w:u w:val="single"/>
        </w:rPr>
        <w:t>Adjustments Upon Certain Events</w:t>
      </w:r>
      <w:r>
        <w:rPr>
          <w:rFonts w:ascii="Times New Roman;sans-serif" w:hAnsi="Times New Roman;sans-serif"/>
          <w:b w:val="false"/>
          <w:color w:val="000000"/>
          <w:sz w:val="22"/>
        </w:rPr>
        <w:t>. In the event of any event described in Section 12 of the Plan occurring after the Date of Grant, the adjustment provisions (including cash payments) as provided for under Section 12 of the Plan shall apply.</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5.</w:t>
      </w:r>
      <w:r>
        <w:rPr>
          <w:rFonts w:ascii="Times New Roman;sans-serif" w:hAnsi="Times New Roman;sans-serif"/>
          <w:b w:val="false"/>
          <w:color w:val="000000"/>
          <w:sz w:val="22"/>
          <w:u w:val="single"/>
        </w:rPr>
        <w:t>Restriction on Transfer</w:t>
      </w:r>
      <w:r>
        <w:rPr>
          <w:rFonts w:ascii="Times New Roman;sans-serif" w:hAnsi="Times New Roman;sans-serif"/>
          <w:b w:val="false"/>
          <w:color w:val="000000"/>
          <w:sz w:val="22"/>
        </w:rPr>
        <w:t>.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6.</w:t>
      </w:r>
      <w:r>
        <w:rPr>
          <w:rFonts w:ascii="Times New Roman;sans-serif" w:hAnsi="Times New Roman;sans-serif"/>
          <w:b/>
          <w:color w:val="000000"/>
          <w:sz w:val="22"/>
          <w:u w:val="single"/>
        </w:rPr>
        <w:t>Data Protection</w:t>
      </w:r>
      <w:r>
        <w:rPr>
          <w:rFonts w:ascii="Times New Roman;sans-serif" w:hAnsi="Times New Roman;sans-serif"/>
          <w:b/>
          <w:color w:val="000000"/>
          <w:sz w:val="22"/>
        </w:rPr>
        <w:t xml:space="preserve">. By accepting this Award, the Participant understands that the processing (including international transfer) of personal data will take place as set out in </w:t>
      </w:r>
      <w:r>
        <w:rPr>
          <w:rFonts w:ascii="Times New Roman;sans-serif" w:hAnsi="Times New Roman;sans-serif"/>
          <w:b/>
          <w:color w:val="000000"/>
          <w:sz w:val="22"/>
          <w:u w:val="single"/>
        </w:rPr>
        <w:t>Exhibit A</w:t>
      </w:r>
      <w:r>
        <w:rPr>
          <w:color w:val="000000"/>
        </w:rPr>
        <w:t xml:space="preserve"> </w:t>
      </w:r>
      <w:r>
        <w:rPr>
          <w:rFonts w:ascii="Times New Roman;sans-serif" w:hAnsi="Times New Roman;sans-serif"/>
          <w:b/>
          <w:color w:val="000000"/>
          <w:sz w:val="22"/>
        </w:rPr>
        <w:t>attached hereto for the purposes specified therein and if required by applicable law, rule or regulation</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1" w:after="283"/>
        <w:ind w:left="0" w:right="0" w:hanging="632"/>
        <w:jc w:val="left"/>
        <w:rPr/>
      </w:pPr>
      <w:r>
        <w:rPr>
          <w:rFonts w:ascii="Times New Roman;sans-serif" w:hAnsi="Times New Roman;sans-serif"/>
          <w:b w:val="false"/>
          <w:color w:val="000000"/>
          <w:sz w:val="24"/>
        </w:rPr>
        <w:t>7.</w:t>
      </w:r>
      <w:r>
        <w:rPr>
          <w:rFonts w:ascii="Times New Roman;sans-serif" w:hAnsi="Times New Roman;sans-serif"/>
          <w:b w:val="false"/>
          <w:color w:val="000000"/>
          <w:sz w:val="22"/>
          <w:u w:val="single"/>
        </w:rPr>
        <w:t>Participant’s Employment</w:t>
      </w:r>
      <w:r>
        <w:rPr>
          <w:rFonts w:ascii="Times New Roman;sans-serif" w:hAnsi="Times New Roman;sans-serif"/>
          <w:b w:val="false"/>
          <w:color w:val="000000"/>
          <w:sz w:val="22"/>
        </w:rPr>
        <w:t>. Nothing in this Award or in the RSU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8.</w:t>
      </w:r>
      <w:r>
        <w:rPr>
          <w:rFonts w:ascii="Times New Roman;sans-serif" w:hAnsi="Times New Roman;sans-serif"/>
          <w:b/>
          <w:color w:val="000000"/>
          <w:sz w:val="22"/>
          <w:u w:val="single"/>
        </w:rPr>
        <w:t>No Acquired Rights</w:t>
      </w:r>
      <w:r>
        <w:rPr>
          <w:rFonts w:ascii="Times New Roman;sans-serif" w:hAnsi="Times New Roman;sans-serif"/>
          <w:b w:val="false"/>
          <w:color w:val="000000"/>
          <w:sz w:val="22"/>
        </w:rPr>
        <w:t>. The Committee or the Board has the power to amend or terminate the Plan at any time 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39700"/>
                <wp:effectExtent l="0" t="0" r="0" b="0"/>
                <wp:wrapNone/>
                <wp:docPr id="177" name="Frame17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pStyle w:val="TextBody"/>
        <w:bidi w:val="0"/>
        <w:spacing w:before="10" w:after="283"/>
        <w:jc w:val="left"/>
        <w:rPr/>
      </w:pPr>
      <w:r>
        <w:rPr/>
      </w:r>
    </w:p>
    <w:p>
      <w:pPr>
        <w:pStyle w:val="TextBody"/>
        <w:bidi w:val="0"/>
        <w:spacing w:lineRule="auto" w:line="240" w:before="0" w:after="0"/>
        <w:ind w:left="0" w:right="0" w:hanging="632"/>
        <w:jc w:val="both"/>
        <w:rPr/>
      </w:pPr>
      <w:r>
        <w:rPr>
          <w:rFonts w:ascii="Times New Roman;sans-serif" w:hAnsi="Times New Roman;sans-serif"/>
          <w:b w:val="false"/>
          <w:color w:val="000000"/>
          <w:sz w:val="24"/>
        </w:rPr>
        <w:t>9.</w:t>
      </w:r>
      <w:r>
        <w:rPr>
          <w:rFonts w:ascii="Times New Roman;sans-serif" w:hAnsi="Times New Roman;sans-serif"/>
          <w:b w:val="false"/>
          <w:color w:val="000000"/>
          <w:sz w:val="22"/>
          <w:u w:val="single"/>
        </w:rPr>
        <w:t>No Rights of a Stockholder</w:t>
      </w:r>
      <w:r>
        <w:rPr>
          <w:rFonts w:ascii="Times New Roman;sans-serif" w:hAnsi="Times New Roman;sans-serif"/>
          <w:b w:val="false"/>
          <w:color w:val="000000"/>
          <w:sz w:val="22"/>
        </w:rPr>
        <w:t>. The Participant shall not have any rights as a stockholder of the Company until the Shares in question have been registered in the Company’s register of stockholders.</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10.</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and the Company and any such Affiliate is hereby authorized to withhold such amounts from any such issuance, transfer, compensation or other amount owing to the Participant.</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pStyle w:val="TextBody"/>
        <w:bidi w:val="0"/>
        <w:spacing w:before="11"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11.</w:t>
      </w:r>
      <w:r>
        <w:rPr>
          <w:rFonts w:ascii="Times New Roman;sans-serif" w:hAnsi="Times New Roman;sans-serif"/>
          <w:b w:val="false"/>
          <w:color w:val="000000"/>
          <w:sz w:val="22"/>
          <w:u w:val="single"/>
        </w:rPr>
        <w:t>Section 409A of the Code</w:t>
      </w:r>
      <w:r>
        <w:rPr>
          <w:rFonts w:ascii="Times New Roman;sans-serif" w:hAnsi="Times New Roman;sans-serif"/>
          <w:b w:val="false"/>
          <w:color w:val="000000"/>
          <w:sz w:val="22"/>
        </w:rPr>
        <w:t>. The provisions of Section 15(u) of the Plan are hereby incorporated by reference and made a part hereof.</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12.</w:t>
      </w:r>
      <w:r>
        <w:rPr>
          <w:rFonts w:ascii="Times New Roman;sans-serif" w:hAnsi="Times New Roman;sans-serif"/>
          <w:b w:val="false"/>
          <w:color w:val="000000"/>
          <w:sz w:val="22"/>
          <w:u w:val="single"/>
        </w:rPr>
        <w:t>RSUs Subject to Plan</w:t>
      </w:r>
      <w:r>
        <w:rPr>
          <w:rFonts w:ascii="Times New Roman;sans-serif" w:hAnsi="Times New Roman;sans-serif"/>
          <w:b w:val="false"/>
          <w:color w:val="000000"/>
          <w:sz w:val="22"/>
        </w:rPr>
        <w:t>. All RSUs are subject to the Plan. In the event of a conflict between any term or provision contained herein and a term or provision of the Plan, the applicable terms and provisions of the Plan will govern and prevail.</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pStyle w:val="TextBody"/>
        <w:bidi w:val="0"/>
        <w:spacing w:before="10" w:after="283"/>
        <w:jc w:val="left"/>
        <w:rPr/>
      </w:pPr>
      <w:r>
        <w:rPr/>
      </w:r>
    </w:p>
    <w:p>
      <w:pPr>
        <w:pStyle w:val="TextBody"/>
        <w:bidi w:val="0"/>
        <w:spacing w:lineRule="auto" w:line="240"/>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 to it at:</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39700"/>
                <wp:effectExtent l="0" t="0" r="0" b="0"/>
                <wp:wrapNone/>
                <wp:docPr id="178" name="Frame17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Aramark</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2400 Market Street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Philadelphia, Pennsylvania 19103 Attention: General Counsel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before="0" w:after="0"/>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14.</w:t>
      </w:r>
      <w:r>
        <w:rPr>
          <w:rFonts w:ascii="Times New Roman;sans-serif" w:hAnsi="Times New Roman;sans-serif"/>
          <w:b w:val="false"/>
          <w:color w:val="000000"/>
          <w:sz w:val="22"/>
          <w:u w:val="single"/>
        </w:rPr>
        <w:t>Waiver of Breach</w:t>
      </w:r>
      <w:r>
        <w:rPr>
          <w:rFonts w:ascii="Times New Roman;sans-serif" w:hAnsi="Times New Roman;sans-serif"/>
          <w:b w:val="false"/>
          <w:color w:val="000000"/>
          <w:sz w:val="22"/>
        </w:rPr>
        <w:t>. The waiver by either party of a breach of any provision of this Award must be in writing and shall not operate or be construed as a waiver of any other or subsequent breach.</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4"/>
        </w:rPr>
        <w:t>15.</w:t>
      </w:r>
      <w:r>
        <w:rPr>
          <w:rFonts w:ascii="Times New Roman;sans-serif" w:hAnsi="Times New Roman;sans-serif"/>
          <w:b w:val="false"/>
          <w:color w:val="000000"/>
          <w:sz w:val="22"/>
          <w:u w:val="single"/>
        </w:rPr>
        <w:t>Governing Law.</w:t>
      </w:r>
      <w:r>
        <w:rPr>
          <w:color w:val="000000"/>
        </w:rPr>
        <w:t xml:space="preserve"> </w:t>
      </w:r>
      <w:r>
        <w:rPr>
          <w:rFonts w:ascii="Times New Roman;sans-serif" w:hAnsi="Times New Roman;sans-serif"/>
          <w:b w:val="false"/>
          <w:color w:val="000000"/>
          <w:sz w:val="22"/>
        </w:rPr>
        <w:t>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EVEN IF UNDER SUCH JURISDICTION’S CHOICE OF LAW OR CONFLICT OF LAW ANALYSIS, THE SUBSTANTIVE LAW OF SOME OTHER JURISDICTION WOULD ORDINARILY APPLY.</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2"/>
          <w:u w:val="single"/>
        </w:rPr>
        <w:t xml:space="preserve">Modification of Rights; Entire Agreement. </w:t>
      </w:r>
      <w:r>
        <w:rPr>
          <w:rFonts w:ascii="Times New Roman;sans-serif" w:hAnsi="Times New Roman;sans-serif"/>
          <w:b w:val="false"/>
          <w:color w:val="000000"/>
          <w:sz w:val="22"/>
        </w:rPr>
        <w:t>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2"/>
          <w:u w:val="single"/>
        </w:rPr>
        <w:t>Clawback upon Breach of Restrictive Covenants</w:t>
      </w:r>
      <w:r>
        <w:rPr>
          <w:rFonts w:ascii="Times New Roman;sans-serif" w:hAnsi="Times New Roman;sans-serif"/>
          <w:b w:val="false"/>
          <w:color w:val="000000"/>
          <w:sz w:val="22"/>
        </w:rPr>
        <w:t>. In the event the Participant breaches the Participant’s “Restrictive Covenant Agreement” (as defined below) at any time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Participant’s employment with the Company or within two years following the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39700"/>
                <wp:effectExtent l="0" t="0" r="0" b="0"/>
                <wp:wrapNone/>
                <wp:docPr id="179" name="Frame17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before="11" w:after="283"/>
        <w:jc w:val="left"/>
        <w:rPr/>
      </w:pPr>
      <w:r>
        <w:rPr/>
      </w:r>
    </w:p>
    <w:p>
      <w:pPr>
        <w:pStyle w:val="TextBody"/>
        <w:bidi w:val="0"/>
        <w:spacing w:lineRule="auto" w:line="5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[(Per Certificate of Grant)] Date:    [Acceptance Date]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[Note: Grant will be accepted electronically.]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39700"/>
                <wp:effectExtent l="0" t="0" r="0" b="0"/>
                <wp:wrapNone/>
                <wp:docPr id="180" name="Frame17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DATA PRIVACY NOTICE</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sans-serif" w:hAnsi="Times New Roman;sans-serif"/>
          <w:b w:val="false"/>
          <w:color w:val="000000"/>
          <w:sz w:val="22"/>
          <w:u w:val="single"/>
        </w:rPr>
        <w:t>Data Privacy Notice</w:t>
      </w:r>
      <w:r>
        <w:rPr>
          <w:color w:val="000000"/>
        </w:rPr>
        <w:t>”</w:t>
      </w:r>
      <w:r>
        <w:rPr>
          <w:rFonts w:ascii="Times New Roman;sans-serif" w:hAnsi="Times New Roman;sans-serif"/>
          <w:b w:val="false"/>
          <w:color w:val="000000"/>
          <w:sz w:val="22"/>
        </w:rPr>
        <w:t xml:space="preserve">). </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data will include data:</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already held in the Participant's records such as the Participant's name and address, ID number, payroll number, length of service and whether the Participant works full-time or part time;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collected upon the Participant accepting the rights granted under the Plan (if applicable); and</w:t>
      </w:r>
    </w:p>
    <w:p>
      <w:pPr>
        <w:pStyle w:val="TextBody"/>
        <w:bidi w:val="0"/>
        <w:spacing w:before="10" w:after="283"/>
        <w:jc w:val="left"/>
        <w:rPr/>
      </w:pPr>
      <w:r>
        <w:rPr/>
      </w:r>
    </w:p>
    <w:p>
      <w:pPr>
        <w:pStyle w:val="TextBody"/>
        <w:bidi w:val="0"/>
        <w:spacing w:lineRule="auto" w:line="240" w:before="0" w:after="0"/>
        <w:ind w:left="0" w:right="0" w:hanging="55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subsequently collected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pStyle w:val="TextBody"/>
        <w:bidi w:val="0"/>
        <w:spacing w:before="11" w:after="283"/>
        <w:jc w:val="left"/>
        <w:rPr/>
      </w:pPr>
      <w:r>
        <w:rPr/>
      </w:r>
    </w:p>
    <w:p>
      <w:pPr>
        <w:pStyle w:val="TextBody"/>
        <w:bidi w:val="0"/>
        <w:spacing w:before="10" w:after="283"/>
        <w:jc w:val="left"/>
        <w:rPr/>
      </w:pPr>
      <w:r>
        <w:rPr/>
      </w:r>
    </w:p>
    <w:p>
      <w:pPr>
        <w:pStyle w:val="TextBody"/>
        <w:bidi w:val="0"/>
        <w:spacing w:lineRule="auto" w:line="240" w:before="79" w:after="283"/>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Personal data about the Participant as described in paragraph (a) above may be transferred not only within the country in which the Participant is based from time to time or within the European Economic Area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(“EEA”), but also worldwide, to other Affiliates and/or agents and to the following third parties for the purposes described in paragraph (a) above: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regulators, tax authorities, stock or security exchanges and other supervisory, regulatory, governmental or public bodies as required by law;</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actual or proposed merger or acquisition partners or proposed assignees of, or those taking or proposing to take security over, the business or assets or stock of the Company or its Affiliates and their agents and contractors;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(iv)</w:t>
      </w:r>
      <w:r>
        <w:rPr>
          <w:rFonts w:ascii="Times New Roman;sans-serif" w:hAnsi="Times New Roman;sans-serif"/>
          <w:b w:val="false"/>
          <w:color w:val="000000"/>
          <w:sz w:val="22"/>
        </w:rPr>
        <w:t>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(v)</w:t>
      </w:r>
      <w:r>
        <w:rPr>
          <w:rFonts w:ascii="Times New Roman;sans-serif" w:hAnsi="Times New Roman;sans-serif"/>
          <w:b w:val="false"/>
          <w:color w:val="000000"/>
          <w:sz w:val="22"/>
        </w:rPr>
        <w:t xml:space="preserve">the Participant's family members, heirs, legatees and others associated with the Participant in connection with the Plan. </w:t>
      </w:r>
    </w:p>
    <w:p>
      <w:pPr>
        <w:pStyle w:val="TextBody"/>
        <w:bidi w:val="0"/>
        <w:spacing w:before="10" w:after="283"/>
        <w:jc w:val="left"/>
        <w:rPr/>
      </w:pPr>
      <w:r>
        <w:rPr/>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European Economic Area is composed of 27 member states of the European Union plus Iceland, Liechtenstein and Norway.</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9700"/>
                <wp:effectExtent l="0" t="0" r="0" b="0"/>
                <wp:wrapNone/>
                <wp:docPr id="181" name="Frame17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appropriate measures are in place to ensure an adequate level of protection for your personal data, including technical or contractual measures where necessary.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 national and international transfer of personal data is only done in order to fulfill the obligations and rights of the Company and/or its Affiliates under the Plan.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The processing (including transfer) of data described above is essential for the administration and operation of the Plan. Therefore, it is essential that his/her personal data is processed in the manner described above. </w:t>
      </w:r>
    </w:p>
    <w:p>
      <w:pPr>
        <w:pStyle w:val="TextBody"/>
        <w:bidi w:val="0"/>
        <w:spacing w:lineRule="auto" w:line="240" w:before="90" w:after="283"/>
        <w:jc w:val="left"/>
        <w:rPr/>
      </w:pPr>
      <w:r>
        <w:rPr>
          <w:rFonts w:ascii="Times New Roman;sans-serif" w:hAnsi="Times New Roman;sans-serif"/>
          <w:b w:val="false"/>
          <w:color w:val="000000"/>
          <w:sz w:val="24"/>
        </w:rPr>
        <w:t>(d)</w:t>
      </w:r>
      <w:r>
        <w:rPr>
          <w:rFonts w:ascii="Times New Roman;sans-serif" w:hAnsi="Times New Roman;sans-serif"/>
          <w:b w:val="false"/>
          <w:color w:val="000000"/>
          <w:sz w:val="22"/>
        </w:rPr>
        <w:t>The Company will only retain personal data for as long as is required to satisfy the purposes as described in paragraph (a) above, except where otherwise provided or required by law (e.g. in connection with pending litigation).</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10.99</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9700"/>
                <wp:effectExtent l="0" t="0" r="0" b="0"/>
                <wp:wrapNone/>
                <wp:docPr id="182" name="Frame17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FY24 CEO PSU Grant Agreement (2023 Plan)</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Aramark</w:t>
      </w:r>
    </w:p>
    <w:p>
      <w:pPr>
        <w:pStyle w:val="TextBody"/>
        <w:bidi w:val="0"/>
        <w:spacing w:lineRule="auto" w:line="240" w:before="89" w:after="283"/>
        <w:jc w:val="center"/>
        <w:rPr>
          <w:rFonts w:ascii="Times New Roman;sans-serif" w:hAnsi="Times New Roman;sans-serif"/>
          <w:b/>
          <w:color w:val="000000"/>
          <w:sz w:val="28"/>
        </w:rPr>
      </w:pPr>
      <w:r>
        <w:rPr>
          <w:rFonts w:ascii="Times New Roman;sans-serif" w:hAnsi="Times New Roman;sans-serif"/>
          <w:b/>
          <w:color w:val="000000"/>
          <w:sz w:val="28"/>
        </w:rPr>
        <w:t>FORM OF PERFORMANCE STOCK UNIT AWARD (CEO)</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90" w:after="283"/>
        <w:ind w:left="0" w:right="0" w:hanging="72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Grant of PSUs</w:t>
      </w:r>
      <w:r>
        <w:rPr>
          <w:rFonts w:ascii="Times New Roman;sans-serif" w:hAnsi="Times New Roman;sans-serif"/>
          <w:b w:val="false"/>
          <w:color w:val="000000"/>
          <w:sz w:val="22"/>
        </w:rPr>
        <w:t>. Aramark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the opportunity to vest in a number of Performance Stock Units determined based on the “</w:t>
      </w:r>
      <w:r>
        <w:rPr>
          <w:rFonts w:ascii="Times New Roman;sans-serif" w:hAnsi="Times New Roman;sans-serif"/>
          <w:b w:val="false"/>
          <w:color w:val="000000"/>
          <w:sz w:val="22"/>
          <w:u w:val="single"/>
        </w:rPr>
        <w:t>Target Number of PSUs</w:t>
      </w:r>
      <w:r>
        <w:rPr>
          <w:color w:val="000000"/>
        </w:rPr>
        <w:t xml:space="preserve">” </w:t>
      </w:r>
      <w:r>
        <w:rPr>
          <w:rFonts w:ascii="Times New Roman;sans-serif" w:hAnsi="Times New Roman;sans-serif"/>
          <w:b w:val="false"/>
          <w:color w:val="000000"/>
          <w:sz w:val="22"/>
        </w:rPr>
        <w:t>set forth on the Certificate of Grant attached to this Award and made a part hereof (the “</w:t>
      </w:r>
      <w:r>
        <w:rPr>
          <w:rFonts w:ascii="Times New Roman;sans-serif" w:hAnsi="Times New Roman;sans-serif"/>
          <w:b w:val="false"/>
          <w:color w:val="000000"/>
          <w:sz w:val="22"/>
          <w:u w:val="single"/>
        </w:rPr>
        <w:t>Certificate of Grant</w:t>
      </w:r>
      <w:r>
        <w:rPr>
          <w:color w:val="000000"/>
        </w:rPr>
        <w:t>”</w:t>
      </w:r>
      <w:r>
        <w:rPr>
          <w:rFonts w:ascii="Times New Roman;sans-serif" w:hAnsi="Times New Roman;sans-serif"/>
          <w:b w:val="false"/>
          <w:color w:val="000000"/>
          <w:sz w:val="22"/>
        </w:rPr>
        <w:t xml:space="preserve">) to the Participant, on the terms and conditions hereinafter set forth including </w:t>
      </w:r>
      <w:r>
        <w:rPr>
          <w:rFonts w:ascii="Times New Roman;sans-serif" w:hAnsi="Times New Roman;sans-serif"/>
          <w:b w:val="false"/>
          <w:color w:val="000000"/>
          <w:sz w:val="22"/>
          <w:u w:val="single"/>
        </w:rPr>
        <w:t>on Schedule I</w:t>
      </w:r>
      <w:r>
        <w:rPr>
          <w:color w:val="000000"/>
        </w:rPr>
        <w:t xml:space="preserve"> </w:t>
      </w:r>
      <w:r>
        <w:rPr>
          <w:rFonts w:ascii="Times New Roman;sans-serif" w:hAnsi="Times New Roman;sans-serif"/>
          <w:b w:val="false"/>
          <w:color w:val="000000"/>
          <w:sz w:val="22"/>
        </w:rPr>
        <w:t>which is made a part hereof. This grant is made pursuant to the terms of the Company 2023 Stock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which Plan, as amended from time to time, is incorporated herein by reference and made a part of this Award. Each Performance Stock Unit (a “</w:t>
      </w:r>
      <w:r>
        <w:rPr>
          <w:rFonts w:ascii="Times New Roman;sans-serif" w:hAnsi="Times New Roman;sans-serif"/>
          <w:b w:val="false"/>
          <w:color w:val="000000"/>
          <w:sz w:val="22"/>
          <w:u w:val="single"/>
        </w:rPr>
        <w:t>PSU</w:t>
      </w:r>
      <w:r>
        <w:rPr>
          <w:color w:val="000000"/>
        </w:rPr>
        <w:t>”</w:t>
      </w:r>
      <w:r>
        <w:rPr>
          <w:rFonts w:ascii="Times New Roman;sans-serif" w:hAnsi="Times New Roman;sans-serif"/>
          <w:b w:val="false"/>
          <w:color w:val="000000"/>
          <w:sz w:val="22"/>
        </w:rPr>
        <w:t>) represents the unfunded, unsecured right of the Participant to receive a share of Common Stock of the Company (each a “</w:t>
      </w:r>
      <w:r>
        <w:rPr>
          <w:rFonts w:ascii="Times New Roman;sans-serif" w:hAnsi="Times New Roman;sans-serif"/>
          <w:b w:val="false"/>
          <w:color w:val="000000"/>
          <w:sz w:val="22"/>
          <w:u w:val="single"/>
        </w:rPr>
        <w:t>Share</w:t>
      </w:r>
      <w:r>
        <w:rPr>
          <w:color w:val="000000"/>
        </w:rPr>
        <w:t>”</w:t>
      </w:r>
      <w:r>
        <w:rPr>
          <w:rFonts w:ascii="Times New Roman;sans-serif" w:hAnsi="Times New Roman;sans-serif"/>
          <w:b w:val="false"/>
          <w:color w:val="000000"/>
          <w:sz w:val="22"/>
        </w:rPr>
        <w:t>), subject to the terms and conditions hereof, on the date(s) specified herein. Capitalized terms not otherwise defined herein shall have the same meanings as in the Plan and the Certificate of Grant.</w:t>
      </w:r>
    </w:p>
    <w:p>
      <w:pPr>
        <w:pStyle w:val="TextBody"/>
        <w:bidi w:val="0"/>
        <w:spacing w:before="10" w:after="283"/>
        <w:jc w:val="left"/>
        <w:rPr/>
      </w:pPr>
      <w:r>
        <w:rPr/>
      </w:r>
    </w:p>
    <w:p>
      <w:pPr>
        <w:pStyle w:val="TextBody"/>
        <w:bidi w:val="0"/>
        <w:spacing w:lineRule="auto" w:line="240" w:before="0" w:after="0"/>
        <w:ind w:left="0" w:right="0" w:hanging="633"/>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Performance and Service Vesting Conditions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Subject to the remainder of the terms and conditions of this Award, so long as the Participant continues Employment through the Vesting Date the Participant shall (a) earn, and be eligible to become vested in, a number of PSUs (if any) equal to a percentage of the Target Number of PSUs based on the level of the Company’s achievement of the performance conditions, with respect to the applicable performance period (the “</w:t>
      </w:r>
      <w:r>
        <w:rPr>
          <w:rFonts w:ascii="Times New Roman;sans-serif" w:hAnsi="Times New Roman;sans-serif"/>
          <w:b w:val="false"/>
          <w:color w:val="000000"/>
          <w:sz w:val="22"/>
          <w:u w:val="single"/>
        </w:rPr>
        <w:t>Performance Period</w:t>
      </w:r>
      <w:r>
        <w:rPr>
          <w:color w:val="000000"/>
        </w:rPr>
        <w:t>”</w:t>
      </w:r>
      <w:r>
        <w:rPr>
          <w:rFonts w:ascii="Times New Roman;sans-serif" w:hAnsi="Times New Roman;sans-serif"/>
          <w:b w:val="false"/>
          <w:color w:val="000000"/>
          <w:sz w:val="22"/>
        </w:rPr>
        <w:t xml:space="preserve">), each as set forth on </w:t>
      </w:r>
      <w:r>
        <w:rPr>
          <w:rFonts w:ascii="Times New Roman;sans-serif" w:hAnsi="Times New Roman;sans-serif"/>
          <w:b w:val="false"/>
          <w:color w:val="000000"/>
          <w:sz w:val="22"/>
          <w:u w:val="single"/>
        </w:rPr>
        <w:t>Schedule I</w:t>
      </w:r>
      <w:r>
        <w:rPr>
          <w:rFonts w:ascii="Times New Roman;sans-serif" w:hAnsi="Times New Roman;sans-serif"/>
          <w:b w:val="false"/>
          <w:color w:val="000000"/>
          <w:sz w:val="22"/>
        </w:rPr>
        <w:t>, on the date such achievement is certified by the Committee following the end of the Performance Period (the “</w:t>
      </w:r>
      <w:r>
        <w:rPr>
          <w:rFonts w:ascii="Times New Roman;sans-serif" w:hAnsi="Times New Roman;sans-serif"/>
          <w:b w:val="false"/>
          <w:color w:val="000000"/>
          <w:sz w:val="22"/>
          <w:u w:val="single"/>
        </w:rPr>
        <w:t>Determination Date</w:t>
      </w:r>
      <w:r>
        <w:rPr>
          <w:color w:val="000000"/>
        </w:rPr>
        <w:t>”</w:t>
      </w:r>
      <w:r>
        <w:rPr>
          <w:rFonts w:ascii="Times New Roman;sans-serif" w:hAnsi="Times New Roman;sans-serif"/>
          <w:b w:val="false"/>
          <w:color w:val="000000"/>
          <w:sz w:val="22"/>
        </w:rPr>
        <w:t>) (such number of PSUs, once established, the “</w:t>
      </w:r>
      <w:r>
        <w:rPr>
          <w:rFonts w:ascii="Times New Roman;sans-serif" w:hAnsi="Times New Roman;sans-serif"/>
          <w:b w:val="false"/>
          <w:color w:val="000000"/>
          <w:sz w:val="22"/>
          <w:u w:val="single"/>
        </w:rPr>
        <w:t>Earned PSUs</w:t>
      </w:r>
      <w:r>
        <w:rPr>
          <w:color w:val="000000"/>
        </w:rPr>
        <w:t>”</w:t>
      </w:r>
      <w:r>
        <w:rPr>
          <w:rFonts w:ascii="Times New Roman;sans-serif" w:hAnsi="Times New Roman;sans-serif"/>
          <w:b w:val="false"/>
          <w:color w:val="000000"/>
          <w:sz w:val="22"/>
        </w:rPr>
        <w:t xml:space="preserve">). </w:t>
      </w:r>
    </w:p>
    <w:p>
      <w:pPr>
        <w:pStyle w:val="TextBody"/>
        <w:bidi w:val="0"/>
        <w:spacing w:before="10" w:after="283"/>
        <w:jc w:val="left"/>
        <w:rPr/>
      </w:pPr>
      <w:r>
        <w:rPr/>
      </w:r>
    </w:p>
    <w:p>
      <w:pPr>
        <w:pStyle w:val="TextBody"/>
        <w:bidi w:val="0"/>
        <w:spacing w:lineRule="auto" w:line="240" w:before="0" w:after="0"/>
        <w:ind w:left="0" w:right="0" w:hanging="633"/>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Payment of Shares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ind w:left="0" w:right="0" w:hanging="629"/>
        <w:jc w:val="left"/>
        <w:rPr>
          <w:rFonts w:ascii="Times New Roman;sans-serif" w:hAnsi="Times New Roman;sans-serif"/>
          <w:b w:val="false"/>
          <w:color w:val="000000"/>
          <w:sz w:val="22"/>
        </w:rPr>
      </w:pPr>
      <w:r>
        <w:rPr>
          <w:rFonts w:ascii="Times New Roman;sans-serif" w:hAnsi="Times New Roman;sans-serif"/>
          <w:b w:val="false"/>
          <w:color w:val="000000"/>
          <w:sz w:val="22"/>
        </w:rPr>
        <w:t>(a)The Company shall, subject to the remainder of this Award, transfer to the Participant a number of Shares of the Company equal to the number (if any) of Earned PSUs under this Award on or as soon as practicable following the Vesting Date (so long as the Participant remains employed with the Company or any of its Affiliates through the Vesting Date), or at such other times as provided in Section 3(b) or (c) below (in whole Shares only with the Participant receiving a cash payment equal to the Fair Market Value of any fractional Share on or about the transfer date.</w:t>
      </w:r>
    </w:p>
    <w:p>
      <w:pPr>
        <w:pStyle w:val="TextBody"/>
        <w:bidi w:val="0"/>
        <w:spacing w:before="9" w:after="283"/>
        <w:jc w:val="left"/>
        <w:rPr/>
      </w:pPr>
      <w:r>
        <w:rPr/>
      </w:r>
    </w:p>
    <w:p>
      <w:pPr>
        <w:pStyle w:val="TextBody"/>
        <w:bidi w:val="0"/>
        <w:spacing w:lineRule="auto" w:line="240" w:before="90" w:after="283"/>
        <w:ind w:left="0" w:right="0" w:hanging="632"/>
        <w:jc w:val="left"/>
        <w:rPr>
          <w:rFonts w:ascii="Times New Roman;sans-serif" w:hAnsi="Times New Roman;sans-serif"/>
          <w:b w:val="false"/>
          <w:color w:val="000000"/>
          <w:sz w:val="22"/>
        </w:rPr>
      </w:pPr>
      <w:r>
        <w:rPr>
          <w:rFonts w:ascii="Times New Roman;sans-serif" w:hAnsi="Times New Roman;sans-serif"/>
          <w:b w:val="false"/>
          <w:color w:val="000000"/>
          <w:sz w:val="22"/>
        </w:rPr>
        <w:t>(b)Notwithstanding Section 3(a) of this Award,</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(i)upon Participant’s Disability (a “</w:t>
      </w:r>
      <w:r>
        <w:rPr>
          <w:rFonts w:ascii="Times New Roman;sans-serif" w:hAnsi="Times New Roman;sans-serif"/>
          <w:b w:val="false"/>
          <w:color w:val="000000"/>
          <w:sz w:val="22"/>
          <w:u w:val="single"/>
        </w:rPr>
        <w:t>Special Termination</w:t>
      </w:r>
      <w:r>
        <w:rPr>
          <w:color w:val="000000"/>
        </w:rPr>
        <w:t>”</w:t>
      </w:r>
      <w:r>
        <w:rPr>
          <w:rFonts w:ascii="Times New Roman;sans-serif" w:hAnsi="Times New Roman;sans-serif"/>
          <w:b w:val="false"/>
          <w:color w:val="000000"/>
          <w:sz w:val="22"/>
        </w:rPr>
        <w:t>), which occurs prior to the Vesting Date, the PSUs shall remain outstanding and unvested through the later of the Determination Date, and the date of such Special Termination, and the Specified Portion (as defined below) of the Earned PSUs (if any) scheduled to vest on the Vesting Date shall become vested PSUs as of the later of the Determination Date and the date of such Special Termination; and Shares equal to such number of Earned PSUs shall be transferred on or as soon as practicable following the later of the Determination Date and the date of such Special Termination, and the remaining PSUs which do not become vested pursuant to this clause (i) shall be automatically forfeited; for purposes of this Section 3(b)(i), the term “</w:t>
      </w:r>
      <w:r>
        <w:rPr>
          <w:rFonts w:ascii="Times New Roman;sans-serif" w:hAnsi="Times New Roman;sans-serif"/>
          <w:b w:val="false"/>
          <w:color w:val="000000"/>
          <w:sz w:val="22"/>
          <w:u w:val="single"/>
        </w:rPr>
        <w:t>Specified Portion</w:t>
      </w:r>
      <w:r>
        <w:rPr>
          <w:color w:val="000000"/>
        </w:rPr>
        <w:t xml:space="preserve">” </w:t>
      </w:r>
      <w:r>
        <w:rPr>
          <w:rFonts w:ascii="Times New Roman;sans-serif" w:hAnsi="Times New Roman;sans-serif"/>
          <w:b w:val="false"/>
          <w:color w:val="000000"/>
          <w:sz w:val="22"/>
        </w:rPr>
        <w:t>shall mean (x) one-third (1/3) if the Special Termination occurs prior to the beginning of the second fiscal year of the Performance Period, (y) two-thirds (2/3) if the Special Termination occurs on or after the beginning of the second fiscal year of the Performance Period and prior to the beginning of the third fiscal year of the Performance Period and (z) the entire amount if the Special Termination occurs on or after the beginning of the third fiscal year of the Performance Period;</w:t>
      </w:r>
    </w:p>
    <w:p>
      <w:pPr>
        <w:pStyle w:val="TextBody"/>
        <w:bidi w:val="0"/>
        <w:spacing w:before="8" w:after="283"/>
        <w:jc w:val="left"/>
        <w:rPr/>
      </w:pPr>
      <w:r>
        <w:rPr/>
      </w:r>
    </w:p>
    <w:p>
      <w:pPr>
        <w:pStyle w:val="TextBody"/>
        <w:bidi w:val="0"/>
        <w:spacing w:lineRule="auto" w:line="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(ii)upon a Termination of Relationship as a result of the Participant’s Retirement with Notice (as defined below) which occurs prior to the Vesting Date, the PSUs shall remain outstanding and shall be treated as described in Section 3(b)(i) above, </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28270"/>
                <wp:effectExtent l="0" t="0" r="0" b="0"/>
                <wp:wrapNone/>
                <wp:docPr id="183" name="Frame17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except that the term “Specified Portion” shall be deemed to mean (x) two-thirds (2/3) if the Retirement with Notice occurs prior to the beginning of the second fiscal year of the Performance Period, and (y) the entire amount if the Retirement with Notice occurs on or after the beginning of the second fiscal year of the Performance Period;</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(iii)upon Participant’s death or Delayed Retirement (as defined below), (A) which occurs prior to the Vesting Date, the PSUs shall remain outstanding and unvested through the later of the Determination Date and the date of Participant’s death or Delayed Retirement, and the installment of Earned PSUs (if any) scheduled to vest on the Vesting Date shall become vested PSUs as of the later of the Determination Date and the date of Participant’s death or Delayed Retirement and (B) which occurs after the Determination Date, the installment of Earned PSUs (if any) scheduled to vest on each remaining Vesting Date shall immediately become vested PSUs; and, in either case of (A) or (B), as applicable, Shares equal to the number of Earned PSUs scheduled to vest on the applicable Vesting Date shall be transferred, and the remaining PSUs which do not become vested pursuant to this Section shall be forfeited; and</w:t>
      </w:r>
    </w:p>
    <w:p>
      <w:pPr>
        <w:pStyle w:val="TextBody"/>
        <w:bidi w:val="0"/>
        <w:spacing w:lineRule="auto" w:line="240" w:before="85"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(iv)upon a Termination of Relationship for any reason other than as set forth in clauses (i), (ii) and (iii) above, all outstanding PSUs shall be forfeited and immediately cancelled.</w:t>
      </w:r>
    </w:p>
    <w:p>
      <w:pPr>
        <w:pStyle w:val="TextBody"/>
        <w:bidi w:val="0"/>
        <w:spacing w:lineRule="auto" w:line="240" w:before="231" w:after="283"/>
        <w:ind w:left="0" w:right="0" w:hanging="629"/>
        <w:jc w:val="left"/>
        <w:rPr>
          <w:rFonts w:ascii="Times New Roman;sans-serif" w:hAnsi="Times New Roman;sans-serif"/>
          <w:b w:val="false"/>
          <w:color w:val="000000"/>
          <w:sz w:val="22"/>
        </w:rPr>
      </w:pPr>
      <w:r>
        <w:rPr>
          <w:rFonts w:ascii="Times New Roman;sans-serif" w:hAnsi="Times New Roman;sans-serif"/>
          <w:b w:val="false"/>
          <w:color w:val="000000"/>
          <w:sz w:val="22"/>
        </w:rPr>
        <w:t>(c)Also notwithstanding Section 3(a) or (b) of this Award, in accordance with the terms of Section 13 of the Plan, in the event of a Termination of Relationship of the Participant by the Company or any of its Affiliates (or successors in interest) without Cause or by the Participant for Good Reason, in each case, that occurs within two years following a Change of Control, the following treatment (under clauses (i) or (ii), as applicable) will apply with respect to any then outstanding PSUs:</w:t>
      </w:r>
    </w:p>
    <w:p>
      <w:pPr>
        <w:pStyle w:val="TextBody"/>
        <w:bidi w:val="0"/>
        <w:spacing w:before="0" w:after="0"/>
        <w:jc w:val="left"/>
        <w:rPr/>
      </w:pPr>
      <w:r>
        <w:rPr/>
      </w:r>
    </w:p>
    <w:p>
      <w:pPr>
        <w:pStyle w:val="TextBody"/>
        <w:bidi w:val="0"/>
        <w:spacing w:lineRule="auto" w:line="240" w:before="0" w:after="0"/>
        <w:ind w:left="0" w:right="0" w:hanging="540"/>
        <w:jc w:val="left"/>
        <w:rPr>
          <w:rFonts w:ascii="Times New Roman;sans-serif" w:hAnsi="Times New Roman;sans-serif"/>
          <w:b w:val="false"/>
          <w:color w:val="000000"/>
          <w:sz w:val="22"/>
        </w:rPr>
      </w:pPr>
      <w:r>
        <w:rPr>
          <w:rFonts w:ascii="Times New Roman;sans-serif" w:hAnsi="Times New Roman;sans-serif"/>
          <w:b w:val="false"/>
          <w:color w:val="000000"/>
          <w:sz w:val="22"/>
        </w:rPr>
        <w:t>(i)if such termination occurs prior to the end of the Performance Period, then such Performance Period (to the extent not completed) shall end as of such date, then the Target Number of PSUs shall become vested on the date of such Termination of Relationship, and a number of Shares equal to such number of PSUs shall be distributed to the Participant as soon as practicable following the date of such Termination of Relationship; or</w:t>
      </w:r>
    </w:p>
    <w:p>
      <w:pPr>
        <w:pStyle w:val="TextBody"/>
        <w:bidi w:val="0"/>
        <w:spacing w:before="0" w:after="0"/>
        <w:jc w:val="left"/>
        <w:rPr/>
      </w:pPr>
      <w:r>
        <w:rPr/>
      </w:r>
    </w:p>
    <w:p>
      <w:pPr>
        <w:pStyle w:val="TextBody"/>
        <w:bidi w:val="0"/>
        <w:spacing w:lineRule="auto" w:line="240" w:before="0" w:after="0"/>
        <w:ind w:left="0" w:right="0" w:hanging="540"/>
        <w:jc w:val="left"/>
        <w:rPr>
          <w:rFonts w:ascii="Times New Roman;sans-serif" w:hAnsi="Times New Roman;sans-serif"/>
          <w:b w:val="false"/>
          <w:color w:val="000000"/>
          <w:sz w:val="22"/>
        </w:rPr>
      </w:pPr>
      <w:r>
        <w:rPr>
          <w:rFonts w:ascii="Times New Roman;sans-serif" w:hAnsi="Times New Roman;sans-serif"/>
          <w:b w:val="false"/>
          <w:color w:val="000000"/>
          <w:sz w:val="22"/>
        </w:rPr>
        <w:t>(ii)if such termination occurs on or following the end of the Performance Period but prior to the Vesting Date, then the Earned PSUs (if any) shall immediately become vested on the date of such Termination of Relationship and a number of Shares equal to such number of Earned PSUs shall be distributed to the Participant as soon as practicable following the date of such Termination of Relationship;</w:t>
      </w:r>
    </w:p>
    <w:p>
      <w:pPr>
        <w:pStyle w:val="TextBody"/>
        <w:bidi w:val="0"/>
        <w:spacing w:before="8" w:after="283"/>
        <w:jc w:val="left"/>
        <w:rPr/>
      </w:pPr>
      <w:r>
        <w:rPr/>
      </w:r>
    </w:p>
    <w:p>
      <w:pPr>
        <w:pStyle w:val="TextBody"/>
        <w:bidi w:val="0"/>
        <w:spacing w:lineRule="auto" w:line="240" w:before="0" w:after="0"/>
        <w:ind w:left="0" w:right="0" w:firstLine="460"/>
        <w:jc w:val="left"/>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Committee may determine that, in lieu of Shares and/or fractional Shares deliverable to the Participant under clauses (i) or (ii) above, the Participant shall receive a cash payment equal to the Fair Market Value of such Shares (or fractional Shares, as the case may be) on the Change of Control.</w:t>
      </w:r>
    </w:p>
    <w:p>
      <w:pPr>
        <w:pStyle w:val="TextBody"/>
        <w:bidi w:val="0"/>
        <w:spacing w:before="10" w:after="283"/>
        <w:jc w:val="left"/>
        <w:rPr/>
      </w:pPr>
      <w:r>
        <w:rPr/>
      </w:r>
    </w:p>
    <w:p>
      <w:pPr>
        <w:pStyle w:val="TextBody"/>
        <w:bidi w:val="0"/>
        <w:spacing w:lineRule="auto" w:line="240" w:before="0" w:after="0"/>
        <w:ind w:left="0" w:right="0" w:hanging="629"/>
        <w:jc w:val="left"/>
        <w:rPr>
          <w:rFonts w:ascii="Times New Roman;sans-serif" w:hAnsi="Times New Roman;sans-serif"/>
          <w:b w:val="false"/>
          <w:color w:val="000000"/>
          <w:sz w:val="22"/>
        </w:rPr>
      </w:pPr>
      <w:r>
        <w:rPr>
          <w:rFonts w:ascii="Times New Roman;sans-serif" w:hAnsi="Times New Roman;sans-serif"/>
          <w:b w:val="false"/>
          <w:color w:val="000000"/>
          <w:sz w:val="22"/>
        </w:rPr>
        <w:t>(d)Upon each vesting event of any Earned PSUs and the corresponding transfer of Shares as a result thereof, in each case in accordance with Sections 3(a), 3(b) or 3(c) of this Award, as applicable, the Earned PSUs with respect to which Shares have been transferred hereunder shall be extinguished on the relevant transfer dates. In compliance with Section 409A of the Code, in no event shall any transfer occur later than March 15 of the calendar year following the calendar year in which the applicable vesting event occurs under this Award.</w:t>
      </w:r>
    </w:p>
    <w:p>
      <w:pPr>
        <w:pStyle w:val="TextBody"/>
        <w:bidi w:val="0"/>
        <w:spacing w:before="0" w:after="0"/>
        <w:jc w:val="left"/>
        <w:rPr/>
      </w:pPr>
      <w:r>
        <w:rPr/>
      </w:r>
    </w:p>
    <w:p>
      <w:pPr>
        <w:pStyle w:val="TextBody"/>
        <w:bidi w:val="0"/>
        <w:spacing w:lineRule="auto" w:line="240"/>
        <w:ind w:left="0" w:right="0" w:hanging="629"/>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(e)As used herein: (i) the term “Retirement with Notice” means the Participant’s Termination of Relationship due to his retirement from the Company and its Affiliates after providing the Company with at least 12 months’ prior written notice of such intended retirement (and with such notice having been delivered upon or after the Participant’s attainment of age 62) after achieving (consecutively, disregarding breaks in service, or a combination thereof) at least five (5) full years of employment with the Company and its Affiliates (which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28270"/>
                <wp:effectExtent l="0" t="0" r="0" b="0"/>
                <wp:wrapNone/>
                <wp:docPr id="184" name="Frame18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condition Participant has, based on previous years of service as an employee with the Company, satisfied as of the date hereof, such that Participant is eligible as of the date hereof to effect a “Retirement with Notice” upon providing the requisite notice), and (ii) the term “Delayed Retirement” means the Participant’s Termination of Relationship due to his retirement from the Company and its Affiliates after providing the Company with at least 6 months’ prior written notice of such intended retirement on or after October 7, 2024 (or such earlier date as approved by the Committee in its sole discretion); </w:t>
      </w:r>
      <w:r>
        <w:rPr>
          <w:rFonts w:ascii="Times New Roman;sans-serif" w:hAnsi="Times New Roman;sans-serif"/>
          <w:b w:val="false"/>
          <w:i/>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u w:val="single"/>
        </w:rPr>
        <w:t>however</w:t>
      </w:r>
      <w:r>
        <w:rPr>
          <w:rFonts w:ascii="Times New Roman;sans-serif" w:hAnsi="Times New Roman;sans-serif"/>
          <w:b w:val="false"/>
          <w:color w:val="000000"/>
          <w:sz w:val="22"/>
        </w:rPr>
        <w:t xml:space="preserve">, that if the Company involuntarily terminates the Participant without Cause or the Participant dies or incurs a Disability after the Participant delivers the notice described in this sentence, such termination shall not fail to qualify as a “Retirement with Notice” or “Delayed Retirement”, as applicable, by virtue of the termination occurring less than the number of months of the notice period after the notice date, such that, for purposes of this Section 3, the Participant shall not be treated as having had a Termination of Relationship prior to the effective date of the Retirement with Notice or Delayed Retirement, as applicable; and </w:t>
      </w:r>
      <w:r>
        <w:rPr>
          <w:rFonts w:ascii="Times New Roman;sans-serif" w:hAnsi="Times New Roman;sans-serif"/>
          <w:b w:val="false"/>
          <w:i/>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u w:val="single"/>
        </w:rPr>
        <w:t>further</w:t>
      </w:r>
      <w:r>
        <w:rPr>
          <w:rFonts w:ascii="Times New Roman;sans-serif" w:hAnsi="Times New Roman;sans-serif"/>
          <w:b w:val="false"/>
          <w:color w:val="000000"/>
          <w:sz w:val="22"/>
        </w:rPr>
        <w:t>, that the Committee may, in its sole discretion, waive any such notice, in whole or in part, as may be required for Participant to effect a Retirement with Notice or Delayed Retirement.</w:t>
      </w:r>
    </w:p>
    <w:p>
      <w:pPr>
        <w:pStyle w:val="TextBody"/>
        <w:bidi w:val="0"/>
        <w:spacing w:before="0" w:after="0"/>
        <w:jc w:val="left"/>
        <w:rPr/>
      </w:pPr>
      <w:r>
        <w:rPr/>
      </w:r>
    </w:p>
    <w:p>
      <w:pPr>
        <w:pStyle w:val="TextBody"/>
        <w:bidi w:val="0"/>
        <w:spacing w:lineRule="auto" w:line="240" w:before="1" w:after="283"/>
        <w:ind w:left="0" w:right="0" w:hanging="633"/>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Dividends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1" w:after="283"/>
        <w:ind w:left="0" w:right="0" w:hanging="629"/>
        <w:jc w:val="left"/>
        <w:rPr/>
      </w:pPr>
      <w:r>
        <w:rPr>
          <w:rFonts w:ascii="Times New Roman;sans-serif" w:hAnsi="Times New Roman;sans-serif"/>
          <w:b w:val="false"/>
          <w:color w:val="000000"/>
          <w:sz w:val="22"/>
        </w:rPr>
        <w:t xml:space="preserve">(a)If on any date while PSUs are outstanding hereunder, the Company shall pay any dividend on the Shares (other than a dividend payable in Shares), the number of PSUs (if any) held by the Participant shall be increased by a number equal to: (a) the product of (x) the number of outstanding PSUs held by the Participant as of the related dividend record date, </w:t>
      </w:r>
      <w:r>
        <w:rPr>
          <w:rFonts w:ascii="Times New Roman;sans-serif" w:hAnsi="Times New Roman;sans-serif"/>
          <w:b w:val="false"/>
          <w:color w:val="000000"/>
          <w:sz w:val="22"/>
          <w:u w:val="single"/>
        </w:rPr>
        <w:t>multiplied</w:t>
      </w:r>
      <w:r>
        <w:rPr>
          <w:color w:val="000000"/>
        </w:rPr>
        <w:t xml:space="preserve"> </w:t>
      </w:r>
      <w:r>
        <w:rPr>
          <w:rFonts w:ascii="Times New Roman;sans-serif" w:hAnsi="Times New Roman;sans-serif"/>
          <w:b w:val="false"/>
          <w:color w:val="000000"/>
          <w:sz w:val="22"/>
        </w:rPr>
        <w:t>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w:t>
      </w:r>
    </w:p>
    <w:p>
      <w:pPr>
        <w:pStyle w:val="TextBody"/>
        <w:bidi w:val="0"/>
        <w:spacing w:before="10" w:after="283"/>
        <w:jc w:val="left"/>
        <w:rPr/>
      </w:pPr>
      <w:r>
        <w:rPr/>
      </w:r>
    </w:p>
    <w:p>
      <w:pPr>
        <w:pStyle w:val="TextBody"/>
        <w:bidi w:val="0"/>
        <w:spacing w:lineRule="auto" w:line="240" w:before="0" w:after="0"/>
        <w:ind w:left="0" w:right="0" w:hanging="629"/>
        <w:jc w:val="left"/>
        <w:rPr>
          <w:rFonts w:ascii="Times New Roman;sans-serif" w:hAnsi="Times New Roman;sans-serif"/>
          <w:b w:val="false"/>
          <w:color w:val="000000"/>
          <w:sz w:val="22"/>
        </w:rPr>
      </w:pPr>
      <w:r>
        <w:rPr>
          <w:rFonts w:ascii="Times New Roman;sans-serif" w:hAnsi="Times New Roman;sans-serif"/>
          <w:b w:val="false"/>
          <w:color w:val="000000"/>
          <w:sz w:val="22"/>
        </w:rPr>
        <w:t>(b)In the case of any dividend declared on Shares that is payable in the form of Shares, the number of PSUs, if any, held by the Participant shall be increased by a number equal to the product of (I) the number of outstanding PSUs held by the Participant as of the related dividend record date, multiplied by (II) the number of Shares (including any fraction thereof) payable as a dividend on a Share. Shares shall be transferred with respect to all additional PSUs granted pursuant to this Section 4 at the same time as Shares are transferred with respect to the Earned PSUs to which such additional PSUs were attributable.</w:t>
      </w:r>
    </w:p>
    <w:p>
      <w:pPr>
        <w:pStyle w:val="TextBody"/>
        <w:bidi w:val="0"/>
        <w:spacing w:before="10" w:after="283"/>
        <w:jc w:val="left"/>
        <w:rPr/>
      </w:pPr>
      <w:r>
        <w:rPr/>
      </w:r>
    </w:p>
    <w:p>
      <w:pPr>
        <w:pStyle w:val="TextBody"/>
        <w:bidi w:val="0"/>
        <w:spacing w:lineRule="auto" w:line="240" w:before="0" w:after="0"/>
        <w:ind w:left="0" w:right="0" w:hanging="629"/>
        <w:jc w:val="left"/>
        <w:rPr>
          <w:rFonts w:ascii="Times New Roman;sans-serif" w:hAnsi="Times New Roman;sans-serif"/>
          <w:b w:val="false"/>
          <w:color w:val="000000"/>
          <w:sz w:val="22"/>
        </w:rPr>
      </w:pPr>
      <w:r>
        <w:rPr>
          <w:rFonts w:ascii="Times New Roman;sans-serif" w:hAnsi="Times New Roman;sans-serif"/>
          <w:b w:val="false"/>
          <w:color w:val="000000"/>
          <w:sz w:val="22"/>
        </w:rPr>
        <w:t>(c)For purposes of this Section 4, the number of PSUs held by the Participant as of the applicable dividend record date shall be deemed to equal (i) zero (0), if such dividend record date occurs prior to the Determination Date or (ii) the Earned PSUs (if any) (with any additional PSUs granted pursuant to this Section 4 to be added to the Earned PSUs held by Participant), if such dividend record date occurs after the Determination Date; provided that, if any dividend on Shares was paid by the Company during the period beginning on the Date of Grant and ending on the Determination Date, on the Determination Date, an additional number of PSUs calculated in accordance with this Section 4, assuming Participant had held the number of Earned PSUs (if any) on the record date of such dividend(s), shall be immediately added to the number of Earned PSUs established as of the Determination Date.</w:t>
      </w:r>
    </w:p>
    <w:p>
      <w:pPr>
        <w:pStyle w:val="TextBody"/>
        <w:bidi w:val="0"/>
        <w:spacing w:before="3"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Adjustments Upon Certain Events</w:t>
      </w:r>
      <w:r>
        <w:rPr>
          <w:rFonts w:ascii="Times New Roman;sans-serif" w:hAnsi="Times New Roman;sans-serif"/>
          <w:b w:val="false"/>
          <w:color w:val="000000"/>
          <w:sz w:val="22"/>
        </w:rPr>
        <w:t>. In the event of any event described in Section 12 of the Plan occurring after the Date of Grant, the adjustment provisions (including cash payments) as provided for under Section 12 of the Plan shall apply (without duplication of any dividend adjustments reflected pursuant to Section 4 hereof).</w:t>
      </w:r>
    </w:p>
    <w:p>
      <w:pPr>
        <w:pStyle w:val="TextBody"/>
        <w:bidi w:val="0"/>
        <w:spacing w:before="10" w:after="283"/>
        <w:jc w:val="left"/>
        <w:rPr/>
      </w:pPr>
      <w:r>
        <w:rPr/>
      </w:r>
    </w:p>
    <w:p>
      <w:pPr>
        <w:pStyle w:val="TextBody"/>
        <w:bidi w:val="0"/>
        <w:spacing w:lineRule="auto" w:line="240"/>
        <w:ind w:left="0" w:right="0" w:hanging="72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 on Transfer</w:t>
      </w:r>
      <w:r>
        <w:rPr>
          <w:rFonts w:ascii="Times New Roman;sans-serif" w:hAnsi="Times New Roman;sans-serif"/>
          <w:b w:val="false"/>
          <w:color w:val="000000"/>
          <w:sz w:val="22"/>
        </w:rPr>
        <w:t xml:space="preserve">. The PSUs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Company, in each case in compliance with applicable </w:t>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28270"/>
                <wp:effectExtent l="0" t="0" r="0" b="0"/>
                <wp:wrapNone/>
                <wp:docPr id="185" name="Frame18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laws. The PSUs shall not be subject to execution, attachment or similar process. Any attempted assignment, transfer, pledge, hypothecation or other disposition of the PSUs contrary to the provisions of this Award or the Plan shall be null and void and without effect.</w:t>
      </w:r>
    </w:p>
    <w:p>
      <w:pPr>
        <w:pStyle w:val="TextBody"/>
        <w:bidi w:val="0"/>
        <w:spacing w:before="4"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2"/>
        </w:rPr>
        <w:t>7.</w:t>
      </w:r>
      <w:r>
        <w:rPr>
          <w:rFonts w:ascii="Times New Roman;sans-serif" w:hAnsi="Times New Roman;sans-serif"/>
          <w:b/>
          <w:color w:val="000000"/>
          <w:sz w:val="22"/>
        </w:rPr>
        <w:t>Data Protection. By accepting this Award, the Participant understands that the processing (including international transfer) of personal data will take place as set out in Exhibit A attached hereto for the purposes specified therein and if required by applicable law, rule or regulation</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Participant’s Employment</w:t>
      </w:r>
      <w:r>
        <w:rPr>
          <w:rFonts w:ascii="Times New Roman;sans-serif" w:hAnsi="Times New Roman;sans-serif"/>
          <w:b w:val="false"/>
          <w:color w:val="000000"/>
          <w:sz w:val="22"/>
        </w:rPr>
        <w:t>. Nothing in this Award or in the PSU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9.</w:t>
      </w:r>
      <w:r>
        <w:rPr>
          <w:rFonts w:ascii="Times New Roman;sans-serif" w:hAnsi="Times New Roman;sans-serif"/>
          <w:b/>
          <w:color w:val="000000"/>
          <w:sz w:val="22"/>
        </w:rPr>
        <w:t>No Acquired Rights</w:t>
      </w:r>
      <w:r>
        <w:rPr>
          <w:rFonts w:ascii="Times New Roman;sans-serif" w:hAnsi="Times New Roman;sans-serif"/>
          <w:b w:val="false"/>
          <w:color w:val="000000"/>
          <w:sz w:val="22"/>
        </w:rPr>
        <w:t>. The Committee or the Board has the power to amend or terminate the Plan at any time 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pStyle w:val="TextBody"/>
        <w:bidi w:val="0"/>
        <w:spacing w:before="10" w:after="283"/>
        <w:jc w:val="left"/>
        <w:rPr/>
      </w:pPr>
      <w:r>
        <w:rPr/>
      </w:r>
    </w:p>
    <w:p>
      <w:pPr>
        <w:pStyle w:val="TextBody"/>
        <w:bidi w:val="0"/>
        <w:spacing w:lineRule="auto" w:line="240" w:before="0" w:after="0"/>
        <w:ind w:left="0" w:right="0" w:hanging="632"/>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No Rights of a Stockholder</w:t>
      </w:r>
      <w:r>
        <w:rPr>
          <w:rFonts w:ascii="Times New Roman;sans-serif" w:hAnsi="Times New Roman;sans-serif"/>
          <w:b w:val="false"/>
          <w:color w:val="000000"/>
          <w:sz w:val="22"/>
        </w:rPr>
        <w:t>. The Participant shall not have any rights as a stockholder of the Company until the Shares in question have been registered in the Company’s register of stockholders.</w:t>
      </w:r>
    </w:p>
    <w:p>
      <w:pPr>
        <w:pStyle w:val="TextBody"/>
        <w:bidi w:val="0"/>
        <w:spacing w:before="10" w:after="283"/>
        <w:jc w:val="left"/>
        <w:rPr/>
      </w:pPr>
      <w:r>
        <w:rPr/>
      </w:r>
    </w:p>
    <w:p>
      <w:pPr>
        <w:pStyle w:val="TextBody"/>
        <w:bidi w:val="0"/>
        <w:spacing w:lineRule="auto" w:line="240" w:before="0" w:after="0"/>
        <w:ind w:left="0" w:right="0" w:hanging="633"/>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w:t>
      </w:r>
    </w:p>
    <w:p>
      <w:pPr>
        <w:pStyle w:val="TextBody"/>
        <w:bidi w:val="0"/>
        <w:spacing w:lineRule="auto" w:line="240" w:before="85"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and the Company and any such Affiliate is hereby authorized to withhold such amounts from any such issuance, transfer, compensation or other amount owing to the Participant.</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11(a) above.</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Section 409A of the Code</w:t>
      </w:r>
      <w:r>
        <w:rPr>
          <w:rFonts w:ascii="Times New Roman;sans-serif" w:hAnsi="Times New Roman;sans-serif"/>
          <w:b w:val="false"/>
          <w:color w:val="000000"/>
          <w:sz w:val="22"/>
        </w:rPr>
        <w:t>. The provisions of Section 15(u) of the Plan are hereby incorporated by reference and made a part hereof.</w:t>
      </w:r>
    </w:p>
    <w:p>
      <w:pPr>
        <w:pStyle w:val="TextBody"/>
        <w:bidi w:val="0"/>
        <w:spacing w:before="10" w:after="283"/>
        <w:jc w:val="left"/>
        <w:rPr/>
      </w:pPr>
      <w:r>
        <w:rPr/>
      </w:r>
    </w:p>
    <w:p>
      <w:pPr>
        <w:pStyle w:val="TextBody"/>
        <w:bidi w:val="0"/>
        <w:spacing w:lineRule="auto" w:line="240" w:before="0" w:after="0"/>
        <w:ind w:left="0" w:right="0" w:hanging="632"/>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PSUs Subject to Plan</w:t>
      </w:r>
      <w:r>
        <w:rPr>
          <w:rFonts w:ascii="Times New Roman;sans-serif" w:hAnsi="Times New Roman;sans-serif"/>
          <w:b w:val="false"/>
          <w:color w:val="000000"/>
          <w:sz w:val="22"/>
        </w:rPr>
        <w:t>. All PSUs are subject to the Plan. In the event of a conflict between any term or provision contained herein and a term or provision of the Plan, the applicable terms and provisions of the Plan will govern and prevail.</w:t>
      </w:r>
    </w:p>
    <w:p>
      <w:pPr>
        <w:pStyle w:val="TextBody"/>
        <w:bidi w:val="0"/>
        <w:spacing w:before="10" w:after="283"/>
        <w:jc w:val="left"/>
        <w:rPr/>
      </w:pPr>
      <w:r>
        <w:rPr/>
      </w:r>
    </w:p>
    <w:p>
      <w:pPr>
        <w:pStyle w:val="TextBody"/>
        <w:bidi w:val="0"/>
        <w:spacing w:lineRule="auto" w:line="240"/>
        <w:ind w:left="0" w:right="0" w:hanging="630"/>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28270"/>
                <wp:effectExtent l="0" t="0" r="0" b="0"/>
                <wp:wrapNone/>
                <wp:docPr id="186" name="Frame18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 to it at:</w:t>
      </w:r>
    </w:p>
    <w:p>
      <w:pPr>
        <w:pStyle w:val="TextBody"/>
        <w:bidi w:val="0"/>
        <w:spacing w:before="10" w:after="283"/>
        <w:jc w:val="left"/>
        <w:rPr/>
      </w:pPr>
      <w:r>
        <w:rPr/>
      </w:r>
    </w:p>
    <w:p>
      <w:pPr>
        <w:pStyle w:val="TextBody"/>
        <w:bidi w:val="0"/>
        <w:spacing w:before="9" w:after="283"/>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Aramark</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2400 Market Street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Philadelphia, Pennsylvania 19103 Attention: General Counsel</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28270"/>
                <wp:effectExtent l="0" t="0" r="0" b="0"/>
                <wp:wrapNone/>
                <wp:docPr id="187" name="Frame18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85"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Waiver of Breach</w:t>
      </w:r>
      <w:r>
        <w:rPr>
          <w:rFonts w:ascii="Times New Roman;sans-serif" w:hAnsi="Times New Roman;sans-serif"/>
          <w:b w:val="false"/>
          <w:color w:val="000000"/>
          <w:sz w:val="22"/>
        </w:rPr>
        <w:t>. The waiver by either party of a breach of any provision of this Award must be in writing and shall not operate or be construed as a waiver of any other or subsequent breach.</w:t>
      </w:r>
    </w:p>
    <w:p>
      <w:pPr>
        <w:pStyle w:val="TextBody"/>
        <w:bidi w:val="0"/>
        <w:spacing w:before="10" w:after="283"/>
        <w:jc w:val="left"/>
        <w:rPr/>
      </w:pPr>
      <w:r>
        <w:rPr/>
      </w:r>
    </w:p>
    <w:p>
      <w:pPr>
        <w:pStyle w:val="TextBody"/>
        <w:bidi w:val="0"/>
        <w:spacing w:lineRule="auto" w:line="240" w:before="0" w:after="0"/>
        <w:ind w:left="0" w:right="0" w:hanging="632"/>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Governing Law.</w:t>
      </w:r>
      <w:r>
        <w:rPr>
          <w:color w:val="000000"/>
        </w:rPr>
        <w:t xml:space="preserve"> </w:t>
      </w:r>
      <w:r>
        <w:rPr>
          <w:rFonts w:ascii="Times New Roman;sans-serif" w:hAnsi="Times New Roman;sans-serif"/>
          <w:b w:val="false"/>
          <w:color w:val="000000"/>
          <w:sz w:val="22"/>
        </w:rPr>
        <w:t>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Modification of Rights; Entire Agreement</w:t>
      </w:r>
      <w:r>
        <w:rPr>
          <w:rFonts w:ascii="Times New Roman;sans-serif" w:hAnsi="Times New Roman;sans-serif"/>
          <w:b w:val="false"/>
          <w:color w:val="000000"/>
          <w:sz w:val="22"/>
        </w:rPr>
        <w:t>. 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before="10" w:after="283"/>
        <w:jc w:val="left"/>
        <w:rPr/>
      </w:pPr>
      <w:r>
        <w:rPr/>
      </w:r>
    </w:p>
    <w:p>
      <w:pPr>
        <w:pStyle w:val="TextBody"/>
        <w:bidi w:val="0"/>
        <w:spacing w:lineRule="auto" w:line="5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[see Certificate of Grant - Participant] Date:    [Acceptance Date]</w:t>
      </w:r>
    </w:p>
    <w:p>
      <w:pPr>
        <w:pStyle w:val="TextBody"/>
        <w:bidi w:val="0"/>
        <w:spacing w:lineRule="auto" w:line="240"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 Grant will be accepted electronically.]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28270"/>
                <wp:effectExtent l="0" t="0" r="0" b="0"/>
                <wp:wrapNone/>
                <wp:docPr id="188" name="Frame18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40"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DATA PRIVACY NOTICE</w:t>
      </w:r>
    </w:p>
    <w:p>
      <w:pPr>
        <w:pStyle w:val="TextBody"/>
        <w:bidi w:val="0"/>
        <w:spacing w:before="10" w:after="283"/>
        <w:jc w:val="both"/>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w:t>
      </w:r>
      <w:r>
        <w:rPr>
          <w:rFonts w:ascii="Times New Roman;sans-serif" w:hAnsi="Times New Roman;sans-serif"/>
          <w:b w:val="false"/>
          <w:color w:val="000000"/>
          <w:sz w:val="22"/>
        </w:rPr>
        <w:t>By participating in the Plan or accepting any rights granted under it, the Participant understands that the Company and its Affiliates and/or agents collect, use, store and process personal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r>
        <w:rPr>
          <w:rFonts w:ascii="Times New Roman;sans-serif" w:hAnsi="Times New Roman;sans-serif"/>
          <w:b w:val="false"/>
          <w:color w:val="000000"/>
          <w:sz w:val="22"/>
          <w:u w:val="single"/>
        </w:rPr>
        <w:t>Data Privacy Notice</w:t>
      </w:r>
      <w:r>
        <w:rPr>
          <w:color w:val="000000"/>
        </w:rPr>
        <w:t>”</w:t>
      </w:r>
      <w:r>
        <w:rPr>
          <w:rFonts w:ascii="Times New Roman;sans-serif" w:hAnsi="Times New Roman;sans-serif"/>
          <w:b w:val="false"/>
          <w:color w:val="000000"/>
          <w:sz w:val="22"/>
        </w:rPr>
        <w:t xml:space="preserve">). </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data will include data:</w:t>
      </w:r>
    </w:p>
    <w:p>
      <w:pPr>
        <w:pStyle w:val="TextBody"/>
        <w:bidi w:val="0"/>
        <w:spacing w:before="0" w:after="0"/>
        <w:jc w:val="left"/>
        <w:rPr/>
      </w:pPr>
      <w:r>
        <w:rPr/>
      </w:r>
    </w:p>
    <w:p>
      <w:pPr>
        <w:pStyle w:val="TextBody"/>
        <w:bidi w:val="0"/>
        <w:spacing w:lineRule="auto" w:line="240" w:before="0" w:after="0"/>
        <w:ind w:left="0" w:right="0" w:hanging="1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already held in the Participant's records such as the Participant's name and address, ID number, payroll number, length of service and whether the Participant works full-time or part time;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collected upon the Participant accepting the rights granted under the Plan (if applicable); and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subsequently collected by the Company or any of its Affiliates and/or agents in relation to the Participant's continued participation in the Plan, for example, data about shares offered or received, purchased or sold under the Plan from time to time and other appropriate financial and other data about the Participant and his or her participation in the Plan (e.g., the date on which the shares were granted, termination of employment and the reasons of termination of employment or retirement of the Participant).</w:t>
      </w:r>
    </w:p>
    <w:p>
      <w:pPr>
        <w:pStyle w:val="TextBody"/>
        <w:bidi w:val="0"/>
        <w:spacing w:before="11" w:after="283"/>
        <w:jc w:val="left"/>
        <w:rPr/>
      </w:pPr>
      <w:r>
        <w:rPr/>
      </w:r>
    </w:p>
    <w:p>
      <w:pPr>
        <w:pStyle w:val="TextBody"/>
        <w:bidi w:val="0"/>
        <w:spacing w:before="10" w:after="283"/>
        <w:jc w:val="left"/>
        <w:rPr/>
      </w:pPr>
      <w:r>
        <w:rPr/>
      </w:r>
    </w:p>
    <w:p>
      <w:pPr>
        <w:pStyle w:val="TextBody"/>
        <w:bidi w:val="0"/>
        <w:spacing w:lineRule="auto" w:line="240" w:before="79" w:after="283"/>
        <w:ind w:left="0" w:right="0" w:hanging="63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Personal data about the Participant as described in paragraph (a) above may be transferred not only within the country in which the Participant is based from time to time or within the European Economic Area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(“EEA”), but also worldwide, to other Affiliates and/or agents and to the following third parties for the purposes described in paragraph (a) above: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w:t>
      </w:r>
      <w:r>
        <w:rPr>
          <w:rFonts w:ascii="Times New Roman;sans-serif" w:hAnsi="Times New Roman;sans-serif"/>
          <w:b w:val="false"/>
          <w:color w:val="000000"/>
          <w:sz w:val="22"/>
        </w:rPr>
        <w:t>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w:t>
      </w:r>
      <w:r>
        <w:rPr>
          <w:rFonts w:ascii="Times New Roman;sans-serif" w:hAnsi="Times New Roman;sans-serif"/>
          <w:b w:val="false"/>
          <w:color w:val="000000"/>
          <w:sz w:val="22"/>
        </w:rPr>
        <w:t>regulators, tax authorities, stock or security exchanges and other supervisory, regulatory, governmental or public bodies as required by law;</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(iii)</w:t>
      </w:r>
      <w:r>
        <w:rPr>
          <w:rFonts w:ascii="Times New Roman;sans-serif" w:hAnsi="Times New Roman;sans-serif"/>
          <w:b w:val="false"/>
          <w:color w:val="000000"/>
          <w:sz w:val="22"/>
        </w:rPr>
        <w:t>actual or proposed merger or acquisition partners or proposed assignees of, or those taking or proposing to take security over, the business or assets or stock of the Company or its Affiliates and their agents and contractors;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(iv)</w:t>
      </w:r>
      <w:r>
        <w:rPr>
          <w:rFonts w:ascii="Times New Roman;sans-serif" w:hAnsi="Times New Roman;sans-serif"/>
          <w:b w:val="false"/>
          <w:color w:val="000000"/>
          <w:sz w:val="22"/>
        </w:rPr>
        <w:t>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(v)</w:t>
      </w:r>
      <w:r>
        <w:rPr>
          <w:rFonts w:ascii="Times New Roman;sans-serif" w:hAnsi="Times New Roman;sans-serif"/>
          <w:b w:val="false"/>
          <w:color w:val="000000"/>
          <w:sz w:val="22"/>
        </w:rPr>
        <w:t xml:space="preserve">the Participant's family members, heirs, legatees and others associated with the Participant in connection with the Plan. </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 all countries, where the personal data may be processed or transferred to, have an equal level of data protection as in Canada, the EU or EEA. Countries to which data are transferred include the United States and Bermuda. The Company, as the responsible data controller of any data processing for the purposes of the Plan, is located in the United States. For any transfers outside the country of origin of the personal data or with a third party, the Company will ensure that </w:t>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European Economic Area is composed of 27 member states of the European Union plus Iceland, Liechtenstein and Norway.</w:t>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28270"/>
                <wp:effectExtent l="0" t="0" r="0" b="0"/>
                <wp:wrapNone/>
                <wp:docPr id="189" name="Frame18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appropriate measures are in place to ensure an adequate level of protection for your personal data, including technical or contractual measures where necessary.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European personal data, onward transfers of personal data within the United States and to Bermuda are generally undertaken with adequate safeguards in place to protect personal data, such as Standard Contractual Clauses issued by the European Commission, which are, where necessary, supplemented with additional measures to provide adequate protection of personal data.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 national and international transfer of personal data is only done in order to fulfill the obligations and rights of the Company and/or its Affiliates under the Plan.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in particular in the EU Member State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before="0" w:after="0"/>
        <w:jc w:val="left"/>
        <w:rPr/>
      </w:pPr>
      <w:r>
        <w:rPr/>
      </w:r>
    </w:p>
    <w:p>
      <w:pPr>
        <w:pStyle w:val="TextBody"/>
        <w:bidi w:val="0"/>
        <w:spacing w:lineRule="auto" w:line="240" w:before="0" w:after="0"/>
        <w:ind w:left="0" w:right="0" w:hanging="630"/>
        <w:jc w:val="left"/>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The processing (including transfer) of data described above is essential for the administration and operation of the Plan. Therefore, it is essential that his/her personal data is processed in the manner described above. </w:t>
      </w:r>
    </w:p>
    <w:p>
      <w:pPr>
        <w:pStyle w:val="TextBody"/>
        <w:bidi w:val="0"/>
        <w:spacing w:lineRule="auto" w:line="240" w:before="90" w:after="283"/>
        <w:ind w:left="0" w:right="0" w:hanging="630"/>
        <w:jc w:val="left"/>
        <w:rPr/>
      </w:pPr>
      <w:r>
        <w:rPr>
          <w:rFonts w:ascii="Times New Roman;sans-serif" w:hAnsi="Times New Roman;sans-serif"/>
          <w:b w:val="false"/>
          <w:color w:val="000000"/>
          <w:sz w:val="24"/>
        </w:rPr>
        <w:t>(d)</w:t>
      </w:r>
      <w:r>
        <w:rPr>
          <w:rFonts w:ascii="Times New Roman;sans-serif" w:hAnsi="Times New Roman;sans-serif"/>
          <w:b w:val="false"/>
          <w:color w:val="000000"/>
          <w:sz w:val="22"/>
        </w:rPr>
        <w:t>The Company will only retain personal data for as long as is required to satisfy the purposes as described in paragraph (a) above, except where otherwise provided or required by law (e.g. in connection with pending litigation).</w:t>
      </w:r>
    </w:p>
    <w:p>
      <w:pPr>
        <w:pStyle w:val="TextBody"/>
        <w:bidi w:val="0"/>
        <w:spacing w:before="0" w:after="0"/>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spacing w:before="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10.100</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28270"/>
                <wp:effectExtent l="0" t="0" r="0" b="0"/>
                <wp:wrapNone/>
                <wp:docPr id="190" name="Frame18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I</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Condition (ELT PSU Grant)</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4"/>
          <w:u w:val="single"/>
        </w:rPr>
        <w:t>Performance Period 1</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Fiscal Years [ ] ([ ] through [ ])</w:t>
      </w:r>
    </w:p>
    <w:p>
      <w:pPr>
        <w:pStyle w:val="TextBody"/>
        <w:bidi w:val="0"/>
        <w:spacing w:lineRule="auto" w:line="240" w:before="0" w:after="240"/>
        <w:jc w:val="left"/>
        <w:rPr/>
      </w:pPr>
      <w:r>
        <w:rPr>
          <w:rFonts w:ascii="Times New Roman;sans-serif" w:hAnsi="Times New Roman;sans-serif"/>
          <w:b/>
          <w:color w:val="000000"/>
          <w:sz w:val="24"/>
        </w:rPr>
        <w:t xml:space="preserve">Performance Period 2: </w:t>
      </w:r>
      <w:r>
        <w:rPr>
          <w:rFonts w:ascii="Times New Roman;sans-serif" w:hAnsi="Times New Roman;sans-serif"/>
          <w:b w:val="false"/>
          <w:color w:val="000000"/>
          <w:sz w:val="24"/>
        </w:rPr>
        <w:t>Fiscal Year [ ] ([ ] through [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number of PSUs equal to a percentage of the Target Number of PSUs set forth on the Certificate of Grant will become Earned PSUs on the Determination Date with respect to each Performance Period based on the level of achievement of actual ROIC during the relevant Performance Period as set forth in the tables below with 100% of the Target Number of PSUs for each Performance Period to be determined by achievement of actual ROIC. Achievement of actual ROIC in between the performance levels set forth in the tables below will be pro-rated based on linear interpolation. [ ]% of the Target Number of PSUs will be earned based on actual achievement related to Performance Period 1. [ ]% of the Target Number of PSUs will be earned on actual achievement related to Performance Period 2. Target and actual levels of achievement relating to Performance Period 2 will be measured for Aramark excluding Aramark Uniform Services.</w:t>
      </w:r>
    </w:p>
    <w:p>
      <w:pPr>
        <w:pStyle w:val="TextBody"/>
        <w:bidi w:val="0"/>
        <w:spacing w:before="0" w:after="120"/>
        <w:jc w:val="left"/>
        <w:rPr/>
      </w:pPr>
      <w:r>
        <w:rPr/>
      </w:r>
    </w:p>
    <w:p>
      <w:pPr>
        <w:pStyle w:val="TextBody"/>
        <w:bidi w:val="0"/>
        <w:spacing w:lineRule="auto" w:line="240" w:before="0" w:after="120"/>
        <w:jc w:val="left"/>
        <w:rPr>
          <w:rFonts w:ascii="Times New Roman;sans-serif" w:hAnsi="Times New Roman;sans-serif"/>
          <w:b/>
          <w:color w:val="000000"/>
          <w:sz w:val="24"/>
          <w:u w:val="single"/>
        </w:rPr>
      </w:pPr>
      <w:r>
        <w:rPr>
          <w:rFonts w:ascii="Times New Roman;sans-serif" w:hAnsi="Times New Roman;sans-serif"/>
          <w:b/>
          <w:color w:val="000000"/>
          <w:sz w:val="24"/>
          <w:u w:val="single"/>
        </w:rPr>
        <w:t>Target – ROIC: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Performance Period 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4"/>
        <w:gridCol w:w="1314"/>
        <w:gridCol w:w="1316"/>
        <w:gridCol w:w="1781"/>
        <w:gridCol w:w="1781"/>
        <w:gridCol w:w="2519"/>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Actual ROIC for Performance Period 1</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100% of</w:t>
              <w:br/>
              <w:t>Target Number of PSUs Earned for Performance Period 1</w:t>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Less than [ ]%</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41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or greater</w:t>
            </w:r>
          </w:p>
        </w:tc>
        <w:tc>
          <w:tcPr>
            <w:tcW w:w="608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Performance Period 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4"/>
        <w:gridCol w:w="1314"/>
        <w:gridCol w:w="1316"/>
        <w:gridCol w:w="1781"/>
        <w:gridCol w:w="1781"/>
        <w:gridCol w:w="2519"/>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Actual ROIC for Performance Period 2</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100% of</w:t>
              <w:br/>
              <w:t>Target Number of PSUs Earned for Performance Period 2</w:t>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Less than [ ]%</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1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6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41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or greater</w:t>
            </w:r>
          </w:p>
        </w:tc>
        <w:tc>
          <w:tcPr>
            <w:tcW w:w="608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Average Invested Capital for Performance Period 1”</w:t>
      </w:r>
      <w:r>
        <w:rPr>
          <w:color w:val="000000"/>
        </w:rPr>
        <w:t xml:space="preserve"> </w:t>
      </w:r>
      <w:r>
        <w:rPr>
          <w:rFonts w:ascii="Times New Roman;sans-serif" w:hAnsi="Times New Roman;sans-serif"/>
          <w:b w:val="false"/>
          <w:color w:val="000000"/>
          <w:sz w:val="24"/>
        </w:rPr>
        <w:t xml:space="preserve">means the simple average of: (a) the total outstanding debt; plus (b) stockholders equity; minus (c) the change in amortization of acquisition-related intangible assets or change in net intangibles and goodwill resulting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application of purchase accounting to the 2007 going-private transaction, as reported for fiscal year [ ].</w:t>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Average Invested Capital for Performance Period 2”</w:t>
      </w:r>
      <w:r>
        <w:rPr>
          <w:color w:val="000000"/>
        </w:rPr>
        <w:t xml:space="preserve"> </w:t>
      </w:r>
      <w:r>
        <w:rPr>
          <w:rFonts w:ascii="Times New Roman;sans-serif" w:hAnsi="Times New Roman;sans-serif"/>
          <w:b w:val="false"/>
          <w:color w:val="000000"/>
          <w:sz w:val="24"/>
        </w:rPr>
        <w:t>means the simple average of: (a) the total outstanding debt; plus (b) stockholders equity; minus (c) the change in amortization of acquisition-related intangible assets or change in net intangibles and goodwill resulting from the application of purchase accounting to the 2007 going-private transaction, as reported for fiscal year-ending [ ], excluding Aramark Uniform Services, and [ ].</w:t>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ROIC for Performance Period 1</w:t>
      </w:r>
      <w:r>
        <w:rPr>
          <w:color w:val="000000"/>
        </w:rPr>
        <w:t xml:space="preserve">” </w:t>
      </w:r>
      <w:r>
        <w:rPr>
          <w:rFonts w:ascii="Times New Roman;sans-serif" w:hAnsi="Times New Roman;sans-serif"/>
          <w:b w:val="false"/>
          <w:color w:val="000000"/>
          <w:sz w:val="24"/>
        </w:rPr>
        <w:t>means: (x) operating income for the fiscal year ending [ ] excluding (a) the cumulative effect of a change in accounting principle, income or loss from disposed or discontinued operations and any gains or losses on disposed or discontinued operations, all as determined in accordance with United States GAAP; (b) any severance or other costs related to the Company’s major restructuring efforts; (c) any significant gains, losses or settlements that impact comparability between years; (d) any changes in the fair value of gas and diesel fuel derivatives; (e) the effects of changes in foreign currency translation rates from such rates used in the calculation of the ROIC target; (f) the impact of material acquisitions and divestitures that impact the comparability with the target and (g) the impact of any changes to tax rates or deductions or other changes to the Internal Revenue Code (the “Code”) from the Code as it existed during fiscal 2021, in any case that have a material impact on net income; divided by (y) Average Invested Capital for Performance Period 1.</w:t>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ROIC for Performance Period 2</w:t>
      </w:r>
      <w:r>
        <w:rPr>
          <w:color w:val="000000"/>
        </w:rPr>
        <w:t xml:space="preserve">” </w:t>
      </w:r>
      <w:r>
        <w:rPr>
          <w:rFonts w:ascii="Times New Roman;sans-serif" w:hAnsi="Times New Roman;sans-serif"/>
          <w:b w:val="false"/>
          <w:color w:val="000000"/>
          <w:sz w:val="24"/>
        </w:rPr>
        <w:t>means: (x) operating income for the fiscal year ending [ ] excluding (a) the cumulative effect of a change in accounting principle, income or loss from disposed or discontinued operations and any gains or losses on disposed or discontinued operations, all as determined in accordance with United States GAAP; (b) any severance or other costs related to the Company’s major restructuring efforts; (c) any significant gains, losses or settlements that impact comparability between years; (d) any changes in the fair value of gas and diesel fuel derivatives; (e) the effects of changes in foreign currency translation rates from such rates used in the calculation of the ROIC target; (f) the impact of material acquisitions and divestitures that impact the comparability with the target and (g) the impact of any changes to tax rates or deductions or other changes to the Internal Revenue Code (the “Code”) from the Code as it existed during fiscal 2021, in any case that have a material impact on net income; divided by (y) Average Invested Capital for Performance Period 2.</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10.101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Schedule I</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Condition (ELC PSU Grant)</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4"/>
          <w:u w:val="single"/>
        </w:rPr>
        <w:t>Performance Period 1</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Fiscal Years [ ] ([ ] through [ ])</w:t>
      </w:r>
    </w:p>
    <w:p>
      <w:pPr>
        <w:pStyle w:val="TextBody"/>
        <w:bidi w:val="0"/>
        <w:spacing w:lineRule="auto" w:line="240" w:before="0" w:after="240"/>
        <w:jc w:val="left"/>
        <w:rPr/>
      </w:pPr>
      <w:r>
        <w:rPr>
          <w:rFonts w:ascii="Times New Roman;sans-serif" w:hAnsi="Times New Roman;sans-serif"/>
          <w:b/>
          <w:color w:val="000000"/>
          <w:sz w:val="24"/>
          <w:u w:val="single"/>
        </w:rPr>
        <w:t>Performance Period 2</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Fiscal Year [ ] ([ ] through [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number of PSUs equal to a percentage of the Target Number of PSUs set forth on the Certificate of Grant will become Earned PSUs on the Determination Date with respect to each Performance Period based on the level of achievement of actual Adjusted Revenue Growth, actual Adjusted Operating Income Growth, and to the extent applicable, actual Relative TSR Percentile, during the relevant Performance Period as set forth in the tables below with [ ]% of the Target Number of PSUs for each Performance Period to be determined by achievement of actual Adjusted Revenue Growth during such Performance Period and [ ]% to be determined by achievement of actual Adjusted Operating Income Growth for each Performance Period subject, in the case of the determination with respect to Performance Period 1 to the TSR Multiplier as described below.</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 xml:space="preserve">[ ]% of the Target Number of PSUs will be earned based on the level of achievement of actual Adjusted Revenue Growth and actual Adjusted Operating Income Growth related to Performance Period 1 with a Relative TSR Multiplier based on the actual Relative TSR Percentile related to Performance Period 1. </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 xml:space="preserve">[ ]% of the Target Number of PSUs will be earned based on the level of achievement of actual Adjusted Revenue Growth and actual Adjusted Operating Income Growth related to Performance Period 2. The actual levels of achievement relating to Performance Period 2 will be measured for Aramark excluding Aramark Uniform Services.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Achievement of actual Adjusted Revenue Growth, actual Adjusted Operating Income growth and/or actual Relative TSR Percentile in between the performance levels set forth in the tables below will be pro-rated based on linear interpolation. The total number of Earned PSUs hereunder, if any, will be the sum of: (a) product of (x) the TSR Multiplier, (y) the sum of (i) the applicable percentage of the Target Number of PSUs earned related to Performance Period 1 based on actual Adjusted Revenue Growth for such performance period and (ii) the applicable percentage of the Target Number of PSUs earned related to Performance Period 1 based on actual Adjusted Operating Income Growth for such performance period and (z) [ ], and (b) the product of (x) the sum of the (i) the applicable percentage of the Target Number of PSUs earned related to Performance Period 2 based on actual Adjusted Revenue Growth for such performance period and (ii) the applicable percentage of the Target Number of PSUs earned related to Performance Period 2 based on actual Adjusted Operating Income Growth for such performance period and (y) [ ], as set forth on the tables below:</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left"/>
        <w:rPr/>
      </w:pPr>
      <w:r>
        <w:rPr>
          <w:rFonts w:ascii="Times New Roman;sans-serif" w:hAnsi="Times New Roman;sans-serif"/>
          <w:b/>
          <w:color w:val="000000"/>
          <w:sz w:val="24"/>
          <w:u w:val="single"/>
        </w:rPr>
        <w:t>Compound Annual Target - Adjusted Revenue Growth</w:t>
      </w:r>
      <w:r>
        <w:rPr>
          <w:rFonts w:ascii="Times New Roman;sans-serif" w:hAnsi="Times New Roman;sans-serif"/>
          <w:b w:val="false"/>
          <w:color w:val="000000"/>
          <w:sz w:val="24"/>
        </w:rPr>
        <w:t xml:space="preserve">: </w:t>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Performance Period 1</w:t>
      </w:r>
    </w:p>
    <w:p>
      <w:pPr>
        <w:pStyle w:val="TextBody"/>
        <w:bidi w:val="0"/>
        <w:spacing w:before="0" w:after="0"/>
        <w:jc w:val="left"/>
        <w:rPr/>
      </w:pPr>
      <w:r>
        <w:rPr/>
      </w:r>
    </w:p>
    <w:tbl>
      <w:tblPr>
        <w:tblW w:w="6118" w:type="dxa"/>
        <w:jc w:val="left"/>
        <w:tblInd w:w="0" w:type="dxa"/>
        <w:tblLayout w:type="fixed"/>
        <w:tblCellMar>
          <w:top w:w="28" w:type="dxa"/>
          <w:left w:w="28" w:type="dxa"/>
          <w:bottom w:w="28" w:type="dxa"/>
          <w:right w:w="28" w:type="dxa"/>
        </w:tblCellMar>
      </w:tblPr>
      <w:tblGrid>
        <w:gridCol w:w="967"/>
        <w:gridCol w:w="850"/>
        <w:gridCol w:w="852"/>
        <w:gridCol w:w="1008"/>
        <w:gridCol w:w="1008"/>
        <w:gridCol w:w="1433"/>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Actual Annual Adjusted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Revenue Growth</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Level</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Related to</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4"/>
              </w:rPr>
              <w:t>Performance Period 1</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Percentage of [ ]% of</w:t>
              <w:br/>
              <w:t>Target Number of PSUs Earned</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(Adjusted Revenue Component)</w:t>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less than [ ]%</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6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or greater</w:t>
            </w:r>
          </w:p>
        </w:tc>
        <w:tc>
          <w:tcPr>
            <w:tcW w:w="34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Performance Period 2</w:t>
      </w:r>
    </w:p>
    <w:p>
      <w:pPr>
        <w:pStyle w:val="TextBody"/>
        <w:bidi w:val="0"/>
        <w:spacing w:before="0" w:after="0"/>
        <w:jc w:val="left"/>
        <w:rPr/>
      </w:pPr>
      <w:r>
        <w:rPr/>
      </w:r>
    </w:p>
    <w:tbl>
      <w:tblPr>
        <w:tblW w:w="6118" w:type="dxa"/>
        <w:jc w:val="left"/>
        <w:tblInd w:w="0" w:type="dxa"/>
        <w:tblLayout w:type="fixed"/>
        <w:tblCellMar>
          <w:top w:w="28" w:type="dxa"/>
          <w:left w:w="28" w:type="dxa"/>
          <w:bottom w:w="28" w:type="dxa"/>
          <w:right w:w="28" w:type="dxa"/>
        </w:tblCellMar>
      </w:tblPr>
      <w:tblGrid>
        <w:gridCol w:w="967"/>
        <w:gridCol w:w="850"/>
        <w:gridCol w:w="852"/>
        <w:gridCol w:w="1008"/>
        <w:gridCol w:w="1008"/>
        <w:gridCol w:w="1433"/>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Actual Annual Adjusted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Revenue Growth</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Level</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Related to</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4"/>
              </w:rPr>
              <w:t>Performance Period 2</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Percentage of [ ]% of</w:t>
              <w:br/>
              <w:t>Target Number of PSUs Earned</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(Adjusted Revenue Component)</w:t>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less than [ ]%</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6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4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6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or greater</w:t>
            </w:r>
          </w:p>
        </w:tc>
        <w:tc>
          <w:tcPr>
            <w:tcW w:w="34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0"/>
        <w:jc w:val="left"/>
        <w:rPr/>
      </w:pPr>
      <w:r>
        <w:rPr/>
      </w:r>
    </w:p>
    <w:p>
      <w:pPr>
        <w:pStyle w:val="TextBody"/>
        <w:bidi w:val="0"/>
        <w:spacing w:lineRule="auto" w:line="240" w:before="0" w:after="120"/>
        <w:jc w:val="left"/>
        <w:rPr/>
      </w:pPr>
      <w:r>
        <w:rPr>
          <w:rFonts w:ascii="Times New Roman;sans-serif" w:hAnsi="Times New Roman;sans-serif"/>
          <w:b/>
          <w:color w:val="000000"/>
          <w:sz w:val="24"/>
          <w:u w:val="single"/>
        </w:rPr>
        <w:t>Compound Annual Target - Adjusted Operating Income Growth</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Performance Period 1</w:t>
      </w:r>
    </w:p>
    <w:p>
      <w:pPr>
        <w:pStyle w:val="TextBody"/>
        <w:bidi w:val="0"/>
        <w:spacing w:before="0" w:after="0"/>
        <w:jc w:val="left"/>
        <w:rPr/>
      </w:pPr>
      <w:r>
        <w:rPr/>
      </w:r>
    </w:p>
    <w:tbl>
      <w:tblPr>
        <w:tblW w:w="7214" w:type="dxa"/>
        <w:jc w:val="left"/>
        <w:tblInd w:w="0" w:type="dxa"/>
        <w:tblLayout w:type="fixed"/>
        <w:tblCellMar>
          <w:top w:w="28" w:type="dxa"/>
          <w:left w:w="28" w:type="dxa"/>
          <w:bottom w:w="28" w:type="dxa"/>
          <w:right w:w="28" w:type="dxa"/>
        </w:tblCellMar>
      </w:tblPr>
      <w:tblGrid>
        <w:gridCol w:w="1021"/>
        <w:gridCol w:w="898"/>
        <w:gridCol w:w="900"/>
        <w:gridCol w:w="1285"/>
        <w:gridCol w:w="1285"/>
        <w:gridCol w:w="1825"/>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Actual Annual Adjusted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Operating Income Growth</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Level</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Related To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Period 1</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Percentage of [ ]% of</w:t>
              <w:br/>
              <w:t>Target Number of PSUs Earned</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(Adjusted Operating Income Component)</w:t>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less than [ ]%</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8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or greater</w:t>
            </w:r>
          </w:p>
        </w:tc>
        <w:tc>
          <w:tcPr>
            <w:tcW w:w="43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Performance Period 2</w:t>
      </w:r>
    </w:p>
    <w:p>
      <w:pPr>
        <w:pStyle w:val="TextBody"/>
        <w:bidi w:val="0"/>
        <w:spacing w:before="0" w:after="0"/>
        <w:jc w:val="left"/>
        <w:rPr/>
      </w:pPr>
      <w:r>
        <w:rPr/>
      </w:r>
    </w:p>
    <w:tbl>
      <w:tblPr>
        <w:tblW w:w="7214" w:type="dxa"/>
        <w:jc w:val="left"/>
        <w:tblInd w:w="0" w:type="dxa"/>
        <w:tblLayout w:type="fixed"/>
        <w:tblCellMar>
          <w:top w:w="28" w:type="dxa"/>
          <w:left w:w="28" w:type="dxa"/>
          <w:bottom w:w="28" w:type="dxa"/>
          <w:right w:w="28" w:type="dxa"/>
        </w:tblCellMar>
      </w:tblPr>
      <w:tblGrid>
        <w:gridCol w:w="1021"/>
        <w:gridCol w:w="898"/>
        <w:gridCol w:w="900"/>
        <w:gridCol w:w="1285"/>
        <w:gridCol w:w="1285"/>
        <w:gridCol w:w="1825"/>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Actual Annual Adjusted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Operating Income Growth</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Level</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Related To </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Performance Period 2</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Percentage of [ ]% of</w:t>
              <w:br/>
              <w:t>Target Number of PSUs Earned</w:t>
            </w:r>
          </w:p>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(Adjusted Operating Income Component)</w:t>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less than [ ]%</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4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8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or greater</w:t>
            </w:r>
          </w:p>
        </w:tc>
        <w:tc>
          <w:tcPr>
            <w:tcW w:w="43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TSR Multiplier to be applied to achievement from Performance Period 1:</w:t>
      </w:r>
    </w:p>
    <w:p>
      <w:pPr>
        <w:pStyle w:val="TextBody"/>
        <w:bidi w:val="0"/>
        <w:spacing w:before="0" w:after="0"/>
        <w:jc w:val="left"/>
        <w:rPr/>
      </w:pPr>
      <w:r>
        <w:rPr/>
      </w:r>
    </w:p>
    <w:tbl>
      <w:tblPr>
        <w:tblW w:w="4260" w:type="dxa"/>
        <w:jc w:val="left"/>
        <w:tblInd w:w="0" w:type="dxa"/>
        <w:tblLayout w:type="fixed"/>
        <w:tblCellMar>
          <w:top w:w="28" w:type="dxa"/>
          <w:left w:w="28" w:type="dxa"/>
          <w:bottom w:w="28" w:type="dxa"/>
          <w:right w:w="28" w:type="dxa"/>
        </w:tblCellMar>
      </w:tblPr>
      <w:tblGrid>
        <w:gridCol w:w="924"/>
        <w:gridCol w:w="811"/>
        <w:gridCol w:w="815"/>
        <w:gridCol w:w="501"/>
        <w:gridCol w:w="501"/>
        <w:gridCol w:w="708"/>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Relative TSR Percentile</w:t>
            </w:r>
          </w:p>
        </w:tc>
        <w:tc>
          <w:tcPr>
            <w:tcW w:w="17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TSR Multiplier</w:t>
            </w:r>
          </w:p>
        </w:tc>
      </w:tr>
      <w:tr>
        <w:trPr/>
        <w:tc>
          <w:tcPr>
            <w:tcW w:w="2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]th Percentile or Above</w:t>
            </w:r>
          </w:p>
        </w:tc>
        <w:tc>
          <w:tcPr>
            <w:tcW w:w="17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125%</w:t>
            </w:r>
          </w:p>
        </w:tc>
      </w:tr>
      <w:tr>
        <w:trPr/>
        <w:tc>
          <w:tcPr>
            <w:tcW w:w="2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]th – [ ]th Percentile</w:t>
            </w:r>
          </w:p>
        </w:tc>
        <w:tc>
          <w:tcPr>
            <w:tcW w:w="17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100%</w:t>
            </w:r>
          </w:p>
        </w:tc>
      </w:tr>
      <w:tr>
        <w:trPr/>
        <w:tc>
          <w:tcPr>
            <w:tcW w:w="25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]th Percentile or below</w:t>
            </w:r>
          </w:p>
        </w:tc>
        <w:tc>
          <w:tcPr>
            <w:tcW w:w="17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75%</w:t>
            </w:r>
          </w:p>
        </w:tc>
      </w:tr>
    </w:tbl>
    <w:p>
      <w:pPr>
        <w:pStyle w:val="TextBody"/>
        <w:bidi w:val="0"/>
        <w:spacing w:before="0" w:after="0"/>
        <w:jc w:val="left"/>
        <w:rPr/>
      </w:pPr>
      <w:r>
        <w:rPr/>
      </w:r>
    </w:p>
    <w:p>
      <w:pPr>
        <w:pStyle w:val="TextBody"/>
        <w:bidi w:val="0"/>
        <w:spacing w:lineRule="auto" w:line="240" w:before="0" w:after="0"/>
        <w:jc w:val="left"/>
        <w:rPr/>
      </w:pPr>
      <w:r>
        <w:rPr>
          <w:color w:val="000000"/>
          <w:u w:val="single"/>
        </w:rPr>
        <w:t>“</w:t>
      </w:r>
      <w:r>
        <w:rPr>
          <w:rFonts w:ascii="Times New Roman;sans-serif" w:hAnsi="Times New Roman;sans-serif"/>
          <w:b/>
          <w:color w:val="000000"/>
          <w:sz w:val="24"/>
          <w:u w:val="single"/>
        </w:rPr>
        <w:t>Adjusted Operating Income</w:t>
      </w:r>
      <w:r>
        <w:rPr>
          <w:color w:val="000000"/>
          <w:u w:val="single"/>
        </w:rPr>
        <w:t>”</w:t>
      </w:r>
      <w:r>
        <w:rPr>
          <w:color w:val="000000"/>
        </w:rPr>
        <w:t xml:space="preserve"> </w:t>
      </w:r>
      <w:r>
        <w:rPr>
          <w:rFonts w:ascii="Times New Roman;sans-serif" w:hAnsi="Times New Roman;sans-serif"/>
          <w:b w:val="false"/>
          <w:color w:val="000000"/>
          <w:sz w:val="24"/>
        </w:rPr>
        <w:t>means operating income adjusted to eliminate: (a) the change in amortization of acquisition-related intangible assets; (b) the impact of the change in fair value related to certain gasoline and diesel agreements; (c) severance and other charges; (d) the effect of material acquisitions and divestitures; (e) merger and integration related charges related to material acquisitions; and (f) other items impacting comparability.</w:t>
      </w:r>
    </w:p>
    <w:p>
      <w:pPr>
        <w:pStyle w:val="TextBody"/>
        <w:bidi w:val="0"/>
        <w:spacing w:before="0" w:after="0"/>
        <w:jc w:val="left"/>
        <w:rPr/>
      </w:pPr>
      <w:r>
        <w:rPr/>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Adjusted Operating Income Growth”</w:t>
      </w:r>
      <w:r>
        <w:rPr>
          <w:color w:val="000000"/>
        </w:rPr>
        <w:t xml:space="preserve"> </w:t>
      </w:r>
      <w:r>
        <w:rPr>
          <w:rFonts w:ascii="Times New Roman;sans-serif" w:hAnsi="Times New Roman;sans-serif"/>
          <w:b w:val="false"/>
          <w:color w:val="000000"/>
          <w:sz w:val="24"/>
        </w:rPr>
        <w:t>means operating income growth adjusted to eliminate: (a) the change in amortization of acquisition-related intangible assets; (b) the impact of the change in fair value related to certain gasoline and diesel agreements; (c) severance and other charges; (d) the effect of material acquisitions and divestitures; (e) merger and integration related charges related to material acquisitions; and (f) other items impacting comparability.</w:t>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Adjusted Revenue”</w:t>
      </w:r>
      <w:r>
        <w:rPr>
          <w:color w:val="000000"/>
        </w:rPr>
        <w:t xml:space="preserve"> </w:t>
      </w:r>
      <w:r>
        <w:rPr>
          <w:rFonts w:ascii="Times New Roman;sans-serif" w:hAnsi="Times New Roman;sans-serif"/>
          <w:b w:val="false"/>
          <w:color w:val="000000"/>
          <w:sz w:val="24"/>
        </w:rPr>
        <w:t>means revenue, adjusted to eliminate the impact of currency translation and material acquisitions and divestitures.</w:t>
      </w:r>
    </w:p>
    <w:p>
      <w:pPr>
        <w:pStyle w:val="TextBody"/>
        <w:bidi w:val="0"/>
        <w:spacing w:lineRule="auto" w:line="240" w:before="0" w:after="240"/>
        <w:jc w:val="left"/>
        <w:rPr/>
      </w:pPr>
      <w:r>
        <w:rPr>
          <w:color w:val="000000"/>
          <w:u w:val="single"/>
        </w:rPr>
        <w:t>“</w:t>
      </w:r>
      <w:r>
        <w:rPr>
          <w:rFonts w:ascii="Times New Roman;sans-serif" w:hAnsi="Times New Roman;sans-serif"/>
          <w:b/>
          <w:color w:val="000000"/>
          <w:sz w:val="24"/>
          <w:u w:val="single"/>
        </w:rPr>
        <w:t xml:space="preserve">Adjusted Revenue Growth” </w:t>
      </w:r>
      <w:r>
        <w:rPr>
          <w:rFonts w:ascii="Times New Roman;sans-serif" w:hAnsi="Times New Roman;sans-serif"/>
          <w:b w:val="false"/>
          <w:color w:val="000000"/>
          <w:sz w:val="24"/>
        </w:rPr>
        <w:t>means revenue growth, adjusted to eliminate the impact of currency translation and material acquisitions and divestitures.</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Relative TSR Percentile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TSR Measurement Period</w:t>
      </w:r>
      <w:r>
        <w:rPr>
          <w:rFonts w:ascii="Times New Roman;sans-serif" w:hAnsi="Times New Roman;sans-serif"/>
          <w:b w:val="false"/>
          <w:color w:val="000000"/>
          <w:sz w:val="24"/>
        </w:rPr>
        <w:t>: The period commencing on [ ] and ending on the earlier of (i) [ ] and (ii) the date upon which a Change of Control occurs.</w:t>
      </w:r>
    </w:p>
    <w:p>
      <w:pPr>
        <w:pStyle w:val="TextBody"/>
        <w:bidi w:val="0"/>
        <w:spacing w:before="0" w:after="0"/>
        <w:jc w:val="left"/>
        <w:rPr/>
      </w:pPr>
      <w:r>
        <w:rPr/>
      </w:r>
    </w:p>
    <w:p>
      <w:pPr>
        <w:pStyle w:val="TextBody"/>
        <w:bidi w:val="0"/>
        <w:spacing w:lineRule="auto" w:line="240"/>
        <w:jc w:val="left"/>
        <w:rPr/>
      </w:pPr>
      <w:r>
        <w:rPr>
          <w:rFonts w:ascii="Times New Roman;sans-serif" w:hAnsi="Times New Roman;sans-serif"/>
          <w:b/>
          <w:color w:val="000000"/>
          <w:sz w:val="24"/>
        </w:rPr>
        <w:t>TSR Multiplier:</w:t>
      </w:r>
      <w:r>
        <w:rPr>
          <w:color w:val="000000"/>
        </w:rPr>
        <w:t xml:space="preserve"> </w:t>
      </w:r>
      <w:r>
        <w:rPr>
          <w:rFonts w:ascii="Times New Roman;sans-serif" w:hAnsi="Times New Roman;sans-serif"/>
          <w:b w:val="false"/>
          <w:color w:val="000000"/>
          <w:sz w:val="24"/>
        </w:rPr>
        <w:t>The applicable multiplier percentage for purposes of determining the number of Earned PSUs based on the Company’s actual Relative TSR Percentile, as set forth on the table set forth above.</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u w:val="single"/>
        </w:rPr>
        <w:t>Relative TSR Percentile</w:t>
      </w:r>
      <w:r>
        <w:rPr>
          <w:rFonts w:ascii="Times New Roman;sans-serif" w:hAnsi="Times New Roman;sans-serif"/>
          <w:b w:val="false"/>
          <w:color w:val="000000"/>
          <w:sz w:val="24"/>
        </w:rPr>
        <w:t xml:space="preserve">: The Relative TSR Percentile shall be the Company’s Total Shareholder Return (as calculated below) during the TSR Measurement Period, ranked as a percentile as compared to the Total Shareholder Return of the other companies within the Peer Group. </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u w:val="single"/>
        </w:rPr>
        <w:t>Total Shareholder Return</w:t>
      </w:r>
      <w:r>
        <w:rPr>
          <w:color w:val="000000"/>
        </w:rPr>
        <w:t xml:space="preserve">” </w:t>
      </w:r>
      <w:r>
        <w:rPr>
          <w:rFonts w:ascii="Times New Roman;sans-serif" w:hAnsi="Times New Roman;sans-serif"/>
          <w:b w:val="false"/>
          <w:color w:val="000000"/>
          <w:sz w:val="24"/>
        </w:rPr>
        <w:t>means, with respect to any company, an amount (expressed as a percentage return) equal to:</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(i) the sum of (x) the Ending Stock Price minus the Beginning Stock Price, </w:t>
      </w:r>
      <w:r>
        <w:rPr>
          <w:rFonts w:ascii="Times New Roman;sans-serif" w:hAnsi="Times New Roman;sans-serif"/>
          <w:b w:val="false"/>
          <w:i/>
          <w:color w:val="000000"/>
          <w:sz w:val="24"/>
          <w:u w:val="single"/>
        </w:rPr>
        <w:t>plus</w:t>
      </w:r>
      <w:r>
        <w:rPr>
          <w:color w:val="000000"/>
        </w:rPr>
        <w:t xml:space="preserve"> </w:t>
      </w:r>
      <w:r>
        <w:rPr>
          <w:rFonts w:ascii="Times New Roman;sans-serif" w:hAnsi="Times New Roman;sans-serif"/>
          <w:b w:val="false"/>
          <w:color w:val="000000"/>
          <w:sz w:val="24"/>
        </w:rPr>
        <w:t>(y) the amount of any dividends and distributions paid on a per share basis (calculated as if such dividends had been reinvested in the applicable company’s common stock on the applicable dividend date) cumulatively over the performance period,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u w:val="single"/>
        </w:rPr>
      </w:pPr>
      <w:r>
        <w:rPr>
          <w:rFonts w:ascii="Times New Roman;sans-serif" w:hAnsi="Times New Roman;sans-serif"/>
          <w:b w:val="false"/>
          <w:i/>
          <w:color w:val="000000"/>
          <w:sz w:val="24"/>
          <w:u w:val="single"/>
        </w:rPr>
        <w:t>divided by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the Beginning Stock Price.</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u w:val="single"/>
        </w:rPr>
        <w:t>Beginning Stock Price</w:t>
      </w:r>
      <w:r>
        <w:rPr>
          <w:color w:val="000000"/>
        </w:rPr>
        <w:t xml:space="preserve">” </w:t>
      </w:r>
      <w:r>
        <w:rPr>
          <w:rFonts w:ascii="Times New Roman;sans-serif" w:hAnsi="Times New Roman;sans-serif"/>
          <w:b w:val="false"/>
          <w:color w:val="000000"/>
          <w:sz w:val="24"/>
        </w:rPr>
        <w:t>means, with respect to any company, the average closing price per share of common stock for the twenty (20) trading days immediately prior to the first trading day of the TSR Measurement Period.</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u w:val="single"/>
        </w:rPr>
        <w:t>Ending Stock Price</w:t>
      </w:r>
      <w:r>
        <w:rPr>
          <w:color w:val="000000"/>
        </w:rPr>
        <w:t xml:space="preserve">” </w:t>
      </w:r>
      <w:r>
        <w:rPr>
          <w:rFonts w:ascii="Times New Roman;sans-serif" w:hAnsi="Times New Roman;sans-serif"/>
          <w:b w:val="false"/>
          <w:color w:val="000000"/>
          <w:sz w:val="24"/>
        </w:rPr>
        <w:t>means, with respect to any company, the average closing price per share of common stock for the twenty (20) trading days immediately prior to the last day of the TSR Measurement Period.</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u w:val="single"/>
        </w:rPr>
        <w:t>Peer Group</w:t>
      </w:r>
      <w:r>
        <w:rPr>
          <w:color w:val="000000"/>
        </w:rPr>
        <w:t xml:space="preserve">” </w:t>
      </w:r>
      <w:r>
        <w:rPr>
          <w:rFonts w:ascii="Times New Roman;sans-serif" w:hAnsi="Times New Roman;sans-serif"/>
          <w:b w:val="false"/>
          <w:color w:val="000000"/>
          <w:sz w:val="24"/>
        </w:rPr>
        <w:t xml:space="preserve">means the following companies: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company in the Peer Group that ceases to be publicly held during the TSR Measurement Period (i) due to bankruptcy, liquidation or reorganization, shall remain in the Peer Group for purposes of calculation of the Relative TSR Percentile (with such company deemed to have a Total Shareholder Return of -100% and ranked at the bottom of the Peer Group) or (ii) due to a merger, sale, acquisition, business combination or other similar event, shall be excluded from the Peer Group for purposes of calculation of the Relative TSR Percentile.</w:t>
      </w:r>
    </w:p>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80" w:type="dxa"/>
        <w:jc w:val="left"/>
        <w:tblInd w:w="0" w:type="dxa"/>
        <w:tblLayout w:type="fixed"/>
        <w:tblCellMar>
          <w:top w:w="28" w:type="dxa"/>
          <w:left w:w="28" w:type="dxa"/>
          <w:bottom w:w="28" w:type="dxa"/>
          <w:right w:w="28" w:type="dxa"/>
        </w:tblCellMar>
      </w:tblPr>
      <w:tblGrid>
        <w:gridCol w:w="1634"/>
        <w:gridCol w:w="1438"/>
        <w:gridCol w:w="1442"/>
        <w:gridCol w:w="109"/>
        <w:gridCol w:w="109"/>
        <w:gridCol w:w="109"/>
        <w:gridCol w:w="685"/>
        <w:gridCol w:w="685"/>
        <w:gridCol w:w="969"/>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Intermediate HoldCo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1st &amp; Fresh,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Snack &amp; Beverage,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American Food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Asia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Aviation Services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Business &amp; Industry,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Business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Business Dining Services of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Business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Campus,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Concession Services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Confection,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Construction and Energy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 Name: Aramark Asset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Construction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Consumer Discount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Converge Network,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Correctional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Educational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Educational Services of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Educational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Facility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Business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Correctional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Healthcare Support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Kansas,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Refreshment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School Support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Sports and Entertainment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Food and Support Services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Food Service of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Food Service,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FSM,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Healthcare Support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82" w:type="dxa"/>
        <w:jc w:val="left"/>
        <w:tblInd w:w="0" w:type="dxa"/>
        <w:tblLayout w:type="fixed"/>
        <w:tblCellMar>
          <w:top w:w="28" w:type="dxa"/>
          <w:left w:w="28" w:type="dxa"/>
          <w:bottom w:w="28" w:type="dxa"/>
          <w:right w:w="28" w:type="dxa"/>
        </w:tblCellMar>
      </w:tblPr>
      <w:tblGrid>
        <w:gridCol w:w="2095"/>
        <w:gridCol w:w="1844"/>
        <w:gridCol w:w="1851"/>
        <w:gridCol w:w="109"/>
        <w:gridCol w:w="109"/>
        <w:gridCol w:w="109"/>
        <w:gridCol w:w="400"/>
        <w:gridCol w:w="400"/>
        <w:gridCol w:w="565"/>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Industrial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Japan,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Lakewood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Management Services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Mexico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Organizational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Personnel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Processing,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Rail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RBI,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Receivables,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Refreshment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Refreshment Services of Tampa,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Refreshment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S&amp;E/QCF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Schools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Schools,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SCM,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Senior Living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Services of Kansas,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Services of Puerto Rico,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SMMS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SMMS Real Estate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Sports and Entertainment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Sports and Entertainment Services of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Sports and Entertainment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Sports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Sports,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Technical Services North Carolina,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Technical Services of New York,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Togwotee,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Trademark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U.S. Offshore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Venue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WTC,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Aramark/Globetrotters,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Aramark/GM Concessions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Aramark/Hart Lyman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Aramark/HF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Aramark/HMS,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Aramark/Martin's Stadium Concession Services OPACY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Aramark/QHC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68" w:type="dxa"/>
        <w:jc w:val="left"/>
        <w:tblInd w:w="0" w:type="dxa"/>
        <w:tblLayout w:type="fixed"/>
        <w:tblCellMar>
          <w:top w:w="28" w:type="dxa"/>
          <w:left w:w="28" w:type="dxa"/>
          <w:bottom w:w="28" w:type="dxa"/>
          <w:right w:w="28" w:type="dxa"/>
        </w:tblCellMar>
      </w:tblPr>
      <w:tblGrid>
        <w:gridCol w:w="1915"/>
        <w:gridCol w:w="1683"/>
        <w:gridCol w:w="1697"/>
        <w:gridCol w:w="109"/>
        <w:gridCol w:w="109"/>
        <w:gridCol w:w="109"/>
        <w:gridCol w:w="364"/>
        <w:gridCol w:w="364"/>
        <w:gridCol w:w="518"/>
      </w:tblGrid>
      <w:tr>
        <w:trPr/>
        <w:tc>
          <w:tcPr>
            <w:tcW w:w="191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Aramark/SFS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Aramark-Chugach Alaska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Aramark-Clarksville Club,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Aramark-FINCO of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Aramark-Gourmet DPS,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Aramark-KWAME of St. Louis,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Aramark-SFS Healthcare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Avendra Gaming,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Avendra Replenishment,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Avendra,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Coffee Service,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BuyEfficient,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Canyonlands Rafting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Casa Grande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 House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Coffee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Crater Lake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 Maren II,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Delicious on West Street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Doyon/Aramark Denali National Park Concession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EverSafe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Filterfresh Coffee Service,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Filterfresh Franchise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Host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Freedom Ferry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Glacier Bay National Park and Preserve Concessions,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Canyon Rafting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 Uncle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Gourmet Aramark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Harry M. Stevens, Inc. of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Harry M. Stevens, Inc. of Penn.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Harry M. Stevens,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HPSI Purchasing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Processing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Tahoe Cruises,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Islands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Lifeworks Restaurant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MyAssistant,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Mall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 Level Hospitality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NLAL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NLPA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NLNC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66" w:type="dxa"/>
        <w:jc w:val="left"/>
        <w:tblInd w:w="0" w:type="dxa"/>
        <w:tblLayout w:type="fixed"/>
        <w:tblCellMar>
          <w:top w:w="28" w:type="dxa"/>
          <w:left w:w="28" w:type="dxa"/>
          <w:bottom w:w="28" w:type="dxa"/>
          <w:right w:w="28" w:type="dxa"/>
        </w:tblCellMar>
      </w:tblPr>
      <w:tblGrid>
        <w:gridCol w:w="1466"/>
        <w:gridCol w:w="1288"/>
        <w:gridCol w:w="1296"/>
        <w:gridCol w:w="109"/>
        <w:gridCol w:w="109"/>
        <w:gridCol w:w="109"/>
        <w:gridCol w:w="550"/>
        <w:gridCol w:w="550"/>
        <w:gridCol w:w="789"/>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NLSD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 Level PEO,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Rim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Old Time Coffee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Olympic Peninsula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Paradise Hornblower,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Ballpark Concession 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Offshore Catering,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Office Service,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Tarrant County Concessions,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Aramark Foundation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Wilderness River Adventures,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Supply Commissary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Supply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Yellowstone Gift &amp; Grocery,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Yosemite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Zion Canyon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(BVI)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Catering Services (Anfu)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Catering Services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CCT Trustees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China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Cleaning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Defence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Entertainment Services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Global Group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Holding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International Finance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International Holdings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Inversiones Latinoamericanas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Investments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Ireland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Japan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Kazakhstan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65" w:type="dxa"/>
        <w:jc w:val="left"/>
        <w:tblInd w:w="0" w:type="dxa"/>
        <w:tblLayout w:type="fixed"/>
        <w:tblCellMar>
          <w:top w:w="28" w:type="dxa"/>
          <w:left w:w="28" w:type="dxa"/>
          <w:bottom w:w="28" w:type="dxa"/>
          <w:right w:w="28" w:type="dxa"/>
        </w:tblCellMar>
      </w:tblPr>
      <w:tblGrid>
        <w:gridCol w:w="1822"/>
        <w:gridCol w:w="1599"/>
        <w:gridCol w:w="1603"/>
        <w:gridCol w:w="109"/>
        <w:gridCol w:w="109"/>
        <w:gridCol w:w="109"/>
        <w:gridCol w:w="443"/>
        <w:gridCol w:w="443"/>
        <w:gridCol w:w="628"/>
      </w:tblGrid>
      <w:tr>
        <w:trPr/>
        <w:tc>
          <w:tcPr>
            <w:tcW w:w="18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Mexico S.R.L.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Norway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Offshore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Offshore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Property Management Services Jiangsu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Property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Quebec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Regional Treasury Europe,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Remote Workplace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Restaurations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School Catering Facility,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 Industries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 Industry (Hainan)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 Industry (Pingxiang City)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Servicios de Catering,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Services,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Servicios Industriales de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Servicios Integrales,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Servicios Mineros y Remotos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Servicios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Servicos Alimenticios e Participacoes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Trustees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Workplace Solutions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Aramark/Dasko Restaurant and Catering Services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Greece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ARAMONT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Avendra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 Handweavers Designs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 Handweavers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 Handweavers NI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 Handweavers Shops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 Handweavers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Beijing Golden Collar Dining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Word of Mouth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Campbell Catering (N.I.)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Campbell Catering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Campbell Catering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Campbell Catering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733"/>
        <w:gridCol w:w="1523"/>
        <w:gridCol w:w="1528"/>
        <w:gridCol w:w="109"/>
        <w:gridCol w:w="109"/>
        <w:gridCol w:w="109"/>
        <w:gridCol w:w="552"/>
        <w:gridCol w:w="552"/>
        <w:gridCol w:w="785"/>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CDR Mantenimiento Integral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de Abastecimiento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de Restaurantes Aramark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de Restaurantes Aramark Multiservicios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de Restaurantes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Multiservicios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Centrapal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Centro de Innovacion y Servicio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Comertel Educa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Comertel Residencias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Comertel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 Purchasing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JV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Dongguan Best Property Management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Expert Cost Control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Purchasing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JV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GA-BE-SHI-WIN GP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GA-BE-SHI-WIN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Gestion de Alimentacion y Limpieza Colectividades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Glenrye Properties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GTB Gastro Team Bremen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Graysons Hospitality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Graysons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Graysons Venues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Graysons Restaurants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Instituto ICS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Inversiones Aramark Chile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Inversiones Centralcorp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Inversiones en Aseo y Mantenimiento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Irish Estates (Facilities Management)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Kica-Landsea GP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Kica-Landsea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Landsea Camp and Catering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Lighthouse Camp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Shxw’owhamel-Landsea GP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Shxw’owhamel-Landsea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 Mount Weavers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NNL Aramark Hospitality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Pelican Procurement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Management Company (Dublin)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Restaurationsbetriebe Stockheim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Spokesoft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50" w:type="dxa"/>
        <w:jc w:val="left"/>
        <w:tblInd w:w="0" w:type="dxa"/>
        <w:tblLayout w:type="fixed"/>
        <w:tblCellMar>
          <w:top w:w="28" w:type="dxa"/>
          <w:left w:w="28" w:type="dxa"/>
          <w:bottom w:w="28" w:type="dxa"/>
          <w:right w:w="28" w:type="dxa"/>
        </w:tblCellMar>
      </w:tblPr>
      <w:tblGrid>
        <w:gridCol w:w="1596"/>
        <w:gridCol w:w="1404"/>
        <w:gridCol w:w="1409"/>
        <w:gridCol w:w="109"/>
        <w:gridCol w:w="109"/>
        <w:gridCol w:w="109"/>
        <w:gridCol w:w="442"/>
        <w:gridCol w:w="442"/>
        <w:gridCol w:w="630"/>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Trinity Hospitality Services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Trinity Hospitality Services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Trinity Purchasing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Trinity Purchasing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Trinity Purchasing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Trinity Purchasing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Vector Environmental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Ireland</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Vector Workplace and Facility Management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Veris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Wilson Vale Catering Management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Wilson Vale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Word on the Street (UK Events)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consent to the incorporation by reference in Registration Statement No. 333-253208 on Form S-3 and Registration Statement Nos. 333-192775, 333-192776, 333-236255, 333-253211, 333-262860 and 333-269697 on Forms S-8 of our reports dated November 21, 2023, relating to the financial statements of Aramark and the effectiveness of Aramark's internal control over financial reporting appearing in this Annual Report on Form 10-K for the year ended September 29,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Deloitte &amp; Touche LLP</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Philadelphia, PA</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November 21,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pPr>
      <w:r>
        <w:rPr>
          <w:color w:val="000000"/>
        </w:rPr>
        <w:t> </w:t>
      </w: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0" w:after="0"/>
        <w:jc w:val="center"/>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John J. Zillmer, Chief Executive Officer, certify that: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Aramark for the fiscal year ended September 29, 2023;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21, 2023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G. Ondrof, Executive Vice President and Chief Financial Officer, certify that: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Aramark for the fiscal year ended September 29, 2023;</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21, 2023 </w:t>
      </w:r>
    </w:p>
    <w:tbl>
      <w:tblPr>
        <w:tblW w:w="2624" w:type="dxa"/>
        <w:jc w:val="righ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G. Ondrof</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Aramark (the “Company”) on Form 10-K for the fiscal year ended September 29, 2023,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21, 2023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24" w:type="dxa"/>
        <w:jc w:val="righ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G. ONDROF</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Thomas G. Ondrof</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ARAMARK</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Incentive Compensation </w:t>
        <w:br/>
        <w:t>Clawback Policy</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Adopted on November 6, 2023 Pursuant to NYSE Rule 303A.14)</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Overview</w:t>
      </w:r>
      <w:r>
        <w:rPr>
          <w:rFonts w:ascii="Times New Roman;sans-serif" w:hAnsi="Times New Roman;sans-serif"/>
          <w:b w:val="false"/>
          <w:color w:val="000000"/>
          <w:sz w:val="24"/>
        </w:rPr>
        <w:t>. The Compensation and Human Resources Committee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Aramark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Incentive Compensation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which requires the recoupment of certain incentive-based compensation in accordance with the terms herein and is intended to comply with Section 303A.14 of The New York Stock Exchange Listed Company Manual, as such section may be amended from time to time (the “</w:t>
      </w:r>
      <w:r>
        <w:rPr>
          <w:rFonts w:ascii="Times New Roman;sans-serif" w:hAnsi="Times New Roman;sans-serif"/>
          <w:b/>
          <w:i/>
          <w:color w:val="000000"/>
          <w:sz w:val="24"/>
        </w:rPr>
        <w:t>Listing Rules</w:t>
      </w:r>
      <w:r>
        <w:rPr>
          <w:color w:val="000000"/>
        </w:rPr>
        <w:t>”</w:t>
      </w:r>
      <w:r>
        <w:rPr>
          <w:rFonts w:ascii="Times New Roman;sans-serif" w:hAnsi="Times New Roman;sans-serif"/>
          <w:b w:val="false"/>
          <w:color w:val="000000"/>
          <w:sz w:val="24"/>
        </w:rPr>
        <w:t>). Capitalized terms not otherwise defined herein shall have the meanings assigned to such terms under Section 12 of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Interpretation and Administration</w:t>
      </w:r>
      <w:r>
        <w:rPr>
          <w:rFonts w:ascii="Times New Roman;sans-serif" w:hAnsi="Times New Roman;sans-serif"/>
          <w:b w:val="false"/>
          <w:color w:val="000000"/>
          <w:sz w:val="24"/>
        </w:rPr>
        <w:t>. The Committee shall have full authority to interpret and enforce the Policy; provided, however, that the Policy shall 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Covered Executives</w:t>
      </w:r>
      <w:r>
        <w:rPr>
          <w:rFonts w:ascii="Times New Roman;sans-serif" w:hAnsi="Times New Roman;sans-serif"/>
          <w:b w:val="false"/>
          <w:color w:val="000000"/>
          <w:sz w:val="24"/>
        </w:rPr>
        <w:t>. The Policy applies to each current and former Executive Officer of the Company who serves or served as an Executive Oﬃcer at any 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sans-serif" w:hAnsi="Times New Roman;sans-serif"/>
          <w:b/>
          <w:i/>
          <w:color w:val="000000"/>
          <w:sz w:val="24"/>
        </w:rPr>
        <w:t>Covered Executives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Recovery of Erroneously Awarded Compensation</w:t>
      </w:r>
      <w:r>
        <w:rPr>
          <w:rFonts w:ascii="Times New Roman;sans-serif" w:hAnsi="Times New Roman;sans-serif"/>
          <w:b w:val="false"/>
          <w:color w:val="000000"/>
          <w:sz w:val="24"/>
        </w:rPr>
        <w:t>. If any Erroneously Awarded Compensation is Received by a Covered Executive, the Company shall reasonably promptly take steps to recover such Erroneously Awarded Compensation in a manner described under Section 5 of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Forms of Recovery</w:t>
      </w:r>
      <w:r>
        <w:rPr>
          <w:rFonts w:ascii="Times New Roman;sans-serif" w:hAnsi="Times New Roman;sans-serif"/>
          <w:b w:val="false"/>
          <w:color w:val="000000"/>
          <w:sz w:val="24"/>
        </w:rPr>
        <w:t xml:space="preserve">. The Committee shall determine, in its sole discretion and in a manner that effectuates the purpose of the Listing Rules, one or more 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refuses to pay to the Company an amount equal to the Erroneously Awarded Compensation,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shall have the right to sue for repayment and/or enforce the Covered Executive’s obligation to make payment through the reduction or cancellation of outstanding and future compensation. Any reduction, cancellation or forfeiture of compensation shall be done in compliance with Section 409A of the Internal Revenue Code of 1986, as amended, and the regulations promulgated thereunder.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No Indemnification</w:t>
      </w:r>
      <w:r>
        <w:rPr>
          <w:rFonts w:ascii="Times New Roman;sans-serif" w:hAnsi="Times New Roman;sans-serif"/>
          <w:b w:val="false"/>
          <w:color w:val="000000"/>
          <w:sz w:val="24"/>
        </w:rPr>
        <w:t>. The Company shall not indemnify any Covered Executive against the loss of any Erroneously Awarded Compensation for which the Committee has determined to seek recoupment pursuant to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Exceptions to the Recovery Requirement</w:t>
      </w:r>
      <w:r>
        <w:rPr>
          <w:rFonts w:ascii="Times New Roman;sans-serif" w:hAnsi="Times New Roman;sans-serif"/>
          <w:b w:val="false"/>
          <w:color w:val="000000"/>
          <w:sz w:val="24"/>
        </w:rPr>
        <w:t>. Notwithstanding anything in this Policy to the contrary, Erroneously Awarded Compensation need not be 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Committee Determination Final</w:t>
      </w:r>
      <w:r>
        <w:rPr>
          <w:rFonts w:ascii="Times New Roman;sans-serif" w:hAnsi="Times New Roman;sans-serif"/>
          <w:b w:val="false"/>
          <w:color w:val="000000"/>
          <w:sz w:val="24"/>
        </w:rPr>
        <w:t>. Any determination by the Committee with respect to the Policy shall be final, conclusive and binding on all interested parties.</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Amendment</w:t>
      </w:r>
      <w:r>
        <w:rPr>
          <w:rFonts w:ascii="Times New Roman;sans-serif" w:hAnsi="Times New Roman;sans-serif"/>
          <w:b w:val="false"/>
          <w:color w:val="000000"/>
          <w:sz w:val="24"/>
        </w:rPr>
        <w:t>. The Policy may be amended by the Committee from time to time, to the extent permitted under the Listing Rules.</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Non-Exclusivity</w:t>
      </w:r>
      <w:r>
        <w:rPr>
          <w:rFonts w:ascii="Times New Roman;sans-serif" w:hAnsi="Times New Roman;sans-serif"/>
          <w:b w:val="false"/>
          <w:color w:val="000000"/>
          <w:sz w:val="24"/>
        </w:rPr>
        <w:t>. Nothing in the Policy shall be viewed as limiting the right of the Company or the Committee to pursue additional remedies or 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Successors</w:t>
      </w:r>
      <w:r>
        <w:rPr>
          <w:rFonts w:ascii="Times New Roman;sans-serif" w:hAnsi="Times New Roman;sans-serif"/>
          <w:b w:val="false"/>
          <w:color w:val="000000"/>
          <w:sz w:val="24"/>
        </w:rPr>
        <w:t>. The Policy shall be binding and enforceable against all Covered Executives and their beneficiaries, heirs, executors, administrators or other legal representatives.</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Defined Terms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Covered Executives</w:t>
      </w:r>
      <w:r>
        <w:rPr>
          <w:color w:val="000000"/>
        </w:rPr>
        <w:t xml:space="preserve">” </w:t>
      </w:r>
      <w:r>
        <w:rPr>
          <w:rFonts w:ascii="Times New Roman;sans-serif" w:hAnsi="Times New Roman;sans-serif"/>
          <w:b w:val="false"/>
          <w:color w:val="000000"/>
          <w:sz w:val="24"/>
        </w:rPr>
        <w:t>shall have the meaning set forth in Section 3 of this Policy.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 xml:space="preserve">shall mean the amount of Incentive Compensation actually Received that exceeds the amount of Incentive Compensation that otherwise would have been Received had it been determined based on the restated amounts, and computed without regard to any taxes paid. For Incentive Compensation based on stock price or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total shareholder return, where the amount of erroneously awarded Incentive Compensation is not subject to mathematical recalculation directly from the information in a Restatement:</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calculation of Erroneously Awarded Compensation shall be based on a reasonable estimate of the effect of the Restatement on the stock price or total shareholder return upon which the Incentive Compensation was Received; and</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Company shall maintain documentation of the determination of that reasonable estimate and provide such documentation to the Exchange.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Exchange</w:t>
      </w:r>
      <w:r>
        <w:rPr>
          <w:color w:val="000000"/>
        </w:rPr>
        <w:t xml:space="preserve">” </w:t>
      </w:r>
      <w:r>
        <w:rPr>
          <w:rFonts w:ascii="Times New Roman;sans-serif" w:hAnsi="Times New Roman;sans-serif"/>
          <w:b w:val="false"/>
          <w:color w:val="000000"/>
          <w:sz w:val="24"/>
        </w:rPr>
        <w:t>shall mean The New York Stock Exchange.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policy-making functions for the Company.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Fiscal Year</w:t>
      </w:r>
      <w:r>
        <w:rPr>
          <w:color w:val="000000"/>
        </w:rPr>
        <w:t xml:space="preserve">” </w:t>
      </w:r>
      <w:r>
        <w:rPr>
          <w:rFonts w:ascii="Times New Roman;sans-serif" w:hAnsi="Times New Roman;sans-serif"/>
          <w:b w:val="false"/>
          <w:color w:val="000000"/>
          <w:sz w:val="24"/>
        </w:rPr>
        <w:t>shall mean the Company’s fiscal year; provided that a Transition Period between the last day of the Company’s previous fiscal year end and the first day of its new fiscal year that comprises a period of nine to 12 months will be deemed a completed fiscal year.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Incentive Compensation</w:t>
      </w:r>
      <w:r>
        <w:rPr>
          <w:color w:val="000000"/>
        </w:rPr>
        <w:t xml:space="preserve">” </w:t>
      </w:r>
      <w:r>
        <w:rPr>
          <w:rFonts w:ascii="Times New Roman;sans-serif" w:hAnsi="Times New Roman;sans-serif"/>
          <w:b w:val="false"/>
          <w:color w:val="000000"/>
          <w:sz w:val="24"/>
        </w:rPr>
        <w:t>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awards that vest exclusively upon completion of a specified employment period, without any performance condition, and bonus awards that are discretionary or based on subjective goals or goals unrelated to Financial Reporting Measures. Notwithstanding the foregoing, compensation amounts shall not be considered “Incentive Compensation” for purposes of the Policy unless such compensation is Received (1) while the Company has a class of securities listed on a national securities exchange or a national securities association and (2) on or after October 2, 2023, the effective date of the Listing Rules.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Independent Director</w:t>
      </w:r>
      <w:r>
        <w:rPr>
          <w:color w:val="000000"/>
        </w:rPr>
        <w:t xml:space="preserve">” </w:t>
      </w:r>
      <w:r>
        <w:rPr>
          <w:rFonts w:ascii="Times New Roman;sans-serif" w:hAnsi="Times New Roman;sans-serif"/>
          <w:b w:val="false"/>
          <w:color w:val="000000"/>
          <w:sz w:val="24"/>
        </w:rPr>
        <w:t>shall mean a director who is determined by the Board to be “independent” for Board or Committee membership, as applicable, under the rules of the Exchange, as of any determination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Listing Rules</w:t>
      </w:r>
      <w:r>
        <w:rPr>
          <w:color w:val="000000"/>
        </w:rPr>
        <w:t xml:space="preserve">” </w:t>
      </w:r>
      <w:r>
        <w:rPr>
          <w:rFonts w:ascii="Times New Roman;sans-serif" w:hAnsi="Times New Roman;sans-serif"/>
          <w:b w:val="false"/>
          <w:color w:val="000000"/>
          <w:sz w:val="24"/>
        </w:rPr>
        <w:t>shall have the meaning set forth in Section 1 of this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Incentive Compensation shall be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 xml:space="preserve">in the Company’s fiscal period during which the Financial Reporting Measure specified in the Incentive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is attained, even if the payment or grant of the Incentive Compensation occurs after the end of that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Transition Period</w:t>
      </w:r>
      <w:r>
        <w:rPr>
          <w:color w:val="000000"/>
        </w:rPr>
        <w:t xml:space="preserve">” </w:t>
      </w:r>
      <w:r>
        <w:rPr>
          <w:rFonts w:ascii="Times New Roman;sans-serif" w:hAnsi="Times New Roman;sans-serif"/>
          <w:b w:val="false"/>
          <w:color w:val="000000"/>
          <w:sz w:val="24"/>
        </w:rPr>
        <w:t>shall mean any transition period that results from a change in the Company’s Fiscal Year within or immediately following the three completed Fiscal Years immediately preceding the Company’s requirement to prepare a Restatement.</w:t>
      </w:r>
    </w:p>
    <w:p>
      <w:pPr>
        <w:pStyle w:val="TextBody"/>
        <w:bidi w:val="0"/>
        <w:spacing w:before="0" w:after="240"/>
        <w:ind w:left="0" w:right="0" w:firstLine="14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Adopted on: [November 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www.sec.gov/Archives/edgar/data/1584509/000119312517310359/d472680dex21.htm" TargetMode="External"/><Relationship Id="rId6" Type="http://schemas.openxmlformats.org/officeDocument/2006/relationships/hyperlink" Target="http://www.sec.gov/Archives/edgar/data/1584509/000119312517310359/d472680dex21.htm" TargetMode="External"/><Relationship Id="rId7" Type="http://schemas.openxmlformats.org/officeDocument/2006/relationships/hyperlink" Target="http://www.sec.gov/Archives/edgar/data/1584509/000119312517310359/d472680dex22.htm" TargetMode="External"/><Relationship Id="rId8" Type="http://schemas.openxmlformats.org/officeDocument/2006/relationships/hyperlink" Target="http://www.sec.gov/Archives/edgar/data/1584509/000119312517310359/d472680dex22.htm" TargetMode="External"/><Relationship Id="rId9" Type="http://schemas.openxmlformats.org/officeDocument/2006/relationships/hyperlink" Target="https://www.sec.gov/Archives/edgar/data/1584509/000162828023033364/exhibit21-aramarkclosing8xk.htm" TargetMode="External"/><Relationship Id="rId10" Type="http://schemas.openxmlformats.org/officeDocument/2006/relationships/hyperlink" Target="https://www.sec.gov/Archives/edgar/data/1584509/000162828023033364/exhibit21-aramarkclosing8xk.htm" TargetMode="External"/><Relationship Id="rId11" Type="http://schemas.openxmlformats.org/officeDocument/2006/relationships/hyperlink" Target="http://www.sec.gov/Archives/edgar/data/1584509/000158450920000014/secondamendedandrestat.htm" TargetMode="External"/><Relationship Id="rId12" Type="http://schemas.openxmlformats.org/officeDocument/2006/relationships/hyperlink" Target="http://www.sec.gov/Archives/edgar/data/1584509/000158450920000014/secondamendedandrestat.htm" TargetMode="External"/><Relationship Id="rId13" Type="http://schemas.openxmlformats.org/officeDocument/2006/relationships/hyperlink" Target="http://www.sec.gov/Archives/edgar/data/1584509/000119312514201307/d728418dex31.htm" TargetMode="External"/><Relationship Id="rId14" Type="http://schemas.openxmlformats.org/officeDocument/2006/relationships/hyperlink" Target="http://www.sec.gov/Archives/edgar/data/1584509/000119312514201307/d728418dex31.htm" TargetMode="External"/><Relationship Id="rId15" Type="http://schemas.openxmlformats.org/officeDocument/2006/relationships/hyperlink" Target="https://www.sec.gov/Archives/edgar/data/1584509/000158450923000149/ex31-fourthamendedandresta.htm" TargetMode="External"/><Relationship Id="rId16" Type="http://schemas.openxmlformats.org/officeDocument/2006/relationships/hyperlink" Target="https://www.sec.gov/Archives/edgar/data/1584509/000158450923000149/ex31-fourthamendedandresta.htm" TargetMode="External"/><Relationship Id="rId17" Type="http://schemas.openxmlformats.org/officeDocument/2006/relationships/hyperlink" Target="https://www.sec.gov/Archives/edgar/data/1584509/000158450923000149/ex31-fourthamendedandresta.htm" TargetMode="External"/><Relationship Id="rId18" Type="http://schemas.openxmlformats.org/officeDocument/2006/relationships/hyperlink" Target="https://www.sec.gov/Archives/edgar/data/1584509/000158450923000149/ex31-fourthamendedandresta.htm" TargetMode="External"/><Relationship Id="rId19" Type="http://schemas.openxmlformats.org/officeDocument/2006/relationships/hyperlink" Target="http://www.sec.gov/Archives/edgar/data/1584509/000119312517099980/d363392dex41.htm" TargetMode="External"/><Relationship Id="rId20" Type="http://schemas.openxmlformats.org/officeDocument/2006/relationships/hyperlink" Target="http://www.sec.gov/Archives/edgar/data/1584509/000119312517099980/d363392dex41.htm" TargetMode="External"/><Relationship Id="rId21" Type="http://schemas.openxmlformats.org/officeDocument/2006/relationships/hyperlink" Target="http://www.sec.gov/Archives/edgar/data/1584509/000119312517099980/d363392dex42.htm" TargetMode="External"/><Relationship Id="rId22" Type="http://schemas.openxmlformats.org/officeDocument/2006/relationships/hyperlink" Target="http://www.sec.gov/Archives/edgar/data/1584509/000119312517099980/d363392dex42.htm" TargetMode="External"/><Relationship Id="rId23" Type="http://schemas.openxmlformats.org/officeDocument/2006/relationships/hyperlink" Target="http://www.sec.gov/Archives/edgar/data/1584509/000158450918000013/ex41.htm" TargetMode="External"/><Relationship Id="rId24" Type="http://schemas.openxmlformats.org/officeDocument/2006/relationships/hyperlink" Target="http://www.sec.gov/Archives/edgar/data/1584509/000158450918000013/ex41.htm" TargetMode="External"/><Relationship Id="rId25" Type="http://schemas.openxmlformats.org/officeDocument/2006/relationships/hyperlink" Target="http://www.sec.gov/Archives/edgar/data/1584509/000119312520121405/d917057dex41.htm" TargetMode="External"/><Relationship Id="rId26" Type="http://schemas.openxmlformats.org/officeDocument/2006/relationships/hyperlink" Target="http://www.sec.gov/Archives/edgar/data/1584509/000119312520121405/d917057dex41.htm" TargetMode="External"/><Relationship Id="rId27" Type="http://schemas.openxmlformats.org/officeDocument/2006/relationships/hyperlink" Target="http://www.sec.gov/Archives/edgar/data/1584509/000158450921000111/ex41q22021-supplementalind.htm" TargetMode="External"/><Relationship Id="rId28" Type="http://schemas.openxmlformats.org/officeDocument/2006/relationships/hyperlink" Target="http://www.sec.gov/Archives/edgar/data/1584509/000158450921000111/ex41q22021-supplementalind.htm" TargetMode="External"/><Relationship Id="rId29" Type="http://schemas.openxmlformats.org/officeDocument/2006/relationships/hyperlink" Target="http://www.sec.gov/Archives/edgar/data/1584509/000158450921000111/ex42q22021-supplementalind.htm" TargetMode="External"/><Relationship Id="rId30" Type="http://schemas.openxmlformats.org/officeDocument/2006/relationships/hyperlink" Target="http://www.sec.gov/Archives/edgar/data/1584509/000158450921000111/ex42q22021-supplementalind.htm" TargetMode="External"/><Relationship Id="rId31" Type="http://schemas.openxmlformats.org/officeDocument/2006/relationships/hyperlink" Target="http://www.sec.gov/Archives/edgar/data/1584509/000158450921000111/ex45q22021-supplementalind.htm" TargetMode="External"/><Relationship Id="rId32" Type="http://schemas.openxmlformats.org/officeDocument/2006/relationships/hyperlink" Target="http://www.sec.gov/Archives/edgar/data/1584509/000158450921000111/ex45q22021-supplementalind.htm" TargetMode="External"/><Relationship Id="rId33" Type="http://schemas.openxmlformats.org/officeDocument/2006/relationships/hyperlink" Target="http://www.sec.gov/Archives/edgar/data/1584509/000158450921000111/ex45q22021-supplementalind.htm" TargetMode="External"/><Relationship Id="rId34" Type="http://schemas.openxmlformats.org/officeDocument/2006/relationships/hyperlink" Target="https://www.sec.gov/Archives/edgar/data/1584509/000158450923000044/ex41-armkxthirdsupplementa.htm" TargetMode="External"/><Relationship Id="rId35" Type="http://schemas.openxmlformats.org/officeDocument/2006/relationships/hyperlink" Target="https://www.sec.gov/Archives/edgar/data/1584509/000158450923000044/ex41-armkxthirdsupplementa.htm" TargetMode="External"/><Relationship Id="rId36" Type="http://schemas.openxmlformats.org/officeDocument/2006/relationships/hyperlink" Target="https://www.sec.gov/Archives/edgar/data/1584509/000158450923000044/ex41-armkxthirdsupplementa.htm" TargetMode="External"/><Relationship Id="rId37" Type="http://schemas.openxmlformats.org/officeDocument/2006/relationships/hyperlink" Target="https://www.sec.gov/Archives/edgar/data/1584509/000158450923000044/ex42-armkxthirdsupplementa.htm" TargetMode="External"/><Relationship Id="rId38" Type="http://schemas.openxmlformats.org/officeDocument/2006/relationships/hyperlink" Target="https://www.sec.gov/Archives/edgar/data/1584509/000158450923000044/ex42-armkxthirdsupplementa.htm" TargetMode="External"/><Relationship Id="rId39" Type="http://schemas.openxmlformats.org/officeDocument/2006/relationships/hyperlink" Target="https://www.sec.gov/Archives/edgar/data/1584509/000158450923000044/ex42-armkxthirdsupplementa.htm" TargetMode="External"/><Relationship Id="rId40" Type="http://schemas.openxmlformats.org/officeDocument/2006/relationships/hyperlink" Target="https://www.sec.gov/Archives/edgar/data/1584509/000158450923000044/ex42-armkxthirdsupplementa.htm" TargetMode="External"/><Relationship Id="rId41" Type="http://schemas.openxmlformats.org/officeDocument/2006/relationships/hyperlink" Target="https://www.sec.gov/Archives/edgar/data/1584509/000158450923000044/ex42-armkxthirdsupplementa.htm" TargetMode="External"/><Relationship Id="rId42" Type="http://schemas.openxmlformats.org/officeDocument/2006/relationships/hyperlink" Target="https://www.sec.gov/Archives/edgar/data/1584509/000158450923000044/ex42-armkxthirdsupplementa.htm" TargetMode="External"/><Relationship Id="rId43" Type="http://schemas.openxmlformats.org/officeDocument/2006/relationships/hyperlink" Target="https://www.sec.gov/Archives/edgar/data/1584509/000158450923000044/ex42-armkxthirdsupplementa.htm" TargetMode="External"/><Relationship Id="rId44" Type="http://schemas.openxmlformats.org/officeDocument/2006/relationships/hyperlink" Target="https://www.sec.gov/Archives/edgar/data/1584509/000158450923000044/ex44-armkxthirdsupplementa.htm" TargetMode="External"/><Relationship Id="rId45" Type="http://schemas.openxmlformats.org/officeDocument/2006/relationships/hyperlink" Target="https://www.sec.gov/Archives/edgar/data/1584509/000158450923000044/ex44-armkxthirdsupplementa.htm" TargetMode="External"/><Relationship Id="rId46" Type="http://schemas.openxmlformats.org/officeDocument/2006/relationships/hyperlink" Target="https://www.sec.gov/Archives/edgar/data/1584509/000158450923000044/ex44-armkxthirdsupplementa.htm" TargetMode="External"/><Relationship Id="rId47" Type="http://schemas.openxmlformats.org/officeDocument/2006/relationships/hyperlink" Target="https://www.sec.gov/Archives/edgar/data/1584509/000158450923000044/ex44-armkxthirdsupplementa.htm" TargetMode="External"/><Relationship Id="rId48" Type="http://schemas.openxmlformats.org/officeDocument/2006/relationships/hyperlink" Target="https://www.sec.gov/Archives/edgar/data/1584509/000158450923000044/ex44-armkxthirdsupplementa.htm" TargetMode="External"/><Relationship Id="rId49" Type="http://schemas.openxmlformats.org/officeDocument/2006/relationships/hyperlink" Target="https://www.sec.gov/Archives/edgar/data/1584509/000158450923000044/ex44-armkxthirdsupplementa.htm" TargetMode="External"/><Relationship Id="rId50" Type="http://schemas.openxmlformats.org/officeDocument/2006/relationships/hyperlink" Target="https://www.sec.gov/Archives/edgar/data/1584509/000158450923000044/ex44-armkxthirdsupplementa.htm" TargetMode="External"/><Relationship Id="rId51" Type="http://schemas.openxmlformats.org/officeDocument/2006/relationships/hyperlink" Target="https://www.sec.gov/Archives/edgar/data/1584509/000158450923000044/ex44-armkxthirdsupplementa.htm" TargetMode="External"/><Relationship Id="rId52" Type="http://schemas.openxmlformats.org/officeDocument/2006/relationships/hyperlink" Target="https://www.sec.gov/Archives/edgar/data/1584509/000158450923000044/ex44-armkxthirdsupplementa.htm" TargetMode="External"/><Relationship Id="rId53" Type="http://schemas.openxmlformats.org/officeDocument/2006/relationships/hyperlink" Target="https://www.sec.gov/Archives/edgar/data/1584509/000158450923000044/ex44-armkxthirdsupplementa.htm" TargetMode="External"/><Relationship Id="rId54" Type="http://schemas.openxmlformats.org/officeDocument/2006/relationships/hyperlink" Target="http://www.sec.gov/Archives/edgar/data/1584509/000158450920000230/ex462020xdescriptionof.htm" TargetMode="External"/><Relationship Id="rId55" Type="http://schemas.openxmlformats.org/officeDocument/2006/relationships/hyperlink" Target="http://www.sec.gov/Archives/edgar/data/1584509/000158450920000230/ex462020xdescriptionof.htm" TargetMode="External"/><Relationship Id="rId56" Type="http://schemas.openxmlformats.org/officeDocument/2006/relationships/hyperlink" Target="http://www.sec.gov/Archives/edgar/data/1584509/000158450920000230/ex462020xdescriptionof.htm" TargetMode="External"/><Relationship Id="rId57" Type="http://schemas.openxmlformats.org/officeDocument/2006/relationships/hyperlink" Target="http://www.sec.gov/Archives/edgar/data/1584509/000119312517101789/d367212dex101.htm" TargetMode="External"/><Relationship Id="rId58" Type="http://schemas.openxmlformats.org/officeDocument/2006/relationships/hyperlink" Target="http://www.sec.gov/Archives/edgar/data/1584509/000119312517101789/d367212dex101.htm" TargetMode="External"/><Relationship Id="rId59" Type="http://schemas.openxmlformats.org/officeDocument/2006/relationships/hyperlink" Target="http://www.sec.gov/Archives/edgar/data/1584509/000119312517294599/d423386dex101.htm" TargetMode="External"/><Relationship Id="rId60" Type="http://schemas.openxmlformats.org/officeDocument/2006/relationships/hyperlink" Target="http://www.sec.gov/Archives/edgar/data/1584509/000119312517294599/d423386dex101.htm" TargetMode="External"/><Relationship Id="rId61" Type="http://schemas.openxmlformats.org/officeDocument/2006/relationships/hyperlink" Target="http://www.sec.gov/Archives/edgar/data/1584509/000119312517294599/d423386dex101.htm" TargetMode="External"/><Relationship Id="rId62" Type="http://schemas.openxmlformats.org/officeDocument/2006/relationships/hyperlink" Target="http://www.sec.gov/Archives/edgar/data/1584509/000119312517366828/d510705dex101.htm" TargetMode="External"/><Relationship Id="rId63" Type="http://schemas.openxmlformats.org/officeDocument/2006/relationships/hyperlink" Target="http://www.sec.gov/Archives/edgar/data/1584509/000119312517366828/d510705dex101.htm" TargetMode="External"/><Relationship Id="rId64" Type="http://schemas.openxmlformats.org/officeDocument/2006/relationships/hyperlink" Target="http://www.sec.gov/Archives/edgar/data/1584509/000158450918000095/ex101q22018.htm" TargetMode="External"/><Relationship Id="rId65" Type="http://schemas.openxmlformats.org/officeDocument/2006/relationships/hyperlink" Target="http://www.sec.gov/Archives/edgar/data/1584509/000158450918000095/ex101q22018.htm" TargetMode="External"/><Relationship Id="rId66" Type="http://schemas.openxmlformats.org/officeDocument/2006/relationships/hyperlink" Target="http://www.sec.gov/Archives/edgar/data/1584509/000158450918000151/ex101-amendedcreditagreeme.htm" TargetMode="External"/><Relationship Id="rId67" Type="http://schemas.openxmlformats.org/officeDocument/2006/relationships/hyperlink" Target="http://www.sec.gov/Archives/edgar/data/1584509/000158450918000151/ex101-amendedcreditagreeme.htm" TargetMode="External"/><Relationship Id="rId68" Type="http://schemas.openxmlformats.org/officeDocument/2006/relationships/hyperlink" Target="http://www.sec.gov/Archives/edgar/data/1584509/000158450918000099/ex101-amendedcreditagreeme.htm" TargetMode="External"/><Relationship Id="rId69" Type="http://schemas.openxmlformats.org/officeDocument/2006/relationships/hyperlink" Target="http://www.sec.gov/Archives/edgar/data/1584509/000158450918000099/ex101-amendedcreditagreeme.htm" TargetMode="External"/><Relationship Id="rId70" Type="http://schemas.openxmlformats.org/officeDocument/2006/relationships/hyperlink" Target="http://www.sec.gov/Archives/edgar/data/1584509/000158450918000135/ex101-amendedcreditagreeme.htm" TargetMode="External"/><Relationship Id="rId71" Type="http://schemas.openxmlformats.org/officeDocument/2006/relationships/hyperlink" Target="http://www.sec.gov/Archives/edgar/data/1584509/000158450918000135/ex101-amendedcreditagreeme.htm" TargetMode="External"/><Relationship Id="rId72" Type="http://schemas.openxmlformats.org/officeDocument/2006/relationships/hyperlink" Target="http://www.sec.gov/Archives/edgar/data/1584509/000158450918000186/aramarkamendmentno7.htm" TargetMode="External"/><Relationship Id="rId73" Type="http://schemas.openxmlformats.org/officeDocument/2006/relationships/hyperlink" Target="http://www.sec.gov/Archives/edgar/data/1584509/000158450918000186/aramarkamendmentno7.htm" TargetMode="External"/><Relationship Id="rId74" Type="http://schemas.openxmlformats.org/officeDocument/2006/relationships/hyperlink" Target="http://www.sec.gov/Archives/edgar/data/1584509/000158450920000012/a8kexhibit.htm" TargetMode="External"/><Relationship Id="rId75" Type="http://schemas.openxmlformats.org/officeDocument/2006/relationships/hyperlink" Target="http://www.sec.gov/Archives/edgar/data/1584509/000158450920000012/a8kexhibit.htm" TargetMode="External"/><Relationship Id="rId76" Type="http://schemas.openxmlformats.org/officeDocument/2006/relationships/hyperlink" Target="http://www.sec.gov/Archives/edgar/data/1584509/000119312520121405/d917057dex101.htm" TargetMode="External"/><Relationship Id="rId77" Type="http://schemas.openxmlformats.org/officeDocument/2006/relationships/hyperlink" Target="http://www.sec.gov/Archives/edgar/data/1584509/000119312520121405/d917057dex101.htm" TargetMode="External"/><Relationship Id="rId78" Type="http://schemas.openxmlformats.org/officeDocument/2006/relationships/hyperlink" Target="http://www.sec.gov/Archives/edgar/data/1584509/000158450920000230/ex1011aramark-amendmen.htm" TargetMode="External"/><Relationship Id="rId79" Type="http://schemas.openxmlformats.org/officeDocument/2006/relationships/hyperlink" Target="http://www.sec.gov/Archives/edgar/data/1584509/000158450920000230/ex1011aramark-amendmen.htm" TargetMode="External"/><Relationship Id="rId80" Type="http://schemas.openxmlformats.org/officeDocument/2006/relationships/hyperlink" Target="http://www.sec.gov/Archives/edgar/data/1584509/000158450921000169/ex101-amendmentno11tocredi.htm" TargetMode="External"/><Relationship Id="rId81" Type="http://schemas.openxmlformats.org/officeDocument/2006/relationships/hyperlink" Target="http://www.sec.gov/Archives/edgar/data/1584509/000158450921000169/ex101-amendmentno11tocredi.htm" TargetMode="External"/><Relationship Id="rId82" Type="http://schemas.openxmlformats.org/officeDocument/2006/relationships/hyperlink" Target="https://www.sec.gov/Archives/edgar/data/1584509/000158450923000144/ex101-amendmentno12tocredi.htm" TargetMode="External"/><Relationship Id="rId83" Type="http://schemas.openxmlformats.org/officeDocument/2006/relationships/hyperlink" Target="https://www.sec.gov/Archives/edgar/data/1584509/000158450923000144/ex101-amendmentno12tocredi.htm" TargetMode="External"/><Relationship Id="rId84" Type="http://schemas.openxmlformats.org/officeDocument/2006/relationships/hyperlink" Target="https://www.sec.gov/Archives/edgar/data/1584509/000158450923000144/ex101-amendmentno12tocredi.htm" TargetMode="External"/><Relationship Id="rId85" Type="http://schemas.openxmlformats.org/officeDocument/2006/relationships/hyperlink" Target="https://www.sec.gov/Archives/edgar/data/1584509/000158450923000144/ex101-amendmentno12tocredi.htm" TargetMode="External"/><Relationship Id="rId86" Type="http://schemas.openxmlformats.org/officeDocument/2006/relationships/hyperlink" Target="https://www.sec.gov/Archives/edgar/data/1584509/000158450923000144/ex101-amendmentno12tocredi.htm" TargetMode="External"/><Relationship Id="rId87" Type="http://schemas.openxmlformats.org/officeDocument/2006/relationships/hyperlink" Target="https://www.sec.gov/Archives/edgar/data/1584509/000158450923000144/ex101-amendmentno12tocredi.htm" TargetMode="External"/><Relationship Id="rId88" Type="http://schemas.openxmlformats.org/officeDocument/2006/relationships/hyperlink" Target="https://www.sec.gov/Archives/edgar/data/1584509/000158450923000144/ex101-amendmentno12tocredi.htm" TargetMode="External"/><Relationship Id="rId89" Type="http://schemas.openxmlformats.org/officeDocument/2006/relationships/hyperlink" Target="https://www.sec.gov/Archives/edgar/data/1584509/000158450923000144/ex101-amendmentno12tocredi.htm" TargetMode="External"/><Relationship Id="rId90" Type="http://schemas.openxmlformats.org/officeDocument/2006/relationships/hyperlink" Target="https://www.sec.gov/Archives/edgar/data/1584509/000158450923000154/ex102-amendmentno13tocredi.htm" TargetMode="External"/><Relationship Id="rId91" Type="http://schemas.openxmlformats.org/officeDocument/2006/relationships/hyperlink" Target="https://www.sec.gov/Archives/edgar/data/1584509/000158450923000154/ex102-amendmentno13tocredi.htm" TargetMode="External"/><Relationship Id="rId92" Type="http://schemas.openxmlformats.org/officeDocument/2006/relationships/hyperlink" Target="https://www.sec.gov/Archives/edgar/data/1584509/000158450923000154/ex102-amendmentno13tocredi.htm" TargetMode="External"/><Relationship Id="rId93" Type="http://schemas.openxmlformats.org/officeDocument/2006/relationships/hyperlink" Target="https://www.sec.gov/Archives/edgar/data/1584509/000158450923000154/ex102-amendmentno13tocredi.htm" TargetMode="External"/><Relationship Id="rId94" Type="http://schemas.openxmlformats.org/officeDocument/2006/relationships/hyperlink" Target="https://www.sec.gov/Archives/edgar/data/1584509/000158450923000154/ex102-amendmentno13tocredi.htm" TargetMode="External"/><Relationship Id="rId95" Type="http://schemas.openxmlformats.org/officeDocument/2006/relationships/hyperlink" Target="https://www.sec.gov/Archives/edgar/data/1584509/000158450923000154/ex102-amendmentno13tocredi.htm" TargetMode="External"/><Relationship Id="rId96" Type="http://schemas.openxmlformats.org/officeDocument/2006/relationships/hyperlink" Target="https://www.sec.gov/Archives/edgar/data/1584509/000158450923000154/ex102-amendmentno13tocredi.htm" TargetMode="External"/><Relationship Id="rId97" Type="http://schemas.openxmlformats.org/officeDocument/2006/relationships/hyperlink" Target="https://www.sec.gov/Archives/edgar/data/1584509/000158450923000154/ex102-amendmentno13tocredi.htm" TargetMode="External"/><Relationship Id="rId98" Type="http://schemas.openxmlformats.org/officeDocument/2006/relationships/hyperlink" Target="https://www.sec.gov/Archives/edgar/data/1584509/000158450923000154/ex102-amendmentno13tocredi.htm" TargetMode="External"/><Relationship Id="rId99" Type="http://schemas.openxmlformats.org/officeDocument/2006/relationships/hyperlink" Target="https://www.sec.gov/Archives/edgar/data/1584509/000158450923000154/ex102-amendmentno13tocredi.htm" TargetMode="External"/><Relationship Id="rId100" Type="http://schemas.openxmlformats.org/officeDocument/2006/relationships/hyperlink" Target="https://www.sec.gov/Archives/edgar/data/1584509/000158450923000044/ex101-armkjoinderagreement.htm" TargetMode="External"/><Relationship Id="rId101" Type="http://schemas.openxmlformats.org/officeDocument/2006/relationships/hyperlink" Target="https://www.sec.gov/Archives/edgar/data/1584509/000158450923000044/ex101-armkjoinderagreement.htm" TargetMode="External"/><Relationship Id="rId102" Type="http://schemas.openxmlformats.org/officeDocument/2006/relationships/hyperlink" Target="https://www.sec.gov/Archives/edgar/data/1584509/000158450923000044/ex101-armkjoinderagreement.htm" TargetMode="External"/><Relationship Id="rId103" Type="http://schemas.openxmlformats.org/officeDocument/2006/relationships/hyperlink" Target="https://www.sec.gov/Archives/edgar/data/1584509/000158450923000044/ex101-armkjoinderagreement.htm" TargetMode="External"/><Relationship Id="rId104" Type="http://schemas.openxmlformats.org/officeDocument/2006/relationships/hyperlink" Target="https://www.sec.gov/Archives/edgar/data/1584509/000158450923000044/ex101-armkjoinderagreement.htm" TargetMode="External"/><Relationship Id="rId105" Type="http://schemas.openxmlformats.org/officeDocument/2006/relationships/hyperlink" Target="https://www.sec.gov/Archives/edgar/data/1584509/000158450923000044/ex101-armkjoinderagreement.htm" TargetMode="External"/><Relationship Id="rId106" Type="http://schemas.openxmlformats.org/officeDocument/2006/relationships/hyperlink" Target="http://www.sec.gov/Archives/edgar/data/1584509/000158450917000099/ex102aramarksecurityagreem.htm" TargetMode="External"/><Relationship Id="rId107" Type="http://schemas.openxmlformats.org/officeDocument/2006/relationships/hyperlink" Target="http://www.sec.gov/Archives/edgar/data/1584509/000158450917000099/ex102aramarksecurityagreem.htm" TargetMode="External"/><Relationship Id="rId108" Type="http://schemas.openxmlformats.org/officeDocument/2006/relationships/hyperlink" Target="http://www.sec.gov/Archives/edgar/data/1584509/000158450917000099/ex102aramarksecurityagreem.htm" TargetMode="External"/><Relationship Id="rId109" Type="http://schemas.openxmlformats.org/officeDocument/2006/relationships/hyperlink" Target="http://www.sec.gov/Archives/edgar/data/1584509/000119312513474715/d644709dex102.htm" TargetMode="External"/><Relationship Id="rId110" Type="http://schemas.openxmlformats.org/officeDocument/2006/relationships/hyperlink" Target="http://www.sec.gov/Archives/edgar/data/1584509/000119312513474715/d644709dex102.htm" TargetMode="External"/><Relationship Id="rId111" Type="http://schemas.openxmlformats.org/officeDocument/2006/relationships/hyperlink" Target="http://www.sec.gov/Archives/edgar/data/1584509/000119312513474715/d644709dex102.htm" TargetMode="External"/><Relationship Id="rId112" Type="http://schemas.openxmlformats.org/officeDocument/2006/relationships/hyperlink" Target="http://www.sec.gov/Archives/edgar/data/7032/000119312507158115/dex101.htm" TargetMode="External"/><Relationship Id="rId113" Type="http://schemas.openxmlformats.org/officeDocument/2006/relationships/hyperlink" Target="http://www.sec.gov/Archives/edgar/data/7032/000119312507158115/dex101.htm" TargetMode="External"/><Relationship Id="rId114" Type="http://schemas.openxmlformats.org/officeDocument/2006/relationships/hyperlink" Target="http://www.sec.gov/Archives/edgar/data/7032/000119312507158115/dex101.htm" TargetMode="External"/><Relationship Id="rId115" Type="http://schemas.openxmlformats.org/officeDocument/2006/relationships/hyperlink" Target="http://www.sec.gov/Archives/edgar/data/7032/000119312507158115/dex101.htm" TargetMode="External"/><Relationship Id="rId116" Type="http://schemas.openxmlformats.org/officeDocument/2006/relationships/hyperlink" Target="http://www.sec.gov/Archives/edgar/data/7032/000119312508253626/dex108.htm" TargetMode="External"/><Relationship Id="rId117" Type="http://schemas.openxmlformats.org/officeDocument/2006/relationships/hyperlink" Target="http://www.sec.gov/Archives/edgar/data/7032/000119312508253626/dex108.htm" TargetMode="External"/><Relationship Id="rId118" Type="http://schemas.openxmlformats.org/officeDocument/2006/relationships/hyperlink" Target="http://www.sec.gov/Archives/edgar/data/7032/000119312508253626/dex108.htm" TargetMode="External"/><Relationship Id="rId119" Type="http://schemas.openxmlformats.org/officeDocument/2006/relationships/hyperlink" Target="http://www.sec.gov/Archives/edgar/data/7032/000119312508253626/dex108.htm" TargetMode="External"/><Relationship Id="rId120" Type="http://schemas.openxmlformats.org/officeDocument/2006/relationships/hyperlink" Target="http://www.sec.gov/Archives/edgar/data/7032/000119312508253626/dex108.htm" TargetMode="External"/><Relationship Id="rId121" Type="http://schemas.openxmlformats.org/officeDocument/2006/relationships/hyperlink" Target="http://www.sec.gov/Archives/edgar/data/1584509/000158450919000237/ex1021-harringtonoffer.htm" TargetMode="External"/><Relationship Id="rId122" Type="http://schemas.openxmlformats.org/officeDocument/2006/relationships/hyperlink" Target="http://www.sec.gov/Archives/edgar/data/1584509/000158450919000237/ex1021-harringtonoffer.htm" TargetMode="External"/><Relationship Id="rId123" Type="http://schemas.openxmlformats.org/officeDocument/2006/relationships/hyperlink" Target="http://www.sec.gov/Archives/edgar/data/1584509/000158450919000237/ex1021-harringtonoffer.htm" TargetMode="External"/><Relationship Id="rId124" Type="http://schemas.openxmlformats.org/officeDocument/2006/relationships/hyperlink" Target="http://www.sec.gov/Archives/edgar/data/1584509/000158450919000237/ex1021-harringtonoffer.htm" TargetMode="External"/><Relationship Id="rId125" Type="http://schemas.openxmlformats.org/officeDocument/2006/relationships/hyperlink" Target="http://www.sec.gov/Archives/edgar/data/1584509/000119312520194769/d881977dex105.htm" TargetMode="External"/><Relationship Id="rId126" Type="http://schemas.openxmlformats.org/officeDocument/2006/relationships/hyperlink" Target="http://www.sec.gov/Archives/edgar/data/1584509/000119312520194769/d881977dex105.htm" TargetMode="External"/><Relationship Id="rId127" Type="http://schemas.openxmlformats.org/officeDocument/2006/relationships/hyperlink" Target="http://www.sec.gov/Archives/edgar/data/1584509/000119312520194769/d881977dex105.htm" TargetMode="External"/><Relationship Id="rId128" Type="http://schemas.openxmlformats.org/officeDocument/2006/relationships/hyperlink" Target="http://www.sec.gov/Archives/edgar/data/1584509/000119312520194769/d881977dex105.htm" TargetMode="External"/><Relationship Id="rId129" Type="http://schemas.openxmlformats.org/officeDocument/2006/relationships/hyperlink" Target="http://www.sec.gov/Archives/edgar/data/1584509/000119312520194769/d881977dex105.htm" TargetMode="External"/><Relationship Id="rId130" Type="http://schemas.openxmlformats.org/officeDocument/2006/relationships/hyperlink" Target="http://www.sec.gov/Archives/edgar/data/1584509/000119312519263370/d815967dex102.htm" TargetMode="External"/><Relationship Id="rId131" Type="http://schemas.openxmlformats.org/officeDocument/2006/relationships/hyperlink" Target="http://www.sec.gov/Archives/edgar/data/1584509/000119312519263370/d815967dex102.htm" TargetMode="External"/><Relationship Id="rId132" Type="http://schemas.openxmlformats.org/officeDocument/2006/relationships/hyperlink" Target="http://www.sec.gov/Archives/edgar/data/1584509/000119312519263370/d815967dex102.htm" TargetMode="External"/><Relationship Id="rId133" Type="http://schemas.openxmlformats.org/officeDocument/2006/relationships/hyperlink" Target="http://www.sec.gov/Archives/edgar/data/1584509/000119312519263370/d815967dex102.htm" TargetMode="External"/><Relationship Id="rId134" Type="http://schemas.openxmlformats.org/officeDocument/2006/relationships/hyperlink" Target="http://www.sec.gov/Archives/edgar/data/1584509/000119312519263370/d815967dex102.htm" TargetMode="External"/><Relationship Id="rId135" Type="http://schemas.openxmlformats.org/officeDocument/2006/relationships/hyperlink" Target="http://www.sec.gov/Archives/edgar/data/1584509/000119312520194769/d881977dex101.htm" TargetMode="External"/><Relationship Id="rId136" Type="http://schemas.openxmlformats.org/officeDocument/2006/relationships/hyperlink" Target="http://www.sec.gov/Archives/edgar/data/1584509/000119312520194769/d881977dex101.htm" TargetMode="External"/><Relationship Id="rId137" Type="http://schemas.openxmlformats.org/officeDocument/2006/relationships/hyperlink" Target="http://www.sec.gov/Archives/edgar/data/1584509/000119312520194769/d881977dex101.htm" TargetMode="External"/><Relationship Id="rId138" Type="http://schemas.openxmlformats.org/officeDocument/2006/relationships/hyperlink" Target="http://www.sec.gov/Archives/edgar/data/1584509/000119312520194769/d881977dex101.htm" TargetMode="External"/><Relationship Id="rId139" Type="http://schemas.openxmlformats.org/officeDocument/2006/relationships/hyperlink" Target="http://www.sec.gov/Archives/edgar/data/1584509/000119312520001803/d831164dex102.htm" TargetMode="External"/><Relationship Id="rId140" Type="http://schemas.openxmlformats.org/officeDocument/2006/relationships/hyperlink" Target="http://www.sec.gov/Archives/edgar/data/1584509/000119312520001803/d831164dex102.htm" TargetMode="External"/><Relationship Id="rId141" Type="http://schemas.openxmlformats.org/officeDocument/2006/relationships/hyperlink" Target="http://www.sec.gov/Archives/edgar/data/1584509/000119312520001803/d831164dex102.htm" TargetMode="External"/><Relationship Id="rId142" Type="http://schemas.openxmlformats.org/officeDocument/2006/relationships/hyperlink" Target="http://www.sec.gov/Archives/edgar/data/1584509/000119312520001803/d831164dex102.htm" TargetMode="External"/><Relationship Id="rId143" Type="http://schemas.openxmlformats.org/officeDocument/2006/relationships/hyperlink" Target="http://www.sec.gov/Archives/edgar/data/1584509/000119312520194769/d881977dex102.htm" TargetMode="External"/><Relationship Id="rId144" Type="http://schemas.openxmlformats.org/officeDocument/2006/relationships/hyperlink" Target="http://www.sec.gov/Archives/edgar/data/1584509/000119312520194769/d881977dex102.htm" TargetMode="External"/><Relationship Id="rId145" Type="http://schemas.openxmlformats.org/officeDocument/2006/relationships/hyperlink" Target="http://www.sec.gov/Archives/edgar/data/1584509/000119312520194769/d881977dex102.htm" TargetMode="External"/><Relationship Id="rId146" Type="http://schemas.openxmlformats.org/officeDocument/2006/relationships/hyperlink" Target="http://www.sec.gov/Archives/edgar/data/1584509/000119312520194769/d881977dex102.htm" TargetMode="External"/><Relationship Id="rId147" Type="http://schemas.openxmlformats.org/officeDocument/2006/relationships/hyperlink" Target="http://www.sec.gov/Archives/edgar/data/1584509/000119312520194769/d881977dex103.htm" TargetMode="External"/><Relationship Id="rId148" Type="http://schemas.openxmlformats.org/officeDocument/2006/relationships/hyperlink" Target="http://www.sec.gov/Archives/edgar/data/1584509/000119312520194769/d881977dex103.htm" TargetMode="External"/><Relationship Id="rId149" Type="http://schemas.openxmlformats.org/officeDocument/2006/relationships/hyperlink" Target="http://www.sec.gov/Archives/edgar/data/1584509/000119312520194769/d881977dex103.htm" TargetMode="External"/><Relationship Id="rId150" Type="http://schemas.openxmlformats.org/officeDocument/2006/relationships/hyperlink" Target="http://www.sec.gov/Archives/edgar/data/1584509/000119312520194769/d881977dex103.htm" TargetMode="External"/><Relationship Id="rId151" Type="http://schemas.openxmlformats.org/officeDocument/2006/relationships/hyperlink" Target="http://www.sec.gov/Archives/edgar/data/1584509/000158450920000230/ex10292020xmarcbrunoof.htm" TargetMode="External"/><Relationship Id="rId152" Type="http://schemas.openxmlformats.org/officeDocument/2006/relationships/hyperlink" Target="http://www.sec.gov/Archives/edgar/data/1584509/000158450920000230/ex10292020xmarcbrunoof.htm" TargetMode="External"/><Relationship Id="rId153" Type="http://schemas.openxmlformats.org/officeDocument/2006/relationships/hyperlink" Target="http://www.sec.gov/Archives/edgar/data/1584509/000158450920000230/ex10292020xmarcbrunoof.htm" TargetMode="External"/><Relationship Id="rId154" Type="http://schemas.openxmlformats.org/officeDocument/2006/relationships/hyperlink" Target="http://www.sec.gov/Archives/edgar/data/1584509/000158450920000230/ex10292020xmarcbrunoof.htm" TargetMode="External"/><Relationship Id="rId155" Type="http://schemas.openxmlformats.org/officeDocument/2006/relationships/hyperlink" Target="https://www.sec.gov/Archives/edgar/data/1584509/000158450920000230/ex10302020xmarcbrunoar.htm" TargetMode="External"/><Relationship Id="rId156" Type="http://schemas.openxmlformats.org/officeDocument/2006/relationships/hyperlink" Target="https://www.sec.gov/Archives/edgar/data/1584509/000158450920000230/ex10302020xmarcbrunoar.htm" TargetMode="External"/><Relationship Id="rId157" Type="http://schemas.openxmlformats.org/officeDocument/2006/relationships/hyperlink" Target="https://www.sec.gov/Archives/edgar/data/1584509/000158450920000230/ex10302020xmarcbrunoar.htm" TargetMode="External"/><Relationship Id="rId158" Type="http://schemas.openxmlformats.org/officeDocument/2006/relationships/hyperlink" Target="https://www.sec.gov/Archives/edgar/data/1584509/000158450920000230/ex10302020xmarcbrunoar.htm" TargetMode="External"/><Relationship Id="rId159" Type="http://schemas.openxmlformats.org/officeDocument/2006/relationships/hyperlink" Target="http://www.sec.gov/Archives/edgar/data/1144528/000119312505163797/dex104.htm" TargetMode="External"/><Relationship Id="rId160" Type="http://schemas.openxmlformats.org/officeDocument/2006/relationships/hyperlink" Target="http://www.sec.gov/Archives/edgar/data/1144528/000119312505163797/dex104.htm" TargetMode="External"/><Relationship Id="rId161" Type="http://schemas.openxmlformats.org/officeDocument/2006/relationships/hyperlink" Target="http://www.sec.gov/Archives/edgar/data/1144528/000119312505163797/dex104.htm" TargetMode="External"/><Relationship Id="rId162" Type="http://schemas.openxmlformats.org/officeDocument/2006/relationships/hyperlink" Target="http://www.sec.gov/Archives/edgar/data/1144528/000119312505163797/dex104.htm" TargetMode="External"/><Relationship Id="rId163" Type="http://schemas.openxmlformats.org/officeDocument/2006/relationships/hyperlink" Target="http://www.sec.gov/Archives/edgar/data/1584509/000158450917000247/ex1017formofindemnificatio.htm" TargetMode="External"/><Relationship Id="rId164" Type="http://schemas.openxmlformats.org/officeDocument/2006/relationships/hyperlink" Target="http://www.sec.gov/Archives/edgar/data/1584509/000158450917000247/ex1017formofindemnificatio.htm" TargetMode="External"/><Relationship Id="rId165" Type="http://schemas.openxmlformats.org/officeDocument/2006/relationships/hyperlink" Target="http://www.sec.gov/Archives/edgar/data/1584509/000158450917000247/ex1017formofindemnificatio.htm" TargetMode="External"/><Relationship Id="rId166" Type="http://schemas.openxmlformats.org/officeDocument/2006/relationships/hyperlink" Target="http://www.sec.gov/Archives/edgar/data/1584509/000158450917000247/ex1017formofindemnificatio.htm" TargetMode="External"/><Relationship Id="rId167" Type="http://schemas.openxmlformats.org/officeDocument/2006/relationships/hyperlink" Target="http://www.sec.gov/Archives/edgar/data/1584509/000158450917000247/ex1017formofindemnificatio.htm" TargetMode="External"/><Relationship Id="rId168" Type="http://schemas.openxmlformats.org/officeDocument/2006/relationships/hyperlink" Target="http://www.sec.gov/Archives/edgar/data/1584509/000158450919000237/ex1029-indemnification.htm" TargetMode="External"/><Relationship Id="rId169" Type="http://schemas.openxmlformats.org/officeDocument/2006/relationships/hyperlink" Target="http://www.sec.gov/Archives/edgar/data/1584509/000158450919000237/ex1029-indemnification.htm" TargetMode="External"/><Relationship Id="rId170" Type="http://schemas.openxmlformats.org/officeDocument/2006/relationships/hyperlink" Target="http://www.sec.gov/Archives/edgar/data/1584509/000158450919000237/ex1029-indemnification.htm" TargetMode="External"/><Relationship Id="rId171" Type="http://schemas.openxmlformats.org/officeDocument/2006/relationships/hyperlink" Target="http://www.sec.gov/Archives/edgar/data/1584509/000158450919000237/ex1029-indemnification.htm" TargetMode="External"/><Relationship Id="rId172" Type="http://schemas.openxmlformats.org/officeDocument/2006/relationships/hyperlink" Target="http://www.sec.gov/Archives/edgar/data/1584509/000158450919000237/ex1029-indemnification.htm" TargetMode="External"/><Relationship Id="rId173" Type="http://schemas.openxmlformats.org/officeDocument/2006/relationships/hyperlink" Target="http://www.sec.gov/Archives/edgar/data/1584509/000158450914000006/ex102indemnification-sadove.htm" TargetMode="External"/><Relationship Id="rId174" Type="http://schemas.openxmlformats.org/officeDocument/2006/relationships/hyperlink" Target="http://www.sec.gov/Archives/edgar/data/1584509/000158450914000006/ex102indemnification-sadove.htm" TargetMode="External"/><Relationship Id="rId175" Type="http://schemas.openxmlformats.org/officeDocument/2006/relationships/hyperlink" Target="http://www.sec.gov/Archives/edgar/data/1584509/000158450914000006/ex102indemnification-sadove.htm" TargetMode="External"/><Relationship Id="rId176" Type="http://schemas.openxmlformats.org/officeDocument/2006/relationships/hyperlink" Target="http://www.sec.gov/Archives/edgar/data/1584509/000158450914000006/ex102indemnification-sadove.htm" TargetMode="External"/><Relationship Id="rId177" Type="http://schemas.openxmlformats.org/officeDocument/2006/relationships/hyperlink" Target="http://www.sec.gov/Archives/edgar/data/1144528/000089375002000332/exh10-1.txt" TargetMode="External"/><Relationship Id="rId178" Type="http://schemas.openxmlformats.org/officeDocument/2006/relationships/hyperlink" Target="http://www.sec.gov/Archives/edgar/data/1144528/000089375002000332/exh10-1.txt" TargetMode="External"/><Relationship Id="rId179" Type="http://schemas.openxmlformats.org/officeDocument/2006/relationships/hyperlink" Target="http://www.sec.gov/Archives/edgar/data/1144528/000089375002000332/exh10-1.txt" TargetMode="External"/><Relationship Id="rId180" Type="http://schemas.openxmlformats.org/officeDocument/2006/relationships/hyperlink" Target="http://www.sec.gov/Archives/edgar/data/1144528/000089375002000332/exh10-1.txt" TargetMode="External"/><Relationship Id="rId181" Type="http://schemas.openxmlformats.org/officeDocument/2006/relationships/hyperlink" Target="http://www.sec.gov/Archives/edgar/data/1584509/000119312513445875/d574424dex1045.htm" TargetMode="External"/><Relationship Id="rId182" Type="http://schemas.openxmlformats.org/officeDocument/2006/relationships/hyperlink" Target="http://www.sec.gov/Archives/edgar/data/1584509/000119312513445875/d574424dex1045.htm" TargetMode="External"/><Relationship Id="rId183" Type="http://schemas.openxmlformats.org/officeDocument/2006/relationships/hyperlink" Target="http://www.sec.gov/Archives/edgar/data/1584509/000119312513445875/d574424dex1045.htm" TargetMode="External"/><Relationship Id="rId184" Type="http://schemas.openxmlformats.org/officeDocument/2006/relationships/hyperlink" Target="http://www.sec.gov/Archives/edgar/data/1584509/000119312513445875/d574424dex1045.htm" TargetMode="External"/><Relationship Id="rId185" Type="http://schemas.openxmlformats.org/officeDocument/2006/relationships/hyperlink" Target="http://www.sec.gov/Archives/edgar/data/1584509/000158450920000044/ex106q12020.htm" TargetMode="External"/><Relationship Id="rId186" Type="http://schemas.openxmlformats.org/officeDocument/2006/relationships/hyperlink" Target="http://www.sec.gov/Archives/edgar/data/1584509/000158450920000044/ex106q12020.htm" TargetMode="External"/><Relationship Id="rId187" Type="http://schemas.openxmlformats.org/officeDocument/2006/relationships/hyperlink" Target="http://www.sec.gov/Archives/edgar/data/1584509/000158450920000044/ex106q12020.htm" TargetMode="External"/><Relationship Id="rId188" Type="http://schemas.openxmlformats.org/officeDocument/2006/relationships/hyperlink" Target="http://www.sec.gov/Archives/edgar/data/1584509/000158450920000044/ex106q12020.htm" TargetMode="External"/><Relationship Id="rId189" Type="http://schemas.openxmlformats.org/officeDocument/2006/relationships/hyperlink" Target="http://www.sec.gov/Archives/edgar/data/7032/000119312507175629/dex105.htm" TargetMode="External"/><Relationship Id="rId190" Type="http://schemas.openxmlformats.org/officeDocument/2006/relationships/hyperlink" Target="http://www.sec.gov/Archives/edgar/data/7032/000119312507175629/dex105.htm" TargetMode="External"/><Relationship Id="rId191" Type="http://schemas.openxmlformats.org/officeDocument/2006/relationships/hyperlink" Target="http://www.sec.gov/Archives/edgar/data/7032/000119312507175629/dex105.htm" TargetMode="External"/><Relationship Id="rId192" Type="http://schemas.openxmlformats.org/officeDocument/2006/relationships/hyperlink" Target="http://www.sec.gov/Archives/edgar/data/7032/000119312507175629/dex105.htm" TargetMode="External"/><Relationship Id="rId193" Type="http://schemas.openxmlformats.org/officeDocument/2006/relationships/hyperlink" Target="http://www.sec.gov/Archives/edgar/data/1584509/000119312513445875/d574424dex1048.htm" TargetMode="External"/><Relationship Id="rId194" Type="http://schemas.openxmlformats.org/officeDocument/2006/relationships/hyperlink" Target="http://www.sec.gov/Archives/edgar/data/1584509/000119312513445875/d574424dex1048.htm" TargetMode="External"/><Relationship Id="rId195" Type="http://schemas.openxmlformats.org/officeDocument/2006/relationships/hyperlink" Target="http://www.sec.gov/Archives/edgar/data/1584509/000119312513445875/d574424dex1048.htm" TargetMode="External"/><Relationship Id="rId196" Type="http://schemas.openxmlformats.org/officeDocument/2006/relationships/hyperlink" Target="http://www.sec.gov/Archives/edgar/data/1584509/000119312513445875/d574424dex1048.htm" TargetMode="External"/><Relationship Id="rId197" Type="http://schemas.openxmlformats.org/officeDocument/2006/relationships/hyperlink" Target="http://www.sec.gov/Archives/edgar/data/1584509/000158450916000312/ex102thirdamendedandrestat.htm" TargetMode="External"/><Relationship Id="rId198" Type="http://schemas.openxmlformats.org/officeDocument/2006/relationships/hyperlink" Target="http://www.sec.gov/Archives/edgar/data/1584509/000158450916000312/ex102thirdamendedandrestat.htm" TargetMode="External"/><Relationship Id="rId199" Type="http://schemas.openxmlformats.org/officeDocument/2006/relationships/hyperlink" Target="http://www.sec.gov/Archives/edgar/data/1584509/000158450916000312/ex102thirdamendedandrestat.htm" TargetMode="External"/><Relationship Id="rId200" Type="http://schemas.openxmlformats.org/officeDocument/2006/relationships/hyperlink" Target="http://www.sec.gov/Archives/edgar/data/1584509/000158450916000312/ex102thirdamendedandrestat.htm" TargetMode="External"/><Relationship Id="rId201" Type="http://schemas.openxmlformats.org/officeDocument/2006/relationships/hyperlink" Target="https://www.sec.gov/Archives/edgar/data/1584509/000158450921000256/ex10392021armkxamendedandr.htm" TargetMode="External"/><Relationship Id="rId202" Type="http://schemas.openxmlformats.org/officeDocument/2006/relationships/hyperlink" Target="https://www.sec.gov/Archives/edgar/data/1584509/000158450921000256/ex10392021armkxamendedandr.htm" TargetMode="External"/><Relationship Id="rId203" Type="http://schemas.openxmlformats.org/officeDocument/2006/relationships/hyperlink" Target="https://www.sec.gov/Archives/edgar/data/1584509/000158450921000256/ex10392021armkxamendedandr.htm" TargetMode="External"/><Relationship Id="rId204" Type="http://schemas.openxmlformats.org/officeDocument/2006/relationships/hyperlink" Target="https://www.sec.gov/Archives/edgar/data/1584509/000158450921000256/ex10392021armkxamendedandr.htm" TargetMode="External"/><Relationship Id="rId205" Type="http://schemas.openxmlformats.org/officeDocument/2006/relationships/hyperlink" Target="https://www.sec.gov/Archives/edgar/data/1584509/000158450921000256/ex10392021armkxamendedandr.htm" TargetMode="External"/><Relationship Id="rId206" Type="http://schemas.openxmlformats.org/officeDocument/2006/relationships/hyperlink" Target="https://www.sec.gov/Archives/edgar/data/1584509/000158450921000256/ex10392021armkxamendedandr.htm" TargetMode="External"/><Relationship Id="rId207" Type="http://schemas.openxmlformats.org/officeDocument/2006/relationships/hyperlink" Target="https://www.sec.gov/Archives/edgar/data/1584509/000158450921000256/ex10392021armkxamendedandr.htm" TargetMode="External"/><Relationship Id="rId208" Type="http://schemas.openxmlformats.org/officeDocument/2006/relationships/hyperlink" Target="http://www.sec.gov/Archives/edgar/data/1584509/000119312513360815/d574424dex1067.htm" TargetMode="External"/><Relationship Id="rId209" Type="http://schemas.openxmlformats.org/officeDocument/2006/relationships/hyperlink" Target="http://www.sec.gov/Archives/edgar/data/1584509/000119312513360815/d574424dex1067.htm" TargetMode="External"/><Relationship Id="rId210" Type="http://schemas.openxmlformats.org/officeDocument/2006/relationships/hyperlink" Target="http://www.sec.gov/Archives/edgar/data/1584509/000119312513360815/d574424dex1067.htm" TargetMode="External"/><Relationship Id="rId211" Type="http://schemas.openxmlformats.org/officeDocument/2006/relationships/hyperlink" Target="http://www.sec.gov/Archives/edgar/data/1584509/000119312513360815/d574424dex1067.htm" TargetMode="External"/><Relationship Id="rId212" Type="http://schemas.openxmlformats.org/officeDocument/2006/relationships/hyperlink" Target="http://www.sec.gov/Archives/edgar/data/1584509/000119312513360815/d574424dex1067.htm" TargetMode="External"/><Relationship Id="rId213" Type="http://schemas.openxmlformats.org/officeDocument/2006/relationships/hyperlink" Target="http://www.sec.gov/Archives/edgar/data/1584509/000158450917000042/ex101aramarkamendedandrest.htm" TargetMode="External"/><Relationship Id="rId214" Type="http://schemas.openxmlformats.org/officeDocument/2006/relationships/hyperlink" Target="http://www.sec.gov/Archives/edgar/data/1584509/000158450917000042/ex101aramarkamendedandrest.htm" TargetMode="External"/><Relationship Id="rId215" Type="http://schemas.openxmlformats.org/officeDocument/2006/relationships/hyperlink" Target="http://www.sec.gov/Archives/edgar/data/1584509/000158450917000042/ex101aramarkamendedandrest.htm" TargetMode="External"/><Relationship Id="rId216" Type="http://schemas.openxmlformats.org/officeDocument/2006/relationships/hyperlink" Target="http://www.sec.gov/Archives/edgar/data/1584509/000158450917000042/ex101aramarkamendedandrest.htm" TargetMode="External"/><Relationship Id="rId217" Type="http://schemas.openxmlformats.org/officeDocument/2006/relationships/hyperlink" Target="http://www.sec.gov/Archives/edgar/data/7032/000000703213000051/exhibit102.htm" TargetMode="External"/><Relationship Id="rId218" Type="http://schemas.openxmlformats.org/officeDocument/2006/relationships/hyperlink" Target="http://www.sec.gov/Archives/edgar/data/7032/000000703213000051/exhibit102.htm" TargetMode="External"/><Relationship Id="rId219" Type="http://schemas.openxmlformats.org/officeDocument/2006/relationships/hyperlink" Target="http://www.sec.gov/Archives/edgar/data/7032/000000703213000051/exhibit102.htm" TargetMode="External"/><Relationship Id="rId220" Type="http://schemas.openxmlformats.org/officeDocument/2006/relationships/hyperlink" Target="http://www.sec.gov/Archives/edgar/data/7032/000000703213000051/exhibit102.htm" TargetMode="External"/><Relationship Id="rId221" Type="http://schemas.openxmlformats.org/officeDocument/2006/relationships/hyperlink" Target="http://www.sec.gov/Archives/edgar/data/7032/000000703213000051/exhibit105.htm" TargetMode="External"/><Relationship Id="rId222" Type="http://schemas.openxmlformats.org/officeDocument/2006/relationships/hyperlink" Target="http://www.sec.gov/Archives/edgar/data/7032/000000703213000051/exhibit105.htm" TargetMode="External"/><Relationship Id="rId223" Type="http://schemas.openxmlformats.org/officeDocument/2006/relationships/hyperlink" Target="http://www.sec.gov/Archives/edgar/data/7032/000000703213000051/exhibit105.htm" TargetMode="External"/><Relationship Id="rId224" Type="http://schemas.openxmlformats.org/officeDocument/2006/relationships/hyperlink" Target="http://www.sec.gov/Archives/edgar/data/7032/000000703213000051/exhibit105.htm" TargetMode="External"/><Relationship Id="rId225" Type="http://schemas.openxmlformats.org/officeDocument/2006/relationships/hyperlink" Target="http://www.sec.gov/Archives/edgar/data/1584509/000119312513445875/d574424dex1068.htm" TargetMode="External"/><Relationship Id="rId226" Type="http://schemas.openxmlformats.org/officeDocument/2006/relationships/hyperlink" Target="http://www.sec.gov/Archives/edgar/data/1584509/000119312513445875/d574424dex1068.htm" TargetMode="External"/><Relationship Id="rId227" Type="http://schemas.openxmlformats.org/officeDocument/2006/relationships/hyperlink" Target="http://www.sec.gov/Archives/edgar/data/1584509/000119312513445875/d574424dex1068.htm" TargetMode="External"/><Relationship Id="rId228" Type="http://schemas.openxmlformats.org/officeDocument/2006/relationships/hyperlink" Target="http://www.sec.gov/Archives/edgar/data/1584509/000119312513445875/d574424dex1068.htm" TargetMode="External"/><Relationship Id="rId229" Type="http://schemas.openxmlformats.org/officeDocument/2006/relationships/hyperlink" Target="http://www.sec.gov/Archives/edgar/data/1584509/000119312513445875/d574424dex1069.htm" TargetMode="External"/><Relationship Id="rId230" Type="http://schemas.openxmlformats.org/officeDocument/2006/relationships/hyperlink" Target="http://www.sec.gov/Archives/edgar/data/1584509/000119312513445875/d574424dex1069.htm" TargetMode="External"/><Relationship Id="rId231" Type="http://schemas.openxmlformats.org/officeDocument/2006/relationships/hyperlink" Target="http://www.sec.gov/Archives/edgar/data/1584509/000119312513445875/d574424dex1069.htm" TargetMode="External"/><Relationship Id="rId232" Type="http://schemas.openxmlformats.org/officeDocument/2006/relationships/hyperlink" Target="http://www.sec.gov/Archives/edgar/data/1584509/000119312513445875/d574424dex1069.htm" TargetMode="External"/><Relationship Id="rId233" Type="http://schemas.openxmlformats.org/officeDocument/2006/relationships/hyperlink" Target="http://www.sec.gov/Archives/edgar/data/1584509/000119312513445875/d574424dex1069.htm" TargetMode="External"/><Relationship Id="rId234" Type="http://schemas.openxmlformats.org/officeDocument/2006/relationships/hyperlink" Target="http://www.sec.gov/Archives/edgar/data/1584509/000119312513445875/d574424dex1071.htm" TargetMode="External"/><Relationship Id="rId235" Type="http://schemas.openxmlformats.org/officeDocument/2006/relationships/hyperlink" Target="http://www.sec.gov/Archives/edgar/data/1584509/000119312513445875/d574424dex1071.htm" TargetMode="External"/><Relationship Id="rId236" Type="http://schemas.openxmlformats.org/officeDocument/2006/relationships/hyperlink" Target="http://www.sec.gov/Archives/edgar/data/1584509/000119312513445875/d574424dex1071.htm" TargetMode="External"/><Relationship Id="rId237" Type="http://schemas.openxmlformats.org/officeDocument/2006/relationships/hyperlink" Target="http://www.sec.gov/Archives/edgar/data/1584509/000119312513445875/d574424dex1071.htm" TargetMode="External"/><Relationship Id="rId238" Type="http://schemas.openxmlformats.org/officeDocument/2006/relationships/hyperlink" Target="http://www.sec.gov/Archives/edgar/data/1584509/000158450917000247/ex1072formofoptionawardnot.htm" TargetMode="External"/><Relationship Id="rId239" Type="http://schemas.openxmlformats.org/officeDocument/2006/relationships/hyperlink" Target="http://www.sec.gov/Archives/edgar/data/1584509/000158450917000247/ex1072formofoptionawardnot.htm" TargetMode="External"/><Relationship Id="rId240" Type="http://schemas.openxmlformats.org/officeDocument/2006/relationships/hyperlink" Target="http://www.sec.gov/Archives/edgar/data/1584509/000158450917000247/ex1072formofoptionawardnot.htm" TargetMode="External"/><Relationship Id="rId241" Type="http://schemas.openxmlformats.org/officeDocument/2006/relationships/hyperlink" Target="http://www.sec.gov/Archives/edgar/data/1584509/000158450917000247/ex1072formofoptionawardnot.htm" TargetMode="External"/><Relationship Id="rId242" Type="http://schemas.openxmlformats.org/officeDocument/2006/relationships/hyperlink" Target="http://www.sec.gov/Archives/edgar/data/1584509/000158450917000247/ex1072formofoptionawardnot.htm" TargetMode="External"/><Relationship Id="rId243" Type="http://schemas.openxmlformats.org/officeDocument/2006/relationships/hyperlink" Target="http://www.sec.gov/Archives/edgar/data/1584509/000158450917000247/ex1072formofoptionawardnot.htm" TargetMode="External"/><Relationship Id="rId244" Type="http://schemas.openxmlformats.org/officeDocument/2006/relationships/hyperlink" Target="http://www.sec.gov/Archives/edgar/data/1584509/000158450917000247/ex1072formofoptionawardnot.htm" TargetMode="External"/><Relationship Id="rId245" Type="http://schemas.openxmlformats.org/officeDocument/2006/relationships/hyperlink" Target="http://www.sec.gov/Archives/edgar/data/1584509/000158450917000247/ex1073formofrsuawardnotice.htm" TargetMode="External"/><Relationship Id="rId246" Type="http://schemas.openxmlformats.org/officeDocument/2006/relationships/hyperlink" Target="http://www.sec.gov/Archives/edgar/data/1584509/000158450917000247/ex1073formofrsuawardnotice.htm" TargetMode="External"/><Relationship Id="rId247" Type="http://schemas.openxmlformats.org/officeDocument/2006/relationships/hyperlink" Target="http://www.sec.gov/Archives/edgar/data/1584509/000158450917000247/ex1073formofrsuawardnotice.htm" TargetMode="External"/><Relationship Id="rId248" Type="http://schemas.openxmlformats.org/officeDocument/2006/relationships/hyperlink" Target="http://www.sec.gov/Archives/edgar/data/1584509/000158450917000247/ex1073formofrsuawardnotice.htm" TargetMode="External"/><Relationship Id="rId249" Type="http://schemas.openxmlformats.org/officeDocument/2006/relationships/hyperlink" Target="http://www.sec.gov/Archives/edgar/data/1584509/000158450917000247/ex1073formofrsuawardnotice.htm" TargetMode="External"/><Relationship Id="rId250" Type="http://schemas.openxmlformats.org/officeDocument/2006/relationships/hyperlink" Target="http://www.sec.gov/Archives/edgar/data/1584509/000158450917000247/ex1073formofrsuawardnotice.htm" TargetMode="External"/><Relationship Id="rId251" Type="http://schemas.openxmlformats.org/officeDocument/2006/relationships/hyperlink" Target="http://www.sec.gov/Archives/edgar/data/1584509/000158450917000247/ex1073formofrsuawardnotice.htm" TargetMode="External"/><Relationship Id="rId252" Type="http://schemas.openxmlformats.org/officeDocument/2006/relationships/hyperlink" Target="http://www.sec.gov/Archives/edgar/data/1584509/000158450917000247/ex1074formofpsuawardnotice.htm" TargetMode="External"/><Relationship Id="rId253" Type="http://schemas.openxmlformats.org/officeDocument/2006/relationships/hyperlink" Target="http://www.sec.gov/Archives/edgar/data/1584509/000158450917000247/ex1074formofpsuawardnotice.htm" TargetMode="External"/><Relationship Id="rId254" Type="http://schemas.openxmlformats.org/officeDocument/2006/relationships/hyperlink" Target="http://www.sec.gov/Archives/edgar/data/1584509/000158450917000247/ex1074formofpsuawardnotice.htm" TargetMode="External"/><Relationship Id="rId255" Type="http://schemas.openxmlformats.org/officeDocument/2006/relationships/hyperlink" Target="http://www.sec.gov/Archives/edgar/data/1584509/000158450917000247/ex1074formofpsuawardnotice.htm" TargetMode="External"/><Relationship Id="rId256" Type="http://schemas.openxmlformats.org/officeDocument/2006/relationships/hyperlink" Target="http://www.sec.gov/Archives/edgar/data/1584509/000158450917000247/ex1074formofpsuawardnotice.htm" TargetMode="External"/><Relationship Id="rId257" Type="http://schemas.openxmlformats.org/officeDocument/2006/relationships/hyperlink" Target="http://www.sec.gov/Archives/edgar/data/1584509/000158450917000247/ex1074formofpsuawardnotice.htm" TargetMode="External"/><Relationship Id="rId258" Type="http://schemas.openxmlformats.org/officeDocument/2006/relationships/hyperlink" Target="http://www.sec.gov/Archives/edgar/data/1584509/000158450917000247/ex1074formofpsuawardnotice.htm" TargetMode="External"/><Relationship Id="rId259" Type="http://schemas.openxmlformats.org/officeDocument/2006/relationships/hyperlink" Target="http://www.sec.gov/Archives/edgar/data/1584509/000158450917000247/ex1075formofoptionawardnot.htm" TargetMode="External"/><Relationship Id="rId260" Type="http://schemas.openxmlformats.org/officeDocument/2006/relationships/hyperlink" Target="http://www.sec.gov/Archives/edgar/data/1584509/000158450917000247/ex1075formofoptionawardnot.htm" TargetMode="External"/><Relationship Id="rId261" Type="http://schemas.openxmlformats.org/officeDocument/2006/relationships/hyperlink" Target="http://www.sec.gov/Archives/edgar/data/1584509/000158450917000247/ex1075formofoptionawardnot.htm" TargetMode="External"/><Relationship Id="rId262" Type="http://schemas.openxmlformats.org/officeDocument/2006/relationships/hyperlink" Target="http://www.sec.gov/Archives/edgar/data/1584509/000158450917000247/ex1075formofoptionawardnot.htm" TargetMode="External"/><Relationship Id="rId263" Type="http://schemas.openxmlformats.org/officeDocument/2006/relationships/hyperlink" Target="http://www.sec.gov/Archives/edgar/data/1584509/000158450917000247/ex1075formofoptionawardnot.htm" TargetMode="External"/><Relationship Id="rId264" Type="http://schemas.openxmlformats.org/officeDocument/2006/relationships/hyperlink" Target="http://www.sec.gov/Archives/edgar/data/1584509/000158450917000247/ex1075formofoptionawardnot.htm" TargetMode="External"/><Relationship Id="rId265" Type="http://schemas.openxmlformats.org/officeDocument/2006/relationships/hyperlink" Target="http://www.sec.gov/Archives/edgar/data/1584509/000158450917000247/ex1075formofoptionawardnot.htm" TargetMode="External"/><Relationship Id="rId266" Type="http://schemas.openxmlformats.org/officeDocument/2006/relationships/hyperlink" Target="http://www.sec.gov/Archives/edgar/data/1584509/000158450919000237/ex1093-formofnqsoaward.htm" TargetMode="External"/><Relationship Id="rId267" Type="http://schemas.openxmlformats.org/officeDocument/2006/relationships/hyperlink" Target="http://www.sec.gov/Archives/edgar/data/1584509/000158450919000237/ex1093-formofnqsoaward.htm" TargetMode="External"/><Relationship Id="rId268" Type="http://schemas.openxmlformats.org/officeDocument/2006/relationships/hyperlink" Target="http://www.sec.gov/Archives/edgar/data/1584509/000158450919000237/ex1093-formofnqsoaward.htm" TargetMode="External"/><Relationship Id="rId269" Type="http://schemas.openxmlformats.org/officeDocument/2006/relationships/hyperlink" Target="http://www.sec.gov/Archives/edgar/data/1584509/000158450919000237/ex1093-formofnqsoaward.htm" TargetMode="External"/><Relationship Id="rId270" Type="http://schemas.openxmlformats.org/officeDocument/2006/relationships/hyperlink" Target="http://www.sec.gov/Archives/edgar/data/1584509/000158450919000237/ex1093-formofnqsoaward.htm" TargetMode="External"/><Relationship Id="rId271" Type="http://schemas.openxmlformats.org/officeDocument/2006/relationships/hyperlink" Target="http://www.sec.gov/Archives/edgar/data/1584509/000158450919000237/ex1094-formofrsutimeve.htm" TargetMode="External"/><Relationship Id="rId272" Type="http://schemas.openxmlformats.org/officeDocument/2006/relationships/hyperlink" Target="http://www.sec.gov/Archives/edgar/data/1584509/000158450919000237/ex1094-formofrsutimeve.htm" TargetMode="External"/><Relationship Id="rId273" Type="http://schemas.openxmlformats.org/officeDocument/2006/relationships/hyperlink" Target="http://www.sec.gov/Archives/edgar/data/1584509/000158450919000237/ex1094-formofrsutimeve.htm" TargetMode="External"/><Relationship Id="rId274" Type="http://schemas.openxmlformats.org/officeDocument/2006/relationships/hyperlink" Target="http://www.sec.gov/Archives/edgar/data/1584509/000158450919000237/ex1094-formofrsutimeve.htm" TargetMode="External"/><Relationship Id="rId275" Type="http://schemas.openxmlformats.org/officeDocument/2006/relationships/hyperlink" Target="http://www.sec.gov/Archives/edgar/data/1584509/000158450919000237/ex1094-formofrsutimeve.htm" TargetMode="External"/><Relationship Id="rId276" Type="http://schemas.openxmlformats.org/officeDocument/2006/relationships/hyperlink" Target="http://www.sec.gov/Archives/edgar/data/1584509/000158450919000237/ex1095-formofpsuaward.htm" TargetMode="External"/><Relationship Id="rId277" Type="http://schemas.openxmlformats.org/officeDocument/2006/relationships/hyperlink" Target="http://www.sec.gov/Archives/edgar/data/1584509/000158450919000237/ex1095-formofpsuaward.htm" TargetMode="External"/><Relationship Id="rId278" Type="http://schemas.openxmlformats.org/officeDocument/2006/relationships/hyperlink" Target="http://www.sec.gov/Archives/edgar/data/1584509/000158450919000237/ex1095-formofpsuaward.htm" TargetMode="External"/><Relationship Id="rId279" Type="http://schemas.openxmlformats.org/officeDocument/2006/relationships/hyperlink" Target="http://www.sec.gov/Archives/edgar/data/1584509/000158450919000237/ex1095-formofpsuaward.htm" TargetMode="External"/><Relationship Id="rId280" Type="http://schemas.openxmlformats.org/officeDocument/2006/relationships/hyperlink" Target="http://www.sec.gov/Archives/edgar/data/1584509/000158450919000237/ex1095-formofpsuaward.htm" TargetMode="External"/><Relationship Id="rId281" Type="http://schemas.openxmlformats.org/officeDocument/2006/relationships/hyperlink" Target="http://www.sec.gov/Archives/edgar/data/1584509/000158450919000237/ex1096-formofscheditop.htm" TargetMode="External"/><Relationship Id="rId282" Type="http://schemas.openxmlformats.org/officeDocument/2006/relationships/hyperlink" Target="http://www.sec.gov/Archives/edgar/data/1584509/000158450919000237/ex1096-formofscheditop.htm" TargetMode="External"/><Relationship Id="rId283" Type="http://schemas.openxmlformats.org/officeDocument/2006/relationships/hyperlink" Target="http://www.sec.gov/Archives/edgar/data/1584509/000158450919000237/ex1096-formofscheditop.htm" TargetMode="External"/><Relationship Id="rId284" Type="http://schemas.openxmlformats.org/officeDocument/2006/relationships/hyperlink" Target="http://www.sec.gov/Archives/edgar/data/1584509/000158450919000237/ex1096-formofscheditop.htm" TargetMode="External"/><Relationship Id="rId285" Type="http://schemas.openxmlformats.org/officeDocument/2006/relationships/hyperlink" Target="http://www.sec.gov/Archives/edgar/data/1584509/000158450919000237/ex1096-formofscheditop.htm" TargetMode="External"/><Relationship Id="rId286" Type="http://schemas.openxmlformats.org/officeDocument/2006/relationships/hyperlink" Target="http://www.sec.gov/Archives/edgar/data/1584509/000119312520194769/d881977dex106.htm" TargetMode="External"/><Relationship Id="rId287" Type="http://schemas.openxmlformats.org/officeDocument/2006/relationships/hyperlink" Target="http://www.sec.gov/Archives/edgar/data/1584509/000119312520194769/d881977dex106.htm" TargetMode="External"/><Relationship Id="rId288" Type="http://schemas.openxmlformats.org/officeDocument/2006/relationships/hyperlink" Target="http://www.sec.gov/Archives/edgar/data/1584509/000119312520194769/d881977dex106.htm" TargetMode="External"/><Relationship Id="rId289" Type="http://schemas.openxmlformats.org/officeDocument/2006/relationships/hyperlink" Target="http://www.sec.gov/Archives/edgar/data/1584509/000119312520194769/d881977dex106.htm" TargetMode="External"/><Relationship Id="rId290" Type="http://schemas.openxmlformats.org/officeDocument/2006/relationships/hyperlink" Target="http://www.sec.gov/Archives/edgar/data/1584509/000119312520194769/d881977dex106.htm" TargetMode="External"/><Relationship Id="rId291" Type="http://schemas.openxmlformats.org/officeDocument/2006/relationships/hyperlink" Target="http://www.sec.gov/Archives/edgar/data/1584509/000119312520194769/d881977dex107.htm" TargetMode="External"/><Relationship Id="rId292" Type="http://schemas.openxmlformats.org/officeDocument/2006/relationships/hyperlink" Target="http://www.sec.gov/Archives/edgar/data/1584509/000119312520194769/d881977dex107.htm" TargetMode="External"/><Relationship Id="rId293" Type="http://schemas.openxmlformats.org/officeDocument/2006/relationships/hyperlink" Target="http://www.sec.gov/Archives/edgar/data/1584509/000119312520194769/d881977dex107.htm" TargetMode="External"/><Relationship Id="rId294" Type="http://schemas.openxmlformats.org/officeDocument/2006/relationships/hyperlink" Target="http://www.sec.gov/Archives/edgar/data/1584509/000119312520194769/d881977dex107.htm" TargetMode="External"/><Relationship Id="rId295" Type="http://schemas.openxmlformats.org/officeDocument/2006/relationships/hyperlink" Target="http://www.sec.gov/Archives/edgar/data/1584509/000119312520194769/d881977dex108.htm" TargetMode="External"/><Relationship Id="rId296" Type="http://schemas.openxmlformats.org/officeDocument/2006/relationships/hyperlink" Target="http://www.sec.gov/Archives/edgar/data/1584509/000119312520194769/d881977dex108.htm" TargetMode="External"/><Relationship Id="rId297" Type="http://schemas.openxmlformats.org/officeDocument/2006/relationships/hyperlink" Target="http://www.sec.gov/Archives/edgar/data/1584509/000119312520194769/d881977dex108.htm" TargetMode="External"/><Relationship Id="rId298" Type="http://schemas.openxmlformats.org/officeDocument/2006/relationships/hyperlink" Target="http://www.sec.gov/Archives/edgar/data/1584509/000119312520194769/d881977dex108.htm" TargetMode="External"/><Relationship Id="rId299" Type="http://schemas.openxmlformats.org/officeDocument/2006/relationships/hyperlink" Target="http://www.sec.gov/Archives/edgar/data/1584509/000119312520194769/d881977dex108.htm" TargetMode="External"/><Relationship Id="rId300" Type="http://schemas.openxmlformats.org/officeDocument/2006/relationships/hyperlink" Target="http://www.sec.gov/Archives/edgar/data/1584509/000158450920000230/ex101042020xamendedand.htm" TargetMode="External"/><Relationship Id="rId301" Type="http://schemas.openxmlformats.org/officeDocument/2006/relationships/hyperlink" Target="http://www.sec.gov/Archives/edgar/data/1584509/000158450920000230/ex101042020xamendedand.htm" TargetMode="External"/><Relationship Id="rId302" Type="http://schemas.openxmlformats.org/officeDocument/2006/relationships/hyperlink" Target="http://www.sec.gov/Archives/edgar/data/1584509/000158450920000230/ex101042020xamendedand.htm" TargetMode="External"/><Relationship Id="rId303" Type="http://schemas.openxmlformats.org/officeDocument/2006/relationships/hyperlink" Target="http://www.sec.gov/Archives/edgar/data/1584509/000158450920000230/ex101042020xamendedand.htm" TargetMode="External"/><Relationship Id="rId304" Type="http://schemas.openxmlformats.org/officeDocument/2006/relationships/hyperlink" Target="http://www.sec.gov/Archives/edgar/data/1584509/000158450920000230/ex101042020xamendedand.htm" TargetMode="External"/><Relationship Id="rId305" Type="http://schemas.openxmlformats.org/officeDocument/2006/relationships/hyperlink" Target="http://www.sec.gov/Archives/edgar/data/1584509/000158450920000230/ex101052020xeltformofn.htm" TargetMode="External"/><Relationship Id="rId306" Type="http://schemas.openxmlformats.org/officeDocument/2006/relationships/hyperlink" Target="http://www.sec.gov/Archives/edgar/data/1584509/000158450920000230/ex101052020xeltformofn.htm" TargetMode="External"/><Relationship Id="rId307" Type="http://schemas.openxmlformats.org/officeDocument/2006/relationships/hyperlink" Target="http://www.sec.gov/Archives/edgar/data/1584509/000158450920000230/ex101052020xeltformofn.htm" TargetMode="External"/><Relationship Id="rId308" Type="http://schemas.openxmlformats.org/officeDocument/2006/relationships/hyperlink" Target="http://www.sec.gov/Archives/edgar/data/1584509/000158450920000230/ex101052020xeltformofn.htm" TargetMode="External"/><Relationship Id="rId309" Type="http://schemas.openxmlformats.org/officeDocument/2006/relationships/hyperlink" Target="http://www.sec.gov/Archives/edgar/data/1584509/000158450920000230/ex101052020xeltformofn.htm" TargetMode="External"/><Relationship Id="rId310" Type="http://schemas.openxmlformats.org/officeDocument/2006/relationships/hyperlink" Target="http://www.sec.gov/Archives/edgar/data/1584509/000158450920000230/ex101062020xamendedand.htm" TargetMode="External"/><Relationship Id="rId311" Type="http://schemas.openxmlformats.org/officeDocument/2006/relationships/hyperlink" Target="http://www.sec.gov/Archives/edgar/data/1584509/000158450920000230/ex101062020xamendedand.htm" TargetMode="External"/><Relationship Id="rId312" Type="http://schemas.openxmlformats.org/officeDocument/2006/relationships/hyperlink" Target="http://www.sec.gov/Archives/edgar/data/1584509/000158450920000230/ex101062020xamendedand.htm" TargetMode="External"/><Relationship Id="rId313" Type="http://schemas.openxmlformats.org/officeDocument/2006/relationships/hyperlink" Target="http://www.sec.gov/Archives/edgar/data/1584509/000158450920000230/ex101062020xamendedand.htm" TargetMode="External"/><Relationship Id="rId314" Type="http://schemas.openxmlformats.org/officeDocument/2006/relationships/hyperlink" Target="http://www.sec.gov/Archives/edgar/data/1584509/000158450920000230/ex101062020xamendedand.htm" TargetMode="External"/><Relationship Id="rId315" Type="http://schemas.openxmlformats.org/officeDocument/2006/relationships/hyperlink" Target="http://www.sec.gov/Archives/edgar/data/1584509/000158450920000230/ex10107-amendedandrest.htm" TargetMode="External"/><Relationship Id="rId316" Type="http://schemas.openxmlformats.org/officeDocument/2006/relationships/hyperlink" Target="http://www.sec.gov/Archives/edgar/data/1584509/000158450920000230/ex10107-amendedandrest.htm" TargetMode="External"/><Relationship Id="rId317" Type="http://schemas.openxmlformats.org/officeDocument/2006/relationships/hyperlink" Target="http://www.sec.gov/Archives/edgar/data/1584509/000158450920000230/ex10107-amendedandrest.htm" TargetMode="External"/><Relationship Id="rId318" Type="http://schemas.openxmlformats.org/officeDocument/2006/relationships/hyperlink" Target="http://www.sec.gov/Archives/edgar/data/1584509/000158450920000230/ex10107-amendedandrest.htm" TargetMode="External"/><Relationship Id="rId319" Type="http://schemas.openxmlformats.org/officeDocument/2006/relationships/hyperlink" Target="http://www.sec.gov/Archives/edgar/data/1584509/000158450920000230/ex10107-amendedandrest.htm" TargetMode="External"/><Relationship Id="rId320" Type="http://schemas.openxmlformats.org/officeDocument/2006/relationships/hyperlink" Target="http://www.sec.gov/Archives/edgar/data/1584509/000158450920000230/ex10108-formofnonxqual.htm" TargetMode="External"/><Relationship Id="rId321" Type="http://schemas.openxmlformats.org/officeDocument/2006/relationships/hyperlink" Target="http://www.sec.gov/Archives/edgar/data/1584509/000158450920000230/ex10108-formofnonxqual.htm" TargetMode="External"/><Relationship Id="rId322" Type="http://schemas.openxmlformats.org/officeDocument/2006/relationships/hyperlink" Target="http://www.sec.gov/Archives/edgar/data/1584509/000158450920000230/ex10108-formofnonxqual.htm" TargetMode="External"/><Relationship Id="rId323" Type="http://schemas.openxmlformats.org/officeDocument/2006/relationships/hyperlink" Target="http://www.sec.gov/Archives/edgar/data/1584509/000158450920000230/ex10108-formofnonxqual.htm" TargetMode="External"/><Relationship Id="rId324" Type="http://schemas.openxmlformats.org/officeDocument/2006/relationships/hyperlink" Target="http://www.sec.gov/Archives/edgar/data/1584509/000158450920000230/ex10108-formofnonxqual.htm" TargetMode="External"/><Relationship Id="rId325" Type="http://schemas.openxmlformats.org/officeDocument/2006/relationships/hyperlink" Target="http://www.sec.gov/Archives/edgar/data/1584509/000158450920000230/ex101092020xformofrsua.htm" TargetMode="External"/><Relationship Id="rId326" Type="http://schemas.openxmlformats.org/officeDocument/2006/relationships/hyperlink" Target="http://www.sec.gov/Archives/edgar/data/1584509/000158450920000230/ex101092020xformofrsua.htm" TargetMode="External"/><Relationship Id="rId327" Type="http://schemas.openxmlformats.org/officeDocument/2006/relationships/hyperlink" Target="http://www.sec.gov/Archives/edgar/data/1584509/000158450920000230/ex101092020xformofrsua.htm" TargetMode="External"/><Relationship Id="rId328" Type="http://schemas.openxmlformats.org/officeDocument/2006/relationships/hyperlink" Target="http://www.sec.gov/Archives/edgar/data/1584509/000158450920000230/ex101092020xformofrsua.htm" TargetMode="External"/><Relationship Id="rId329" Type="http://schemas.openxmlformats.org/officeDocument/2006/relationships/hyperlink" Target="http://www.sec.gov/Archives/edgar/data/1584509/000158450920000230/ex101092020xformofrsua.htm" TargetMode="External"/><Relationship Id="rId330" Type="http://schemas.openxmlformats.org/officeDocument/2006/relationships/hyperlink" Target="https://www.sec.gov/Archives/edgar/data/1584509/000158450921000256/ex10822021armkxformofsched.htm" TargetMode="External"/><Relationship Id="rId331" Type="http://schemas.openxmlformats.org/officeDocument/2006/relationships/hyperlink" Target="https://www.sec.gov/Archives/edgar/data/1584509/000158450921000256/ex10822021armkxformofsched.htm" TargetMode="External"/><Relationship Id="rId332" Type="http://schemas.openxmlformats.org/officeDocument/2006/relationships/hyperlink" Target="https://www.sec.gov/Archives/edgar/data/1584509/000158450921000256/ex10822021armkxformofsched.htm" TargetMode="External"/><Relationship Id="rId333" Type="http://schemas.openxmlformats.org/officeDocument/2006/relationships/hyperlink" Target="https://www.sec.gov/Archives/edgar/data/1584509/000158450921000256/ex10822021armkxformofsched.htm" TargetMode="External"/><Relationship Id="rId334" Type="http://schemas.openxmlformats.org/officeDocument/2006/relationships/hyperlink" Target="https://www.sec.gov/Archives/edgar/data/1584509/000158450921000256/ex10822021armkxformofsched.htm" TargetMode="External"/><Relationship Id="rId335" Type="http://schemas.openxmlformats.org/officeDocument/2006/relationships/hyperlink" Target="https://www.sec.gov/Archives/edgar/data/1584509/000158450921000256/ex10822021armkxformofsched.htm" TargetMode="External"/><Relationship Id="rId336" Type="http://schemas.openxmlformats.org/officeDocument/2006/relationships/hyperlink" Target="https://www.sec.gov/Archives/edgar/data/1584509/000158450921000256/ex10822021armkxformofsched.htm" TargetMode="External"/><Relationship Id="rId337" Type="http://schemas.openxmlformats.org/officeDocument/2006/relationships/hyperlink" Target="https://www.sec.gov/Archives/edgar/data/1584509/000158450921000256/ex10832021armkxformofsched.htm" TargetMode="External"/><Relationship Id="rId338" Type="http://schemas.openxmlformats.org/officeDocument/2006/relationships/hyperlink" Target="https://www.sec.gov/Archives/edgar/data/1584509/000158450921000256/ex10832021armkxformofsched.htm" TargetMode="External"/><Relationship Id="rId339" Type="http://schemas.openxmlformats.org/officeDocument/2006/relationships/hyperlink" Target="https://www.sec.gov/Archives/edgar/data/1584509/000158450921000256/ex10832021armkxformofsched.htm" TargetMode="External"/><Relationship Id="rId340" Type="http://schemas.openxmlformats.org/officeDocument/2006/relationships/hyperlink" Target="https://www.sec.gov/Archives/edgar/data/1584509/000158450921000256/ex10832021armkxformofsched.htm" TargetMode="External"/><Relationship Id="rId341" Type="http://schemas.openxmlformats.org/officeDocument/2006/relationships/hyperlink" Target="https://www.sec.gov/Archives/edgar/data/1584509/000158450921000256/ex10832021armkxformofsched.htm" TargetMode="External"/><Relationship Id="rId342" Type="http://schemas.openxmlformats.org/officeDocument/2006/relationships/hyperlink" Target="https://www.sec.gov/Archives/edgar/data/1584509/000158450921000256/ex10832021armkxformofsched.htm" TargetMode="External"/><Relationship Id="rId343" Type="http://schemas.openxmlformats.org/officeDocument/2006/relationships/hyperlink" Target="https://www.sec.gov/Archives/edgar/data/1584509/000158450921000256/ex10832021armkxformofsched.htm" TargetMode="External"/><Relationship Id="rId344" Type="http://schemas.openxmlformats.org/officeDocument/2006/relationships/hyperlink" Target="http://www.sec.gov/Archives/edgar/data/1584509/000119312513445875/d574424dex1073.htm" TargetMode="External"/><Relationship Id="rId345" Type="http://schemas.openxmlformats.org/officeDocument/2006/relationships/hyperlink" Target="http://www.sec.gov/Archives/edgar/data/1584509/000119312513445875/d574424dex1073.htm" TargetMode="External"/><Relationship Id="rId346" Type="http://schemas.openxmlformats.org/officeDocument/2006/relationships/hyperlink" Target="http://www.sec.gov/Archives/edgar/data/1584509/000119312513445875/d574424dex1073.htm" TargetMode="External"/><Relationship Id="rId347" Type="http://schemas.openxmlformats.org/officeDocument/2006/relationships/hyperlink" Target="http://www.sec.gov/Archives/edgar/data/1584509/000119312513445875/d574424dex1073.htm" TargetMode="External"/><Relationship Id="rId348" Type="http://schemas.openxmlformats.org/officeDocument/2006/relationships/hyperlink" Target="http://www.sec.gov/Archives/edgar/data/1584509/000119312513445875/d574424dex1073.htm" TargetMode="External"/><Relationship Id="rId349" Type="http://schemas.openxmlformats.org/officeDocument/2006/relationships/hyperlink" Target="http://www.sec.gov/Archives/edgar/data/1584509/000158450914000122/ex1077revisedformofdsuawar.htmv" TargetMode="External"/><Relationship Id="rId350" Type="http://schemas.openxmlformats.org/officeDocument/2006/relationships/hyperlink" Target="http://www.sec.gov/Archives/edgar/data/1584509/000158450914000122/ex1077revisedformofdsuawar.htmv" TargetMode="External"/><Relationship Id="rId351" Type="http://schemas.openxmlformats.org/officeDocument/2006/relationships/hyperlink" Target="http://www.sec.gov/Archives/edgar/data/1584509/000158450914000122/ex1077revisedformofdsuawar.htmv" TargetMode="External"/><Relationship Id="rId352" Type="http://schemas.openxmlformats.org/officeDocument/2006/relationships/hyperlink" Target="http://www.sec.gov/Archives/edgar/data/1584509/000158450914000122/ex1077revisedformofdsuawar.htmv" TargetMode="External"/><Relationship Id="rId353" Type="http://schemas.openxmlformats.org/officeDocument/2006/relationships/hyperlink" Target="http://www.sec.gov/Archives/edgar/data/1584509/000158450914000122/ex1077revisedformofdsuawar.htm" TargetMode="External"/><Relationship Id="rId354" Type="http://schemas.openxmlformats.org/officeDocument/2006/relationships/hyperlink" Target="http://www.sec.gov/Archives/edgar/data/1584509/000158450915000089/ex104dsuagreement.htm" TargetMode="External"/><Relationship Id="rId355" Type="http://schemas.openxmlformats.org/officeDocument/2006/relationships/hyperlink" Target="http://www.sec.gov/Archives/edgar/data/1584509/000158450915000089/ex104dsuagreement.htm" TargetMode="External"/><Relationship Id="rId356" Type="http://schemas.openxmlformats.org/officeDocument/2006/relationships/hyperlink" Target="http://www.sec.gov/Archives/edgar/data/1584509/000158450915000089/ex104dsuagreement.htm" TargetMode="External"/><Relationship Id="rId357" Type="http://schemas.openxmlformats.org/officeDocument/2006/relationships/hyperlink" Target="http://www.sec.gov/Archives/edgar/data/1584509/000158450915000089/ex104dsuagreement.htm" TargetMode="External"/><Relationship Id="rId358" Type="http://schemas.openxmlformats.org/officeDocument/2006/relationships/hyperlink" Target="http://www.sec.gov/Archives/edgar/data/1584509/000158450915000089/ex104dsuagreement.htm" TargetMode="External"/><Relationship Id="rId359" Type="http://schemas.openxmlformats.org/officeDocument/2006/relationships/hyperlink" Target="http://www.sec.gov/Archives/edgar/data/1584509/000158450915000215/ex1069aircrafttimesharinga.htm" TargetMode="External"/><Relationship Id="rId360" Type="http://schemas.openxmlformats.org/officeDocument/2006/relationships/hyperlink" Target="http://www.sec.gov/Archives/edgar/data/1584509/000158450915000215/ex1069aircrafttimesharinga.htm" TargetMode="External"/><Relationship Id="rId361" Type="http://schemas.openxmlformats.org/officeDocument/2006/relationships/hyperlink" Target="http://www.sec.gov/Archives/edgar/data/1584509/000158450915000215/ex1069aircrafttimesharinga.htm" TargetMode="External"/><Relationship Id="rId362" Type="http://schemas.openxmlformats.org/officeDocument/2006/relationships/hyperlink" Target="http://www.sec.gov/Archives/edgar/data/1584509/000158450915000215/ex1069aircrafttimesharinga.htm" TargetMode="External"/><Relationship Id="rId363" Type="http://schemas.openxmlformats.org/officeDocument/2006/relationships/hyperlink" Target="http://www.sec.gov/Archives/edgar/data/1584509/000158450915000215/ex1069aircrafttimesharinga.htm" TargetMode="External"/><Relationship Id="rId364" Type="http://schemas.openxmlformats.org/officeDocument/2006/relationships/hyperlink" Target="http://www.sec.gov/Archives/edgar/data/1584509/000119312519263370/d815967dex101.htm" TargetMode="External"/><Relationship Id="rId365" Type="http://schemas.openxmlformats.org/officeDocument/2006/relationships/hyperlink" Target="http://www.sec.gov/Archives/edgar/data/1584509/000119312519263370/d815967dex101.htm" TargetMode="External"/><Relationship Id="rId366" Type="http://schemas.openxmlformats.org/officeDocument/2006/relationships/hyperlink" Target="http://www.sec.gov/Archives/edgar/data/1584509/000119312519263370/d815967dex101.htm" TargetMode="External"/><Relationship Id="rId367" Type="http://schemas.openxmlformats.org/officeDocument/2006/relationships/hyperlink" Target="http://www.sec.gov/Archives/edgar/data/1584509/000158450921000046/ex1032021q1xamendmenttoste.htm" TargetMode="External"/><Relationship Id="rId368" Type="http://schemas.openxmlformats.org/officeDocument/2006/relationships/hyperlink" Target="http://www.sec.gov/Archives/edgar/data/1584509/000158450921000046/ex1032021q1xamendmenttoste.htm" TargetMode="External"/><Relationship Id="rId369" Type="http://schemas.openxmlformats.org/officeDocument/2006/relationships/hyperlink" Target="http://www.sec.gov/Archives/edgar/data/1584509/000158450921000046/ex1032021q1xamendmenttoste.htm" TargetMode="External"/><Relationship Id="rId370" Type="http://schemas.openxmlformats.org/officeDocument/2006/relationships/hyperlink" Target="http://www.sec.gov/Archives/edgar/data/1584509/000158450920000276/ex101registrationrightsagr.htm" TargetMode="External"/><Relationship Id="rId371" Type="http://schemas.openxmlformats.org/officeDocument/2006/relationships/hyperlink" Target="http://www.sec.gov/Archives/edgar/data/1584509/000158450920000276/ex101registrationrightsagr.htm" TargetMode="External"/><Relationship Id="rId372" Type="http://schemas.openxmlformats.org/officeDocument/2006/relationships/hyperlink" Target="http://www.sec.gov/Archives/edgar/data/1584509/000158450920000276/ex101registrationrightsagr.htm" TargetMode="External"/><Relationship Id="rId373" Type="http://schemas.openxmlformats.org/officeDocument/2006/relationships/hyperlink" Target="https://www.sec.gov/Archives/edgar/data/1584509/000158450922000236/ex10872022armkxamendmentnu.htm" TargetMode="External"/><Relationship Id="rId374" Type="http://schemas.openxmlformats.org/officeDocument/2006/relationships/hyperlink" Target="https://www.sec.gov/Archives/edgar/data/1584509/000158450922000236/ex10872022armkxamendmentnu.htm" TargetMode="External"/><Relationship Id="rId375" Type="http://schemas.openxmlformats.org/officeDocument/2006/relationships/hyperlink" Target="https://www.sec.gov/Archives/edgar/data/1584509/000158450922000236/ex10872022armkxamendmentnu.htm" TargetMode="External"/><Relationship Id="rId376" Type="http://schemas.openxmlformats.org/officeDocument/2006/relationships/hyperlink" Target="https://www.sec.gov/Archives/edgar/data/1584509/000158450922000236/ex10872022armkxamendmentnu.htm" TargetMode="External"/><Relationship Id="rId377" Type="http://schemas.openxmlformats.org/officeDocument/2006/relationships/hyperlink" Target="https://www.sec.gov/Archives/edgar/data/1584509/000158450922000236/ex10872022armkxamendmentnu.htm" TargetMode="External"/><Relationship Id="rId378" Type="http://schemas.openxmlformats.org/officeDocument/2006/relationships/hyperlink" Target="https://www.sec.gov/Archives/edgar/data/1584509/000158450922000236/ex10872022armkxamendmentnu.htm" TargetMode="External"/><Relationship Id="rId379" Type="http://schemas.openxmlformats.org/officeDocument/2006/relationships/hyperlink" Target="https://www.sec.gov/Archives/edgar/data/1584509/000158450922000236/ex10872022armkxamendmentnu.htm" TargetMode="External"/><Relationship Id="rId380" Type="http://schemas.openxmlformats.org/officeDocument/2006/relationships/hyperlink" Target="https://www.sec.gov/Archives/edgar/data/1584509/000158450922000236/ex10882022armkxfy23eltstoc.htm" TargetMode="External"/><Relationship Id="rId381" Type="http://schemas.openxmlformats.org/officeDocument/2006/relationships/hyperlink" Target="https://www.sec.gov/Archives/edgar/data/1584509/000158450922000236/ex10882022armkxfy23eltstoc.htm" TargetMode="External"/><Relationship Id="rId382" Type="http://schemas.openxmlformats.org/officeDocument/2006/relationships/hyperlink" Target="https://www.sec.gov/Archives/edgar/data/1584509/000158450922000236/ex10882022armkxfy23eltstoc.htm" TargetMode="External"/><Relationship Id="rId383" Type="http://schemas.openxmlformats.org/officeDocument/2006/relationships/hyperlink" Target="https://www.sec.gov/Archives/edgar/data/1584509/000158450922000236/ex10882022armkxfy23eltstoc.htm" TargetMode="External"/><Relationship Id="rId384" Type="http://schemas.openxmlformats.org/officeDocument/2006/relationships/hyperlink" Target="https://www.sec.gov/Archives/edgar/data/1584509/000158450922000236/ex10882022armkxfy23eltstoc.htm" TargetMode="External"/><Relationship Id="rId385" Type="http://schemas.openxmlformats.org/officeDocument/2006/relationships/hyperlink" Target="https://www.sec.gov/Archives/edgar/data/1584509/000158450922000236/ex10882022armkxfy23eltstoc.htm" TargetMode="External"/><Relationship Id="rId386" Type="http://schemas.openxmlformats.org/officeDocument/2006/relationships/hyperlink" Target="https://www.sec.gov/Archives/edgar/data/1584509/000158450922000236/ex10882022armkxfy23eltstoc.htm" TargetMode="External"/><Relationship Id="rId387" Type="http://schemas.openxmlformats.org/officeDocument/2006/relationships/hyperlink" Target="https://www.sec.gov/Archives/edgar/data/1584509/000158450922000236/ex10892022armkxfy23eltrsug.htm" TargetMode="External"/><Relationship Id="rId388" Type="http://schemas.openxmlformats.org/officeDocument/2006/relationships/hyperlink" Target="https://www.sec.gov/Archives/edgar/data/1584509/000158450922000236/ex10892022armkxfy23eltrsug.htm" TargetMode="External"/><Relationship Id="rId389" Type="http://schemas.openxmlformats.org/officeDocument/2006/relationships/hyperlink" Target="https://www.sec.gov/Archives/edgar/data/1584509/000158450922000236/ex10892022armkxfy23eltrsug.htm" TargetMode="External"/><Relationship Id="rId390" Type="http://schemas.openxmlformats.org/officeDocument/2006/relationships/hyperlink" Target="https://www.sec.gov/Archives/edgar/data/1584509/000158450922000236/ex10892022armkxfy23eltrsug.htm" TargetMode="External"/><Relationship Id="rId391" Type="http://schemas.openxmlformats.org/officeDocument/2006/relationships/hyperlink" Target="https://www.sec.gov/Archives/edgar/data/1584509/000158450922000236/ex10892022armkxfy23eltrsug.htm" TargetMode="External"/><Relationship Id="rId392" Type="http://schemas.openxmlformats.org/officeDocument/2006/relationships/hyperlink" Target="https://www.sec.gov/Archives/edgar/data/1584509/000158450922000236/ex10892022armkxfy23eltrsug.htm" TargetMode="External"/><Relationship Id="rId393" Type="http://schemas.openxmlformats.org/officeDocument/2006/relationships/hyperlink" Target="https://www.sec.gov/Archives/edgar/data/1584509/000158450922000236/ex10902022armkxfy23eltpsug.htm" TargetMode="External"/><Relationship Id="rId394" Type="http://schemas.openxmlformats.org/officeDocument/2006/relationships/hyperlink" Target="https://www.sec.gov/Archives/edgar/data/1584509/000158450922000236/ex10902022armkxfy23eltpsug.htm" TargetMode="External"/><Relationship Id="rId395" Type="http://schemas.openxmlformats.org/officeDocument/2006/relationships/hyperlink" Target="https://www.sec.gov/Archives/edgar/data/1584509/000158450922000236/ex10902022armkxfy23eltpsug.htm" TargetMode="External"/><Relationship Id="rId396" Type="http://schemas.openxmlformats.org/officeDocument/2006/relationships/hyperlink" Target="https://www.sec.gov/Archives/edgar/data/1584509/000158450922000236/ex10902022armkxfy23eltpsug.htm" TargetMode="External"/><Relationship Id="rId397" Type="http://schemas.openxmlformats.org/officeDocument/2006/relationships/hyperlink" Target="https://www.sec.gov/Archives/edgar/data/1584509/000158450922000236/ex10902022armkxfy23eltpsug.htm" TargetMode="External"/><Relationship Id="rId398" Type="http://schemas.openxmlformats.org/officeDocument/2006/relationships/hyperlink" Target="https://www.sec.gov/Archives/edgar/data/1584509/000158450922000236/ex10902022armkxfy23eltpsug.htm" TargetMode="External"/><Relationship Id="rId399" Type="http://schemas.openxmlformats.org/officeDocument/2006/relationships/hyperlink" Target="https://www.sec.gov/Archives/edgar/data/1584509/000158450922000236/ex10902022armkxfy23eltpsug.htm" TargetMode="External"/><Relationship Id="rId400" Type="http://schemas.openxmlformats.org/officeDocument/2006/relationships/hyperlink" Target="https://www.sec.gov/Archives/edgar/data/1584509/000158450922000236/ex10912022armkxfy23ceopsug.htm" TargetMode="External"/><Relationship Id="rId401" Type="http://schemas.openxmlformats.org/officeDocument/2006/relationships/hyperlink" Target="https://www.sec.gov/Archives/edgar/data/1584509/000158450922000236/ex10912022armkxfy23ceopsug.htm" TargetMode="External"/><Relationship Id="rId402" Type="http://schemas.openxmlformats.org/officeDocument/2006/relationships/hyperlink" Target="https://www.sec.gov/Archives/edgar/data/1584509/000158450922000236/ex10912022armkxfy23ceopsug.htm" TargetMode="External"/><Relationship Id="rId403" Type="http://schemas.openxmlformats.org/officeDocument/2006/relationships/hyperlink" Target="https://www.sec.gov/Archives/edgar/data/1584509/000158450922000236/ex10912022armkxfy23ceopsug.htm" TargetMode="External"/><Relationship Id="rId404" Type="http://schemas.openxmlformats.org/officeDocument/2006/relationships/hyperlink" Target="https://www.sec.gov/Archives/edgar/data/1584509/000158450922000236/ex10912022armkxfy23ceopsug.htm" TargetMode="External"/><Relationship Id="rId405" Type="http://schemas.openxmlformats.org/officeDocument/2006/relationships/hyperlink" Target="https://www.sec.gov/Archives/edgar/data/1584509/000158450922000236/ex10912022armkxfy23ceopsug.htm" TargetMode="External"/><Relationship Id="rId406" Type="http://schemas.openxmlformats.org/officeDocument/2006/relationships/hyperlink" Target="https://www.sec.gov/Archives/edgar/data/1584509/000158450922000236/ex10912022armkxfy23ceopsug.htm" TargetMode="External"/><Relationship Id="rId407" Type="http://schemas.openxmlformats.org/officeDocument/2006/relationships/hyperlink" Target="https://www.sec.gov/Archives/edgar/data/1584509/000158450922000236/ex10922022armkxfy23ceorsug.htm" TargetMode="External"/><Relationship Id="rId408" Type="http://schemas.openxmlformats.org/officeDocument/2006/relationships/hyperlink" Target="https://www.sec.gov/Archives/edgar/data/1584509/000158450922000236/ex10922022armkxfy23ceorsug.htm" TargetMode="External"/><Relationship Id="rId409" Type="http://schemas.openxmlformats.org/officeDocument/2006/relationships/hyperlink" Target="https://www.sec.gov/Archives/edgar/data/1584509/000158450922000236/ex10922022armkxfy23ceorsug.htm" TargetMode="External"/><Relationship Id="rId410" Type="http://schemas.openxmlformats.org/officeDocument/2006/relationships/hyperlink" Target="https://www.sec.gov/Archives/edgar/data/1584509/000158450922000236/ex10922022armkxfy23ceorsug.htm" TargetMode="External"/><Relationship Id="rId411" Type="http://schemas.openxmlformats.org/officeDocument/2006/relationships/hyperlink" Target="https://www.sec.gov/Archives/edgar/data/1584509/000158450922000236/ex10922022armkxfy23ceorsug.htm" TargetMode="External"/><Relationship Id="rId412" Type="http://schemas.openxmlformats.org/officeDocument/2006/relationships/hyperlink" Target="https://www.sec.gov/Archives/edgar/data/1584509/000158450922000236/ex10922022armkxfy23ceorsug.htm" TargetMode="External"/><Relationship Id="rId413" Type="http://schemas.openxmlformats.org/officeDocument/2006/relationships/hyperlink" Target="https://www.sec.gov/Archives/edgar/data/1584509/000158450922000236/ex10932022armkxfy23ceostoc.htm" TargetMode="External"/><Relationship Id="rId414" Type="http://schemas.openxmlformats.org/officeDocument/2006/relationships/hyperlink" Target="https://www.sec.gov/Archives/edgar/data/1584509/000158450922000236/ex10932022armkxfy23ceostoc.htm" TargetMode="External"/><Relationship Id="rId415" Type="http://schemas.openxmlformats.org/officeDocument/2006/relationships/hyperlink" Target="https://www.sec.gov/Archives/edgar/data/1584509/000158450922000236/ex10932022armkxfy23ceostoc.htm" TargetMode="External"/><Relationship Id="rId416" Type="http://schemas.openxmlformats.org/officeDocument/2006/relationships/hyperlink" Target="https://www.sec.gov/Archives/edgar/data/1584509/000158450922000236/ex10932022armkxfy23ceostoc.htm" TargetMode="External"/><Relationship Id="rId417" Type="http://schemas.openxmlformats.org/officeDocument/2006/relationships/hyperlink" Target="https://www.sec.gov/Archives/edgar/data/1584509/000158450922000236/ex10932022armkxfy23ceostoc.htm" TargetMode="External"/><Relationship Id="rId418" Type="http://schemas.openxmlformats.org/officeDocument/2006/relationships/hyperlink" Target="https://www.sec.gov/Archives/edgar/data/1584509/000158450922000236/ex10932022armkxfy23ceostoc.htm" TargetMode="External"/><Relationship Id="rId419" Type="http://schemas.openxmlformats.org/officeDocument/2006/relationships/hyperlink" Target="https://www.sec.gov/Archives/edgar/data/1584509/000158450922000236/ex10932022armkxfy23ceostoc.htm" TargetMode="External"/><Relationship Id="rId420" Type="http://schemas.openxmlformats.org/officeDocument/2006/relationships/hyperlink" Target="https://www.sec.gov/Archives/edgar/data/1584509/000158450922000236/ex10942022armkxformofsched.htm" TargetMode="External"/><Relationship Id="rId421" Type="http://schemas.openxmlformats.org/officeDocument/2006/relationships/hyperlink" Target="https://www.sec.gov/Archives/edgar/data/1584509/000158450922000236/ex10942022armkxformofsched.htm" TargetMode="External"/><Relationship Id="rId422" Type="http://schemas.openxmlformats.org/officeDocument/2006/relationships/hyperlink" Target="https://www.sec.gov/Archives/edgar/data/1584509/000158450922000236/ex10942022armkxformofsched.htm" TargetMode="External"/><Relationship Id="rId423" Type="http://schemas.openxmlformats.org/officeDocument/2006/relationships/hyperlink" Target="https://www.sec.gov/Archives/edgar/data/1584509/000158450922000236/ex10942022armkxformofsched.htm" TargetMode="External"/><Relationship Id="rId424" Type="http://schemas.openxmlformats.org/officeDocument/2006/relationships/hyperlink" Target="https://www.sec.gov/Archives/edgar/data/1584509/000158450922000236/ex10942022armkxformofsched.htm" TargetMode="External"/><Relationship Id="rId425" Type="http://schemas.openxmlformats.org/officeDocument/2006/relationships/hyperlink" Target="https://www.sec.gov/Archives/edgar/data/1584509/000158450922000236/ex10942022armkxformofsched.htm" TargetMode="External"/><Relationship Id="rId426" Type="http://schemas.openxmlformats.org/officeDocument/2006/relationships/hyperlink" Target="https://www.sec.gov/Archives/edgar/data/1584509/000158450922000236/ex10942022armkxformofsched.htm" TargetMode="External"/><Relationship Id="rId427" Type="http://schemas.openxmlformats.org/officeDocument/2006/relationships/hyperlink" Target="https://www.sec.gov/Archives/edgar/data/1584509/000158450922000244/ex1012023armkxletteragreem.htm" TargetMode="External"/><Relationship Id="rId428" Type="http://schemas.openxmlformats.org/officeDocument/2006/relationships/hyperlink" Target="https://www.sec.gov/Archives/edgar/data/1584509/000158450922000244/ex1012023armkxletteragreem.htm" TargetMode="External"/><Relationship Id="rId429" Type="http://schemas.openxmlformats.org/officeDocument/2006/relationships/hyperlink" Target="https://www.sec.gov/Archives/edgar/data/1584509/000158450922000244/ex1012023armkxletteragreem.htm" TargetMode="External"/><Relationship Id="rId430" Type="http://schemas.openxmlformats.org/officeDocument/2006/relationships/hyperlink" Target="https://www.sec.gov/Archives/edgar/data/1584509/000158450922000244/ex1012023armkxletteragreem.htm" TargetMode="External"/><Relationship Id="rId431" Type="http://schemas.openxmlformats.org/officeDocument/2006/relationships/hyperlink" Target="https://www.sec.gov/Archives/edgar/data/1584509/000119312522311785/d301987ddef14a.htm" TargetMode="External"/><Relationship Id="rId432" Type="http://schemas.openxmlformats.org/officeDocument/2006/relationships/hyperlink" Target="https://www.sec.gov/Archives/edgar/data/1584509/000119312522311785/d301987ddef14a.htm" TargetMode="External"/><Relationship Id="rId433" Type="http://schemas.openxmlformats.org/officeDocument/2006/relationships/hyperlink" Target="https://www.sec.gov/Archives/edgar/data/1584509/000119312522311785/d301987ddef14a.htm" TargetMode="External"/><Relationship Id="rId434" Type="http://schemas.openxmlformats.org/officeDocument/2006/relationships/hyperlink" Target="https://www.sec.gov/Archives/edgar/data/1584509/000119312522311785/d301987ddef14a.htm" TargetMode="External"/><Relationship Id="rId435" Type="http://schemas.openxmlformats.org/officeDocument/2006/relationships/hyperlink" Target="https://www.sec.gov/Archives/edgar/data/1584509/000158450923000108/ex101formofannualdsugranta.htm" TargetMode="External"/><Relationship Id="rId436" Type="http://schemas.openxmlformats.org/officeDocument/2006/relationships/hyperlink" Target="https://www.sec.gov/Archives/edgar/data/1584509/000158450923000108/ex101formofannualdsugranta.htm" TargetMode="External"/><Relationship Id="rId437" Type="http://schemas.openxmlformats.org/officeDocument/2006/relationships/hyperlink" Target="https://www.sec.gov/Archives/edgar/data/1584509/000158450923000108/ex101formofannualdsugranta.htm" TargetMode="External"/><Relationship Id="rId438" Type="http://schemas.openxmlformats.org/officeDocument/2006/relationships/hyperlink" Target="https://www.sec.gov/Archives/edgar/data/1584509/000158450923000108/ex101formofannualdsugranta.htm" TargetMode="External"/><Relationship Id="rId439" Type="http://schemas.openxmlformats.org/officeDocument/2006/relationships/hyperlink" Target="https://www.sec.gov/Archives/edgar/data/1584509/000158450923000108/ex101formofannualdsugranta.htm" TargetMode="External"/><Relationship Id="rId440" Type="http://schemas.openxmlformats.org/officeDocument/2006/relationships/hyperlink" Target="https://www.sec.gov/Archives/edgar/data/1584509/000158450923000108/ex101formofannualdsugranta.htm" TargetMode="External"/><Relationship Id="rId441" Type="http://schemas.openxmlformats.org/officeDocument/2006/relationships/hyperlink" Target="https://www.sec.gov/Archives/edgar/data/1584509/000158450923000108/ex101formofannualdsugranta.htm" TargetMode="External"/><Relationship Id="rId442" Type="http://schemas.openxmlformats.org/officeDocument/2006/relationships/hyperlink" Target="https://www.sec.gov/Archives/edgar/data/1584509/000158450923000108/ex102formofquarterlydeferr.htm" TargetMode="External"/><Relationship Id="rId443" Type="http://schemas.openxmlformats.org/officeDocument/2006/relationships/hyperlink" Target="https://www.sec.gov/Archives/edgar/data/1584509/000158450923000108/ex102formofquarterlydeferr.htm" TargetMode="External"/><Relationship Id="rId444" Type="http://schemas.openxmlformats.org/officeDocument/2006/relationships/hyperlink" Target="https://www.sec.gov/Archives/edgar/data/1584509/000158450923000108/ex102formofquarterlydeferr.htm" TargetMode="External"/><Relationship Id="rId445" Type="http://schemas.openxmlformats.org/officeDocument/2006/relationships/hyperlink" Target="https://www.sec.gov/Archives/edgar/data/1584509/000158450923000108/ex102formofquarterlydeferr.htm" TargetMode="External"/><Relationship Id="rId446" Type="http://schemas.openxmlformats.org/officeDocument/2006/relationships/hyperlink" Target="https://www.sec.gov/Archives/edgar/data/1584509/000158450923000108/ex102formofquarterlydeferr.htm" TargetMode="External"/><Relationship Id="rId447" Type="http://schemas.openxmlformats.org/officeDocument/2006/relationships/hyperlink" Target="https://www.sec.gov/Archives/edgar/data/1584509/000158450923000108/ex102formofquarterlydeferr.htm" TargetMode="External"/><Relationship Id="rId448" Type="http://schemas.openxmlformats.org/officeDocument/2006/relationships/hyperlink" Target="https://www.sec.gov/Archives/edgar/data/1584509/000158450923000108/ex102formofquarterlydeferr.htm" TargetMode="External"/><Relationship Id="rId449" Type="http://schemas.openxmlformats.org/officeDocument/2006/relationships/hyperlink" Target="https://www.sec.gov/Archives/edgar/data/1584509/000158450923000108/ex102formofquarterlydeferr.htm" TargetMode="External"/><Relationship Id="rId450" Type="http://schemas.openxmlformats.org/officeDocument/2006/relationships/hyperlink" Target="https://www.sec.gov/Archives/edgar/data/1584509/000158450923000108/ex102formofquarterlydeferr.htm" TargetMode="External"/><Relationship Id="rId451" Type="http://schemas.openxmlformats.org/officeDocument/2006/relationships/hyperlink" Target="https://www.sec.gov/Archives/edgar/data/1584509/000158450923000108/ex102formofquarterlydeferr.htm" TargetMode="External"/><Relationship Id="rId452" Type="http://schemas.openxmlformats.org/officeDocument/2006/relationships/hyperlink" Target="https://www.sec.gov/Archives/edgar/data/1584509/000158450923000108/ex102formofquarterlydeferr.htm" TargetMode="External"/><Relationship Id="rId453" Type="http://schemas.openxmlformats.org/officeDocument/2006/relationships/hyperlink" Target="https://www.sec.gov/Archives/edgar/data/1584509/000158450923000108/ex102formofquarterlydeferr.htm" TargetMode="External"/><Relationship Id="rId454" Type="http://schemas.openxmlformats.org/officeDocument/2006/relationships/hyperlink" Target="https://www.sec.gov/Archives/edgar/data/1584509/000158450923000154/ex103-amendedandrestatedar.htm" TargetMode="External"/><Relationship Id="rId455" Type="http://schemas.openxmlformats.org/officeDocument/2006/relationships/hyperlink" Target="https://www.sec.gov/Archives/edgar/data/1584509/000158450923000154/ex103-amendedandrestatedar.htm" TargetMode="External"/><Relationship Id="rId456" Type="http://schemas.openxmlformats.org/officeDocument/2006/relationships/hyperlink" Target="https://www.sec.gov/Archives/edgar/data/1584509/000158450923000154/ex103-amendedandrestatedar.htm" TargetMode="External"/><Relationship Id="rId457" Type="http://schemas.openxmlformats.org/officeDocument/2006/relationships/hyperlink" Target="https://www.sec.gov/Archives/edgar/data/1584509/000158450923000154/ex103-amendedandrestatedar.htm" TargetMode="External"/><Relationship Id="rId458" Type="http://schemas.openxmlformats.org/officeDocument/2006/relationships/hyperlink" Target="https://www.sec.gov/Archives/edgar/data/1584509/000162828023033364/exhibit101-aramarkclosing8.htm" TargetMode="External"/><Relationship Id="rId459" Type="http://schemas.openxmlformats.org/officeDocument/2006/relationships/hyperlink" Target="https://www.sec.gov/Archives/edgar/data/1584509/000162828023033364/exhibit101-aramarkclosing8.htm" TargetMode="External"/><Relationship Id="rId460" Type="http://schemas.openxmlformats.org/officeDocument/2006/relationships/hyperlink" Target="https://www.sec.gov/Archives/edgar/data/1584509/000162828023033364/exhibit101-aramarkclosing8.htm" TargetMode="External"/><Relationship Id="rId461" Type="http://schemas.openxmlformats.org/officeDocument/2006/relationships/hyperlink" Target="https://www.sec.gov/Archives/edgar/data/1584509/000162828023033364/exhibit101-aramarkclosing8.htm" TargetMode="External"/><Relationship Id="rId462" Type="http://schemas.openxmlformats.org/officeDocument/2006/relationships/hyperlink" Target="https://www.sec.gov/Archives/edgar/data/1584509/000162828023033364/exhibit102-aramarkclosing8.htm" TargetMode="External"/><Relationship Id="rId463" Type="http://schemas.openxmlformats.org/officeDocument/2006/relationships/hyperlink" Target="https://www.sec.gov/Archives/edgar/data/1584509/000162828023033364/exhibit102-aramarkclosing8.htm" TargetMode="External"/><Relationship Id="rId464" Type="http://schemas.openxmlformats.org/officeDocument/2006/relationships/hyperlink" Target="https://www.sec.gov/Archives/edgar/data/1584509/000162828023033364/exhibit102-aramarkclosing8.htm" TargetMode="External"/><Relationship Id="rId465" Type="http://schemas.openxmlformats.org/officeDocument/2006/relationships/hyperlink" Target="https://www.sec.gov/Archives/edgar/data/1584509/000162828023033364/exhibit102-aramarkclosing8.htm" TargetMode="External"/><Relationship Id="rId466" Type="http://schemas.openxmlformats.org/officeDocument/2006/relationships/hyperlink" Target="https://www.sec.gov/Archives/edgar/data/1584509/000162828023033364/exhibit102-aramarkclosing8.htm" TargetMode="External"/><Relationship Id="rId467" Type="http://schemas.openxmlformats.org/officeDocument/2006/relationships/hyperlink" Target="https://www.sec.gov/Archives/edgar/data/1584509/000162828023033364/exhibit102-aramarkclosing8.htm" TargetMode="External"/><Relationship Id="rId468" Type="http://schemas.openxmlformats.org/officeDocument/2006/relationships/hyperlink" Target="https://www.sec.gov/Archives/edgar/data/1584509/000162828023033364/exhibit103-aramarkclosing8.htm" TargetMode="External"/><Relationship Id="rId469" Type="http://schemas.openxmlformats.org/officeDocument/2006/relationships/hyperlink" Target="https://www.sec.gov/Archives/edgar/data/1584509/000162828023033364/exhibit103-aramarkclosing8.htm" TargetMode="External"/><Relationship Id="rId470" Type="http://schemas.openxmlformats.org/officeDocument/2006/relationships/hyperlink" Target="https://www.sec.gov/Archives/edgar/data/1584509/000162828023033364/exhibit103-aramarkclosing8.htm" TargetMode="External"/><Relationship Id="rId471" Type="http://schemas.openxmlformats.org/officeDocument/2006/relationships/hyperlink" Target="https://www.sec.gov/Archives/edgar/data/1584509/000162828023033364/exhibit103-aramarkclosing8.htm" TargetMode="External"/><Relationship Id="rId472" Type="http://schemas.openxmlformats.org/officeDocument/2006/relationships/image" Target="media/image3.png"/><Relationship Id="rId473" Type="http://schemas.openxmlformats.org/officeDocument/2006/relationships/fontTable" Target="fontTable.xml"/><Relationship Id="rId4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109995</Words>
  <Characters>606614</Characters>
  <CharactersWithSpaces>712460</CharactersWithSpaces>
  <Paragraphs>6542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