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7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7"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87" w:lineRule="exact"/>
        <w:rPr>
          <w:sz w:val="24"/>
          <w:szCs w:val="24"/>
          <w:color w:val="auto"/>
        </w:rPr>
      </w:pPr>
    </w:p>
    <w:p>
      <w:pPr>
        <w:ind w:left="5340" w:right="980" w:hanging="4305"/>
        <w:spacing w:after="0" w:line="313" w:lineRule="auto"/>
        <w:tabs>
          <w:tab w:leader="none" w:pos="1429"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or</w:t>
      </w:r>
    </w:p>
    <w:p>
      <w:pPr>
        <w:ind w:left="1220" w:hanging="355"/>
        <w:spacing w:after="0"/>
        <w:tabs>
          <w:tab w:leader="none" w:pos="122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67" w:lineRule="exact"/>
        <w:rPr>
          <w:rFonts w:ascii="Wingdings" w:cs="Wingdings" w:eastAsia="Wingdings" w:hAnsi="Wingdings"/>
          <w:sz w:val="18"/>
          <w:szCs w:val="18"/>
          <w:b w:val="1"/>
          <w:bCs w:val="1"/>
          <w:color w:val="auto"/>
        </w:rPr>
      </w:pPr>
    </w:p>
    <w:p>
      <w:pPr>
        <w:ind w:left="3680"/>
        <w:spacing w:after="0"/>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___________________________________________</w:t>
      </w:r>
    </w:p>
    <w:p>
      <w:pPr>
        <w:spacing w:after="0" w:line="5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fiscal year ended September 30, 2022 Commission File Number: 001-36223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242570</wp:posOffset>
            </wp:positionV>
            <wp:extent cx="2468880" cy="625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68880" cy="6254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Aramark</w:t>
      </w:r>
    </w:p>
    <w:p>
      <w:pPr>
        <w:spacing w:after="0" w:line="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38" w:lineRule="exact"/>
        <w:rPr>
          <w:sz w:val="24"/>
          <w:szCs w:val="24"/>
          <w:color w:val="auto"/>
        </w:rPr>
      </w:pPr>
    </w:p>
    <w:tbl>
      <w:tblPr>
        <w:tblLayout w:type="fixed"/>
        <w:tblInd w:w="2080" w:type="dxa"/>
        <w:tblCellMar>
          <w:top w:w="0" w:type="dxa"/>
          <w:left w:w="0" w:type="dxa"/>
          <w:bottom w:w="0" w:type="dxa"/>
          <w:right w:w="0" w:type="dxa"/>
        </w:tblCellMar>
      </w:tblPr>
      <w:tr>
        <w:trPr>
          <w:trHeight w:val="229"/>
        </w:trPr>
        <w:tc>
          <w:tcPr>
            <w:tcW w:w="5220" w:type="dxa"/>
            <w:vAlign w:val="bottom"/>
          </w:tcPr>
          <w:p>
            <w:pPr>
              <w:jc w:val="center"/>
              <w:ind w:right="28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500" w:type="dxa"/>
            <w:vAlign w:val="bottom"/>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20-8236097</w:t>
            </w:r>
          </w:p>
        </w:tc>
      </w:tr>
      <w:tr>
        <w:trPr>
          <w:trHeight w:val="148"/>
        </w:trPr>
        <w:tc>
          <w:tcPr>
            <w:tcW w:w="5220" w:type="dxa"/>
            <w:vAlign w:val="bottom"/>
          </w:tcPr>
          <w:p>
            <w:pPr>
              <w:jc w:val="center"/>
              <w:ind w:right="2859"/>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1500" w:type="dxa"/>
            <w:vAlign w:val="bottom"/>
          </w:tcPr>
          <w:p>
            <w:pPr>
              <w:jc w:val="center"/>
              <w:ind w:left="121"/>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5220" w:type="dxa"/>
            <w:vAlign w:val="bottom"/>
          </w:tcPr>
          <w:p>
            <w:pPr>
              <w:jc w:val="center"/>
              <w:ind w:right="2859"/>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500" w:type="dxa"/>
            <w:vAlign w:val="bottom"/>
          </w:tcPr>
          <w:p>
            <w:pPr>
              <w:jc w:val="center"/>
              <w:ind w:left="101"/>
              <w:spacing w:after="0"/>
              <w:rPr>
                <w:sz w:val="20"/>
                <w:szCs w:val="20"/>
                <w:color w:val="auto"/>
              </w:rPr>
            </w:pPr>
            <w:r>
              <w:rPr>
                <w:rFonts w:ascii="Times New Roman" w:cs="Times New Roman" w:eastAsia="Times New Roman" w:hAnsi="Times New Roman"/>
                <w:sz w:val="14"/>
                <w:szCs w:val="14"/>
                <w:color w:val="auto"/>
              </w:rPr>
              <w:t>Identification Number)</w:t>
            </w:r>
          </w:p>
        </w:tc>
      </w:tr>
      <w:tr>
        <w:trPr>
          <w:trHeight w:val="231"/>
        </w:trPr>
        <w:tc>
          <w:tcPr>
            <w:tcW w:w="5220" w:type="dxa"/>
            <w:vAlign w:val="bottom"/>
          </w:tcPr>
          <w:p>
            <w:pPr>
              <w:jc w:val="center"/>
              <w:ind w:right="2859"/>
              <w:spacing w:after="0"/>
              <w:rPr>
                <w:sz w:val="20"/>
                <w:szCs w:val="20"/>
                <w:color w:val="auto"/>
              </w:rPr>
            </w:pPr>
            <w:r>
              <w:rPr>
                <w:rFonts w:ascii="Times New Roman" w:cs="Times New Roman" w:eastAsia="Times New Roman" w:hAnsi="Times New Roman"/>
                <w:sz w:val="18"/>
                <w:szCs w:val="18"/>
                <w:b w:val="1"/>
                <w:bCs w:val="1"/>
                <w:color w:val="auto"/>
                <w:w w:val="99"/>
              </w:rPr>
              <w:t>2400 Market Street</w:t>
            </w:r>
          </w:p>
        </w:tc>
        <w:tc>
          <w:tcPr>
            <w:tcW w:w="1500" w:type="dxa"/>
            <w:vAlign w:val="bottom"/>
          </w:tcPr>
          <w:p>
            <w:pPr>
              <w:spacing w:after="0"/>
              <w:rPr>
                <w:sz w:val="20"/>
                <w:szCs w:val="20"/>
                <w:color w:val="auto"/>
              </w:rPr>
            </w:pPr>
          </w:p>
        </w:tc>
      </w:tr>
      <w:tr>
        <w:trPr>
          <w:trHeight w:val="229"/>
        </w:trPr>
        <w:tc>
          <w:tcPr>
            <w:tcW w:w="52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Philadelphia, Pennsylvania</w:t>
            </w:r>
          </w:p>
        </w:tc>
        <w:tc>
          <w:tcPr>
            <w:tcW w:w="1500" w:type="dxa"/>
            <w:vAlign w:val="bottom"/>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19103</w:t>
            </w:r>
          </w:p>
        </w:tc>
      </w:tr>
      <w:tr>
        <w:trPr>
          <w:trHeight w:val="188"/>
        </w:trPr>
        <w:tc>
          <w:tcPr>
            <w:tcW w:w="5220" w:type="dxa"/>
            <w:vAlign w:val="bottom"/>
          </w:tcPr>
          <w:p>
            <w:pPr>
              <w:jc w:val="center"/>
              <w:ind w:right="285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500" w:type="dxa"/>
            <w:vAlign w:val="bottom"/>
          </w:tcPr>
          <w:p>
            <w:pPr>
              <w:jc w:val="center"/>
              <w:ind w:left="101"/>
              <w:spacing w:after="0"/>
              <w:rPr>
                <w:sz w:val="20"/>
                <w:szCs w:val="20"/>
                <w:color w:val="auto"/>
              </w:rPr>
            </w:pPr>
            <w:r>
              <w:rPr>
                <w:rFonts w:ascii="Times New Roman" w:cs="Times New Roman" w:eastAsia="Times New Roman" w:hAnsi="Times New Roman"/>
                <w:sz w:val="14"/>
                <w:szCs w:val="14"/>
                <w:color w:val="auto"/>
              </w:rPr>
              <w:t>(Zip Code)</w:t>
            </w:r>
          </w:p>
        </w:tc>
      </w:tr>
      <w:tr>
        <w:trPr>
          <w:trHeight w:val="388"/>
        </w:trPr>
        <w:tc>
          <w:tcPr>
            <w:tcW w:w="5220" w:type="dxa"/>
            <w:vAlign w:val="bottom"/>
          </w:tcPr>
          <w:p>
            <w:pPr>
              <w:jc w:val="right"/>
              <w:ind w:right="1039"/>
              <w:spacing w:after="0"/>
              <w:rPr>
                <w:sz w:val="20"/>
                <w:szCs w:val="20"/>
                <w:color w:val="auto"/>
              </w:rPr>
            </w:pPr>
            <w:r>
              <w:rPr>
                <w:rFonts w:ascii="Times New Roman" w:cs="Times New Roman" w:eastAsia="Times New Roman" w:hAnsi="Times New Roman"/>
                <w:sz w:val="18"/>
                <w:szCs w:val="18"/>
                <w:b w:val="1"/>
                <w:bCs w:val="1"/>
                <w:color w:val="auto"/>
              </w:rPr>
              <w:t>(215) 238-3000</w:t>
            </w:r>
          </w:p>
        </w:tc>
        <w:tc>
          <w:tcPr>
            <w:tcW w:w="1500" w:type="dxa"/>
            <w:vAlign w:val="bottom"/>
          </w:tcPr>
          <w:p>
            <w:pPr>
              <w:spacing w:after="0"/>
              <w:rPr>
                <w:sz w:val="24"/>
                <w:szCs w:val="24"/>
                <w:color w:val="auto"/>
              </w:rPr>
            </w:pPr>
          </w:p>
        </w:tc>
      </w:tr>
      <w:tr>
        <w:trPr>
          <w:trHeight w:val="220"/>
        </w:trPr>
        <w:tc>
          <w:tcPr>
            <w:tcW w:w="5220" w:type="dxa"/>
            <w:vAlign w:val="bottom"/>
          </w:tcPr>
          <w:p>
            <w:pPr>
              <w:jc w:val="center"/>
              <w:ind w:left="177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500" w:type="dxa"/>
            <w:vAlign w:val="bottom"/>
          </w:tcPr>
          <w:p>
            <w:pPr>
              <w:spacing w:after="0"/>
              <w:rPr>
                <w:sz w:val="19"/>
                <w:szCs w:val="19"/>
                <w:color w:val="auto"/>
              </w:rPr>
            </w:pPr>
          </w:p>
        </w:tc>
      </w:tr>
    </w:tbl>
    <w:p>
      <w:pPr>
        <w:spacing w:after="0" w:line="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7" w:lineRule="exact"/>
        <w:rPr>
          <w:sz w:val="24"/>
          <w:szCs w:val="24"/>
          <w:color w:val="auto"/>
        </w:rPr>
      </w:pPr>
    </w:p>
    <w:tbl>
      <w:tblPr>
        <w:tblLayout w:type="fixed"/>
        <w:tblInd w:w="1380" w:type="dxa"/>
        <w:tblCellMar>
          <w:top w:w="0" w:type="dxa"/>
          <w:left w:w="0" w:type="dxa"/>
          <w:bottom w:w="0" w:type="dxa"/>
          <w:right w:w="0" w:type="dxa"/>
        </w:tblCellMar>
      </w:tblPr>
      <w:tr>
        <w:trPr>
          <w:trHeight w:val="207"/>
        </w:trPr>
        <w:tc>
          <w:tcPr>
            <w:tcW w:w="5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7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5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r>
      <w:tr>
        <w:trPr>
          <w:trHeight w:val="250"/>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40" w:type="dxa"/>
            <w:vAlign w:val="bottom"/>
          </w:tcPr>
          <w:p>
            <w:pPr>
              <w:spacing w:after="0"/>
              <w:rPr>
                <w:sz w:val="21"/>
                <w:szCs w:val="21"/>
                <w:color w:val="auto"/>
              </w:rPr>
            </w:pP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ARMK</w:t>
            </w:r>
          </w:p>
        </w:tc>
        <w:tc>
          <w:tcPr>
            <w:tcW w:w="280" w:type="dxa"/>
            <w:vAlign w:val="bottom"/>
          </w:tcPr>
          <w:p>
            <w:pPr>
              <w:spacing w:after="0"/>
              <w:rPr>
                <w:sz w:val="21"/>
                <w:szCs w:val="21"/>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6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63"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63" w:lineRule="exact"/>
        <w:rPr>
          <w:sz w:val="24"/>
          <w:szCs w:val="24"/>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o</w:t>
      </w:r>
    </w:p>
    <w:p>
      <w:pPr>
        <w:spacing w:after="0" w:line="63"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15(d) of the Act.</w:t>
      </w:r>
    </w:p>
    <w:p>
      <w:pPr>
        <w:spacing w:after="0" w:line="63" w:lineRule="exact"/>
        <w:rPr>
          <w:sz w:val="24"/>
          <w:szCs w:val="24"/>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x</w:t>
      </w:r>
    </w:p>
    <w:p>
      <w:pPr>
        <w:spacing w:after="0" w:line="63" w:lineRule="exact"/>
        <w:rPr>
          <w:sz w:val="24"/>
          <w:szCs w:val="24"/>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 w:lineRule="exact"/>
        <w:rPr>
          <w:sz w:val="24"/>
          <w:szCs w:val="24"/>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o</w:t>
      </w:r>
    </w:p>
    <w:p>
      <w:pPr>
        <w:spacing w:after="0" w:line="63" w:lineRule="exact"/>
        <w:rPr>
          <w:sz w:val="24"/>
          <w:szCs w:val="24"/>
          <w:color w:val="auto"/>
        </w:rPr>
      </w:pPr>
    </w:p>
    <w:p>
      <w:pPr>
        <w:ind w:right="60" w:firstLine="445"/>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registrant was required to submit such files).</w:t>
      </w:r>
    </w:p>
    <w:p>
      <w:pPr>
        <w:spacing w:after="0" w:line="1" w:lineRule="exact"/>
        <w:rPr>
          <w:sz w:val="24"/>
          <w:szCs w:val="24"/>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o</w:t>
      </w:r>
    </w:p>
    <w:p>
      <w:pPr>
        <w:spacing w:after="0" w:line="63" w:lineRule="exact"/>
        <w:rPr>
          <w:sz w:val="24"/>
          <w:szCs w:val="24"/>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p>
      <w:pPr>
        <w:ind w:left="100"/>
        <w:spacing w:after="0"/>
        <w:tabs>
          <w:tab w:leader="none" w:pos="1920" w:val="left"/>
          <w:tab w:leader="none" w:pos="3700" w:val="left"/>
          <w:tab w:leader="none" w:pos="5780" w:val="left"/>
          <w:tab w:leader="none" w:pos="8380" w:val="left"/>
          <w:tab w:leader="none" w:pos="1092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Accelerated filer</w:t>
      </w:r>
      <w:r>
        <w:rPr>
          <w:rFonts w:ascii="Wingdings" w:cs="Wingdings" w:eastAsia="Wingdings" w:hAnsi="Wingdings"/>
          <w:sz w:val="18"/>
          <w:szCs w:val="18"/>
          <w:b w:val="1"/>
          <w:bCs w:val="1"/>
          <w:color w:val="auto"/>
        </w:rPr>
        <w:tab/>
        <w:t xml:space="preserve">o </w:t>
      </w:r>
      <w:r>
        <w:rPr>
          <w:rFonts w:ascii="Times New Roman" w:cs="Times New Roman" w:eastAsia="Times New Roman" w:hAnsi="Times New Roman"/>
          <w:sz w:val="18"/>
          <w:szCs w:val="18"/>
          <w:color w:val="auto"/>
        </w:rPr>
        <w:t>Non-accelerated filer</w:t>
      </w:r>
      <w:r>
        <w:rPr>
          <w:rFonts w:ascii="Wingdings" w:cs="Wingdings" w:eastAsia="Wingdings" w:hAnsi="Wingdings"/>
          <w:sz w:val="18"/>
          <w:szCs w:val="18"/>
          <w:b w:val="1"/>
          <w:bCs w:val="1"/>
          <w:color w:val="auto"/>
        </w:rPr>
        <w:tab/>
        <w:t xml:space="preserve">o </w:t>
      </w:r>
      <w:r>
        <w:rPr>
          <w:rFonts w:ascii="Times New Roman" w:cs="Times New Roman" w:eastAsia="Times New Roman" w:hAnsi="Times New Roman"/>
          <w:sz w:val="18"/>
          <w:szCs w:val="18"/>
          <w:color w:val="auto"/>
        </w:rPr>
        <w:t>Smaller reporting company</w:t>
      </w:r>
      <w:r>
        <w:rPr>
          <w:rFonts w:ascii="Wingdings" w:cs="Wingdings" w:eastAsia="Wingdings" w:hAnsi="Wingdings"/>
          <w:sz w:val="18"/>
          <w:szCs w:val="18"/>
          <w:b w:val="1"/>
          <w:bCs w:val="1"/>
          <w:color w:val="auto"/>
        </w:rPr>
        <w:tab/>
        <w:t xml:space="preserve">o </w:t>
      </w:r>
      <w:r>
        <w:rPr>
          <w:rFonts w:ascii="Times New Roman" w:cs="Times New Roman" w:eastAsia="Times New Roman" w:hAnsi="Times New Roman"/>
          <w:sz w:val="18"/>
          <w:szCs w:val="18"/>
          <w:color w:val="auto"/>
        </w:rPr>
        <w:t>Emerging growth company</w:t>
      </w:r>
      <w:r>
        <w:rPr>
          <w:sz w:val="20"/>
          <w:szCs w:val="20"/>
          <w:color w:val="auto"/>
        </w:rPr>
        <w:tab/>
      </w:r>
      <w:r>
        <w:rPr>
          <w:rFonts w:ascii="Wingdings" w:cs="Wingdings" w:eastAsia="Wingdings" w:hAnsi="Wingdings"/>
          <w:sz w:val="17"/>
          <w:szCs w:val="17"/>
          <w:b w:val="1"/>
          <w:bCs w:val="1"/>
          <w:color w:val="auto"/>
        </w:rPr>
        <w:t>o</w:t>
      </w:r>
    </w:p>
    <w:p>
      <w:pPr>
        <w:spacing w:after="0" w:line="144" w:lineRule="exact"/>
        <w:rPr>
          <w:sz w:val="24"/>
          <w:szCs w:val="24"/>
          <w:color w:val="auto"/>
        </w:rPr>
      </w:pPr>
    </w:p>
    <w:p>
      <w:pPr>
        <w:ind w:right="60" w:firstLine="405"/>
        <w:spacing w:after="0" w:line="281"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 w:lineRule="exact"/>
        <w:rPr>
          <w:sz w:val="24"/>
          <w:szCs w:val="24"/>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8"/>
          <w:szCs w:val="18"/>
          <w:b w:val="1"/>
          <w:bCs w:val="1"/>
          <w:color w:val="auto"/>
        </w:rPr>
        <w:t>x</w:t>
      </w:r>
    </w:p>
    <w:p>
      <w:pPr>
        <w:spacing w:after="0" w:line="14" w:lineRule="exact"/>
        <w:rPr>
          <w:sz w:val="24"/>
          <w:szCs w:val="24"/>
          <w:color w:val="auto"/>
        </w:rPr>
      </w:pPr>
    </w:p>
    <w:p>
      <w:pPr>
        <w:ind w:left="420"/>
        <w:spacing w:after="0"/>
        <w:tabs>
          <w:tab w:leader="none" w:pos="8740" w:val="left"/>
          <w:tab w:leader="none" w:pos="94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13" w:right="379" w:bottom="1440" w:gutter="0" w:footer="0" w:header="0"/>
        </w:sectPr>
      </w:pPr>
    </w:p>
    <w:bookmarkStart w:id="1" w:name="page2"/>
    <w:bookmarkEnd w:id="1"/>
    <w:p>
      <w:pPr>
        <w:ind w:right="460" w:firstLine="405"/>
        <w:spacing w:after="0" w:line="281" w:lineRule="auto"/>
        <w:rPr>
          <w:sz w:val="20"/>
          <w:szCs w:val="20"/>
          <w:color w:val="auto"/>
        </w:rPr>
      </w:pPr>
      <w:r>
        <w:rPr>
          <w:rFonts w:ascii="Times New Roman" w:cs="Times New Roman" w:eastAsia="Times New Roman" w:hAnsi="Times New Roman"/>
          <w:sz w:val="18"/>
          <w:szCs w:val="18"/>
          <w:color w:val="auto"/>
        </w:rPr>
        <w:t>As of April 1, 2022, the aggregate market value of the common stock of the registrant held by non-affiliates of the registrant was approximately $9,829.8 million.</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October 28, 2022, the number of shares of the registrant's common stock outstanding is 258,744,250.</w:t>
      </w:r>
    </w:p>
    <w:p>
      <w:pPr>
        <w:spacing w:after="0" w:line="63"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6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Portions of the definitive proxy statement to be filed with the Securities and Exchange Commission pursuant to Regulation 14A relating to the registrant's 2023 Annual Meeting of Stockholders, to be held on February 3, 2023, will be incorporated by reference in this Form 10-K in response to portions of Part</w:t>
      </w:r>
    </w:p>
    <w:p>
      <w:pPr>
        <w:ind w:firstLine="8"/>
        <w:spacing w:after="0" w:line="260" w:lineRule="auto"/>
        <w:tabs>
          <w:tab w:leader="none" w:pos="27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definitive proxy statement will be filed with the Securities and Exchange Commission not later than 120 days after the registrant's fiscal year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60" w:type="dxa"/>
            <w:vAlign w:val="bottom"/>
            <w:tcBorders>
              <w:bottom w:val="single" w:sz="8" w:color="auto"/>
            </w:tcBorders>
            <w:gridSpan w:val="4"/>
          </w:tcPr>
          <w:p>
            <w:pPr>
              <w:jc w:val="right"/>
              <w:ind w:right="600"/>
              <w:spacing w:after="0"/>
              <w:rPr>
                <w:sz w:val="20"/>
                <w:szCs w:val="20"/>
                <w:color w:val="auto"/>
              </w:rPr>
            </w:pPr>
            <w:r>
              <w:rPr>
                <w:rFonts w:ascii="Times New Roman" w:cs="Times New Roman" w:eastAsia="Times New Roman" w:hAnsi="Times New Roman"/>
                <w:sz w:val="18"/>
                <w:szCs w:val="18"/>
                <w:color w:val="auto"/>
              </w:rPr>
              <w:t>Page</w:t>
            </w:r>
          </w:p>
        </w:tc>
      </w:tr>
      <w:tr>
        <w:trPr>
          <w:trHeight w:val="183"/>
        </w:trPr>
        <w:tc>
          <w:tcPr>
            <w:tcW w:w="20" w:type="dxa"/>
            <w:vAlign w:val="bottom"/>
          </w:tcPr>
          <w:p>
            <w:pPr>
              <w:spacing w:after="0"/>
              <w:rPr>
                <w:sz w:val="15"/>
                <w:szCs w:val="15"/>
                <w:color w:val="auto"/>
              </w:rPr>
            </w:pPr>
          </w:p>
        </w:tc>
        <w:tc>
          <w:tcPr>
            <w:tcW w:w="2420" w:type="dxa"/>
            <w:vAlign w:val="bottom"/>
            <w:gridSpan w:val="12"/>
          </w:tcPr>
          <w:p>
            <w:pPr>
              <w:spacing w:after="0" w:line="182" w:lineRule="exact"/>
              <w:rPr>
                <w:sz w:val="20"/>
                <w:szCs w:val="20"/>
                <w:color w:val="auto"/>
              </w:rPr>
            </w:pPr>
            <w:r>
              <w:rPr>
                <w:rFonts w:ascii="Times New Roman" w:cs="Times New Roman" w:eastAsia="Times New Roman" w:hAnsi="Times New Roman"/>
                <w:sz w:val="18"/>
                <w:szCs w:val="18"/>
                <w:color w:val="0000FF"/>
              </w:rPr>
              <w:t>PART I</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60" w:type="dxa"/>
            <w:vAlign w:val="bottom"/>
            <w:gridSpan w:val="4"/>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w:t>
            </w:r>
          </w:p>
        </w:tc>
        <w:tc>
          <w:tcPr>
            <w:tcW w:w="72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Business</w:t>
            </w: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Item 1A.</w:t>
            </w:r>
          </w:p>
        </w:tc>
        <w:tc>
          <w:tcPr>
            <w:tcW w:w="640" w:type="dxa"/>
            <w:vAlign w:val="bottom"/>
          </w:tcPr>
          <w:p>
            <w:pPr>
              <w:spacing w:after="0"/>
              <w:rPr>
                <w:sz w:val="18"/>
                <w:szCs w:val="18"/>
                <w:color w:val="auto"/>
              </w:rPr>
            </w:pPr>
          </w:p>
        </w:tc>
        <w:tc>
          <w:tcPr>
            <w:tcW w:w="72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5"/>
              </w:rPr>
              <w:t>Item 1B.</w:t>
            </w:r>
          </w:p>
        </w:tc>
        <w:tc>
          <w:tcPr>
            <w:tcW w:w="4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72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40" w:type="dxa"/>
            <w:vAlign w:val="bottom"/>
            <w:gridSpan w:val="2"/>
          </w:tcPr>
          <w:p>
            <w:pPr>
              <w:spacing w:after="0"/>
              <w:rPr>
                <w:sz w:val="18"/>
                <w:szCs w:val="18"/>
                <w:color w:val="auto"/>
              </w:rPr>
            </w:pPr>
          </w:p>
        </w:tc>
        <w:tc>
          <w:tcPr>
            <w:tcW w:w="680" w:type="dxa"/>
            <w:vAlign w:val="bottom"/>
            <w:gridSpan w:val="3"/>
          </w:tcPr>
          <w:p>
            <w:pPr>
              <w:spacing w:after="0"/>
              <w:rPr>
                <w:sz w:val="18"/>
                <w:szCs w:val="18"/>
                <w:color w:val="auto"/>
              </w:rPr>
            </w:pPr>
          </w:p>
        </w:tc>
        <w:tc>
          <w:tcPr>
            <w:tcW w:w="72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720" w:type="dxa"/>
            <w:vAlign w:val="bottom"/>
            <w:gridSpan w:val="5"/>
          </w:tcPr>
          <w:p>
            <w:pPr>
              <w:spacing w:after="0"/>
              <w:rPr>
                <w:sz w:val="18"/>
                <w:szCs w:val="18"/>
                <w:color w:val="auto"/>
              </w:rPr>
            </w:pPr>
          </w:p>
        </w:tc>
        <w:tc>
          <w:tcPr>
            <w:tcW w:w="72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4.</w:t>
            </w:r>
          </w:p>
        </w:tc>
        <w:tc>
          <w:tcPr>
            <w:tcW w:w="72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8"/>
                <w:szCs w:val="18"/>
                <w:color w:val="auto"/>
              </w:rPr>
            </w:pPr>
          </w:p>
        </w:tc>
      </w:tr>
      <w:tr>
        <w:trPr>
          <w:trHeight w:val="480"/>
        </w:trPr>
        <w:tc>
          <w:tcPr>
            <w:tcW w:w="20" w:type="dxa"/>
            <w:vAlign w:val="bottom"/>
          </w:tcPr>
          <w:p>
            <w:pPr>
              <w:spacing w:after="0"/>
              <w:rPr>
                <w:sz w:val="24"/>
                <w:szCs w:val="24"/>
                <w:color w:val="auto"/>
              </w:rPr>
            </w:pPr>
          </w:p>
        </w:tc>
        <w:tc>
          <w:tcPr>
            <w:tcW w:w="11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PART II</w:t>
            </w:r>
          </w:p>
        </w:tc>
        <w:tc>
          <w:tcPr>
            <w:tcW w:w="480" w:type="dxa"/>
            <w:vAlign w:val="bottom"/>
            <w:tcBorders>
              <w:top w:val="single" w:sz="8" w:color="0000FF"/>
            </w:tcBorders>
          </w:tcPr>
          <w:p>
            <w:pPr>
              <w:spacing w:after="0"/>
              <w:rPr>
                <w:sz w:val="24"/>
                <w:szCs w:val="24"/>
                <w:color w:val="auto"/>
              </w:rPr>
            </w:pPr>
          </w:p>
        </w:tc>
        <w:tc>
          <w:tcPr>
            <w:tcW w:w="82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c>
          <w:tcPr>
            <w:tcW w:w="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5.</w:t>
            </w:r>
          </w:p>
        </w:tc>
        <w:tc>
          <w:tcPr>
            <w:tcW w:w="72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w:t>
            </w:r>
          </w:p>
        </w:tc>
        <w:tc>
          <w:tcPr>
            <w:tcW w:w="136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c>
          <w:tcPr>
            <w:tcW w:w="20" w:type="dxa"/>
            <w:vAlign w:val="bottom"/>
          </w:tcPr>
          <w:p>
            <w:pPr>
              <w:spacing w:after="0"/>
              <w:rPr>
                <w:sz w:val="18"/>
                <w:szCs w:val="18"/>
                <w:color w:val="auto"/>
              </w:rPr>
            </w:pPr>
          </w:p>
        </w:tc>
      </w:tr>
      <w:tr>
        <w:trPr>
          <w:trHeight w:val="155"/>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220" w:type="dxa"/>
            <w:vAlign w:val="bottom"/>
            <w:tcBorders>
              <w:top w:val="single" w:sz="8" w:color="0000FF"/>
              <w:bottom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w w:val="97"/>
              </w:rPr>
              <w:t>Equity Securities</w:t>
            </w:r>
          </w:p>
        </w:tc>
        <w:tc>
          <w:tcPr>
            <w:tcW w:w="5540" w:type="dxa"/>
            <w:vAlign w:val="bottom"/>
            <w:tcBorders>
              <w:top w:val="single" w:sz="8" w:color="0000FF"/>
            </w:tcBorders>
            <w:gridSpan w:val="16"/>
          </w:tcPr>
          <w:p>
            <w:pPr>
              <w:spacing w:after="0"/>
              <w:rPr>
                <w:sz w:val="13"/>
                <w:szCs w:val="13"/>
                <w:color w:val="auto"/>
              </w:rPr>
            </w:pPr>
          </w:p>
        </w:tc>
        <w:tc>
          <w:tcPr>
            <w:tcW w:w="4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6.</w:t>
            </w:r>
          </w:p>
        </w:tc>
        <w:tc>
          <w:tcPr>
            <w:tcW w:w="72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[Reserved]</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7.</w:t>
            </w:r>
          </w:p>
        </w:tc>
        <w:tc>
          <w:tcPr>
            <w:tcW w:w="72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6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7A.</w:t>
            </w:r>
          </w:p>
        </w:tc>
        <w:tc>
          <w:tcPr>
            <w:tcW w:w="72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6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8.</w:t>
            </w:r>
          </w:p>
        </w:tc>
        <w:tc>
          <w:tcPr>
            <w:tcW w:w="720" w:type="dxa"/>
            <w:vAlign w:val="bottom"/>
            <w:gridSpan w:val="5"/>
          </w:tcPr>
          <w:p>
            <w:pPr>
              <w:spacing w:after="0"/>
              <w:rPr>
                <w:sz w:val="18"/>
                <w:szCs w:val="18"/>
                <w:color w:val="auto"/>
              </w:rPr>
            </w:pPr>
          </w:p>
        </w:tc>
        <w:tc>
          <w:tcPr>
            <w:tcW w:w="72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6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9.</w:t>
            </w:r>
          </w:p>
        </w:tc>
        <w:tc>
          <w:tcPr>
            <w:tcW w:w="720" w:type="dxa"/>
            <w:vAlign w:val="bottom"/>
            <w:gridSpan w:val="5"/>
          </w:tcPr>
          <w:p>
            <w:pPr>
              <w:spacing w:after="0"/>
              <w:rPr>
                <w:sz w:val="18"/>
                <w:szCs w:val="18"/>
                <w:color w:val="auto"/>
              </w:rPr>
            </w:pPr>
          </w:p>
        </w:tc>
        <w:tc>
          <w:tcPr>
            <w:tcW w:w="72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6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Item 9A.</w:t>
            </w:r>
          </w:p>
        </w:tc>
        <w:tc>
          <w:tcPr>
            <w:tcW w:w="640" w:type="dxa"/>
            <w:vAlign w:val="bottom"/>
          </w:tcPr>
          <w:p>
            <w:pPr>
              <w:spacing w:after="0"/>
              <w:rPr>
                <w:sz w:val="18"/>
                <w:szCs w:val="18"/>
                <w:color w:val="auto"/>
              </w:rPr>
            </w:pPr>
          </w:p>
        </w:tc>
        <w:tc>
          <w:tcPr>
            <w:tcW w:w="72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6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Item 9B.</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6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Item 9C.</w:t>
            </w:r>
          </w:p>
        </w:tc>
        <w:tc>
          <w:tcPr>
            <w:tcW w:w="660" w:type="dxa"/>
            <w:vAlign w:val="bottom"/>
            <w:gridSpan w:val="2"/>
          </w:tcPr>
          <w:p>
            <w:pPr>
              <w:spacing w:after="0"/>
              <w:rPr>
                <w:sz w:val="18"/>
                <w:szCs w:val="18"/>
                <w:color w:val="auto"/>
              </w:rPr>
            </w:pPr>
          </w:p>
        </w:tc>
        <w:tc>
          <w:tcPr>
            <w:tcW w:w="72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47</w:t>
            </w:r>
          </w:p>
        </w:tc>
        <w:tc>
          <w:tcPr>
            <w:tcW w:w="20" w:type="dxa"/>
            <w:vAlign w:val="bottom"/>
          </w:tcPr>
          <w:p>
            <w:pPr>
              <w:spacing w:after="0"/>
              <w:rPr>
                <w:sz w:val="18"/>
                <w:szCs w:val="18"/>
                <w:color w:val="auto"/>
              </w:rPr>
            </w:pPr>
          </w:p>
        </w:tc>
      </w:tr>
      <w:tr>
        <w:trPr>
          <w:trHeight w:val="480"/>
        </w:trPr>
        <w:tc>
          <w:tcPr>
            <w:tcW w:w="20" w:type="dxa"/>
            <w:vAlign w:val="bottom"/>
          </w:tcPr>
          <w:p>
            <w:pPr>
              <w:spacing w:after="0"/>
              <w:rPr>
                <w:sz w:val="24"/>
                <w:szCs w:val="24"/>
                <w:color w:val="auto"/>
              </w:rPr>
            </w:pPr>
          </w:p>
        </w:tc>
        <w:tc>
          <w:tcPr>
            <w:tcW w:w="11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PART III</w:t>
            </w:r>
          </w:p>
        </w:tc>
        <w:tc>
          <w:tcPr>
            <w:tcW w:w="620" w:type="dxa"/>
            <w:vAlign w:val="bottom"/>
            <w:tcBorders>
              <w:top w:val="single" w:sz="8" w:color="0000FF"/>
            </w:tcBorders>
            <w:gridSpan w:val="4"/>
          </w:tcPr>
          <w:p>
            <w:pPr>
              <w:spacing w:after="0"/>
              <w:rPr>
                <w:sz w:val="24"/>
                <w:szCs w:val="24"/>
                <w:color w:val="auto"/>
              </w:rPr>
            </w:pPr>
          </w:p>
        </w:tc>
        <w:tc>
          <w:tcPr>
            <w:tcW w:w="68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48</w:t>
            </w:r>
          </w:p>
        </w:tc>
        <w:tc>
          <w:tcPr>
            <w:tcW w:w="2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10.</w:t>
            </w:r>
          </w:p>
        </w:tc>
        <w:tc>
          <w:tcPr>
            <w:tcW w:w="720" w:type="dxa"/>
            <w:vAlign w:val="bottom"/>
            <w:gridSpan w:val="5"/>
          </w:tcPr>
          <w:p>
            <w:pPr>
              <w:spacing w:after="0"/>
              <w:rPr>
                <w:sz w:val="18"/>
                <w:szCs w:val="18"/>
                <w:color w:val="auto"/>
              </w:rPr>
            </w:pPr>
          </w:p>
        </w:tc>
        <w:tc>
          <w:tcPr>
            <w:tcW w:w="72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36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11.</w:t>
            </w:r>
          </w:p>
        </w:tc>
        <w:tc>
          <w:tcPr>
            <w:tcW w:w="720" w:type="dxa"/>
            <w:vAlign w:val="bottom"/>
            <w:gridSpan w:val="5"/>
          </w:tcPr>
          <w:p>
            <w:pPr>
              <w:spacing w:after="0"/>
              <w:rPr>
                <w:sz w:val="18"/>
                <w:szCs w:val="18"/>
                <w:color w:val="auto"/>
              </w:rPr>
            </w:pPr>
          </w:p>
        </w:tc>
        <w:tc>
          <w:tcPr>
            <w:tcW w:w="72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12.</w:t>
            </w:r>
          </w:p>
        </w:tc>
        <w:tc>
          <w:tcPr>
            <w:tcW w:w="720" w:type="dxa"/>
            <w:vAlign w:val="bottom"/>
            <w:gridSpan w:val="5"/>
          </w:tcPr>
          <w:p>
            <w:pPr>
              <w:spacing w:after="0"/>
              <w:rPr>
                <w:sz w:val="18"/>
                <w:szCs w:val="18"/>
                <w:color w:val="auto"/>
              </w:rPr>
            </w:pPr>
          </w:p>
        </w:tc>
        <w:tc>
          <w:tcPr>
            <w:tcW w:w="72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18"/>
                <w:szCs w:val="18"/>
                <w:color w:val="auto"/>
              </w:rPr>
            </w:pPr>
          </w:p>
        </w:tc>
      </w:tr>
      <w:tr>
        <w:trPr>
          <w:trHeight w:val="155"/>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54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4"/>
              </w:rPr>
              <w:t>Matters</w:t>
            </w:r>
          </w:p>
        </w:tc>
        <w:tc>
          <w:tcPr>
            <w:tcW w:w="6140" w:type="dxa"/>
            <w:vAlign w:val="bottom"/>
            <w:tcBorders>
              <w:top w:val="single" w:sz="8" w:color="0000FF"/>
            </w:tcBorders>
            <w:gridSpan w:val="20"/>
          </w:tcPr>
          <w:p>
            <w:pPr>
              <w:spacing w:after="0"/>
              <w:rPr>
                <w:sz w:val="13"/>
                <w:szCs w:val="13"/>
                <w:color w:val="auto"/>
              </w:rPr>
            </w:pPr>
          </w:p>
        </w:tc>
        <w:tc>
          <w:tcPr>
            <w:tcW w:w="540" w:type="dxa"/>
            <w:vAlign w:val="bottom"/>
            <w:gridSpan w:val="2"/>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13.</w:t>
            </w:r>
          </w:p>
        </w:tc>
        <w:tc>
          <w:tcPr>
            <w:tcW w:w="72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300" w:type="dxa"/>
            <w:vAlign w:val="bottom"/>
            <w:gridSpan w:val="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14.</w:t>
            </w:r>
          </w:p>
        </w:tc>
        <w:tc>
          <w:tcPr>
            <w:tcW w:w="72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18"/>
                <w:szCs w:val="18"/>
                <w:color w:val="auto"/>
              </w:rPr>
            </w:pPr>
          </w:p>
        </w:tc>
      </w:tr>
      <w:tr>
        <w:trPr>
          <w:trHeight w:val="480"/>
        </w:trPr>
        <w:tc>
          <w:tcPr>
            <w:tcW w:w="20" w:type="dxa"/>
            <w:vAlign w:val="bottom"/>
          </w:tcPr>
          <w:p>
            <w:pPr>
              <w:spacing w:after="0"/>
              <w:rPr>
                <w:sz w:val="24"/>
                <w:szCs w:val="24"/>
                <w:color w:val="auto"/>
              </w:rPr>
            </w:pPr>
          </w:p>
        </w:tc>
        <w:tc>
          <w:tcPr>
            <w:tcW w:w="6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4"/>
              </w:rPr>
              <w:t>PART IV</w:t>
            </w:r>
          </w:p>
        </w:tc>
        <w:tc>
          <w:tcPr>
            <w:tcW w:w="440" w:type="dxa"/>
            <w:vAlign w:val="bottom"/>
          </w:tcPr>
          <w:p>
            <w:pPr>
              <w:spacing w:after="0"/>
              <w:rPr>
                <w:sz w:val="24"/>
                <w:szCs w:val="24"/>
                <w:color w:val="auto"/>
              </w:rPr>
            </w:pPr>
          </w:p>
        </w:tc>
        <w:tc>
          <w:tcPr>
            <w:tcW w:w="580" w:type="dxa"/>
            <w:vAlign w:val="bottom"/>
            <w:tcBorders>
              <w:top w:val="single" w:sz="8" w:color="0000FF"/>
            </w:tcBorders>
            <w:gridSpan w:val="2"/>
          </w:tcPr>
          <w:p>
            <w:pPr>
              <w:spacing w:after="0"/>
              <w:rPr>
                <w:sz w:val="24"/>
                <w:szCs w:val="24"/>
                <w:color w:val="auto"/>
              </w:rPr>
            </w:pPr>
          </w:p>
        </w:tc>
        <w:tc>
          <w:tcPr>
            <w:tcW w:w="72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c>
          <w:tcPr>
            <w:tcW w:w="2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Item 15.</w:t>
            </w:r>
          </w:p>
        </w:tc>
        <w:tc>
          <w:tcPr>
            <w:tcW w:w="700" w:type="dxa"/>
            <w:vAlign w:val="bottom"/>
            <w:gridSpan w:val="4"/>
          </w:tcPr>
          <w:p>
            <w:pPr>
              <w:spacing w:after="0"/>
              <w:rPr>
                <w:sz w:val="18"/>
                <w:szCs w:val="18"/>
                <w:color w:val="auto"/>
              </w:rPr>
            </w:pPr>
          </w:p>
        </w:tc>
        <w:tc>
          <w:tcPr>
            <w:tcW w:w="72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4080" w:type="dxa"/>
            <w:vAlign w:val="bottom"/>
            <w:gridSpan w:val="1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Item 16.</w:t>
            </w:r>
          </w:p>
        </w:tc>
        <w:tc>
          <w:tcPr>
            <w:tcW w:w="700" w:type="dxa"/>
            <w:vAlign w:val="bottom"/>
            <w:gridSpan w:val="4"/>
          </w:tcPr>
          <w:p>
            <w:pPr>
              <w:spacing w:after="0"/>
              <w:rPr>
                <w:sz w:val="18"/>
                <w:szCs w:val="18"/>
                <w:color w:val="auto"/>
              </w:rPr>
            </w:pPr>
          </w:p>
        </w:tc>
        <w:tc>
          <w:tcPr>
            <w:tcW w:w="72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18"/>
                <w:szCs w:val="18"/>
                <w:color w:val="auto"/>
              </w:rPr>
            </w:pPr>
          </w:p>
        </w:tc>
      </w:tr>
      <w:tr>
        <w:trPr>
          <w:trHeight w:val="1094"/>
        </w:trPr>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About Forward-Looking Statements</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These statements reflect our current expectations as to future events based on certain assumptions and include any statement that does not directly relate to any historical or current fact. These statements include, but are not limited to, statements related to our expectations regarding the performance of our business, our financial results, our operations, our liquidity and capital resources, the conditions in our industry and our growth strategy. In some cases, forward-looking statements can be identified by words such as "outlook," "aim," "anticipate," "are or remain or continue to be confident," "have confidence," "estimate," "expect," "will be," "will continue," "will likely result," "project," "intend," "plan," "believe," "see," "look to" and other words and terms of similar meaning or the negative versions of such words. These forward-looking statements are subject to risks and uncertainties that may change at any time, actual results or outcomes may differ materially from those that we expected.</w:t>
      </w:r>
    </w:p>
    <w:p>
      <w:pPr>
        <w:spacing w:after="0" w:line="7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Some of the factors that we believe could affect or continue to affect our results include without limitation: unfavorable economic conditions; natural disasters, global calamities, climate change, pandemics, including the ongoing COVID-19 pandemic, energy shortages, sports strikes and other adverse incidents; geopolitical events including, but not limited to, the ongoing conflict between Russia and Ukraine and its effects on global supply chains, inflation, volatility and disruption of global financial markets; the failure to retain current clients, renew existing client contracts and obtain new client contracts; a determination by clients to reduce their outsourcing or use of preferred vendors; competition in our industries; increased operating costs and obstacles to cost recovery due to the pricing and cancellation terms of our food and support services contracts; currency risks and other risks associated with international operations, including compliance with a broad range of laws and regulations, including the United States Foreign Corrupt Practices Act; risks associated with suppliers from whom our products are sourced; disruptions to our relationship with our distribution partners; the contract intensive nature of our business, which may lead to client disputes; our expansion strategy and our ability to successfully integrate the businesses we acquire and costs and timing related thereto; continued or further unionization of our workforce; liability resulting from our participation in multiemployer defined benefit pension plans; the inability to hire and retain key or sufficient qualified personnel or increases in labor costs; laws and governmental regulations including those relating to food and beverages, the environment, wage and hour and government contracting; liability associated with noncompliance with applicable law or other governmental regulations; new interpretations of or changes in the enforcement of the government regulatory framework; increases or changes in income tax rates or tax-related laws; environmental regulations; potential liabilities, increased costs, reputational harm, and other adverse effects based on our commitments and stakeholder expectations relating to environmental, social and governance considerations; the failure to maintain food safety throughout our supply chain, food-borne illness concerns and claims of illness or injury; a cybersecurity incident or other disruptions in the availability of our computer systems or privacy breaches; our leverage; variable rate indebtedness that subjects us to interest rate risk; the inability to generate sufficient cash to service all of our indebtedness; debt agreements that limit our flexibility in operating our business; risks associated with the impact, timing or terms of the proposed spin-off of Aramark Uniform Services (our Uniform segment) as an independent publicly traded company to our stockholders (the "proposed spin-off'"); risks associated with the expected benefits and costs of the proposed spin-off, including the risk that the expected benefits of the proposed spin-off will not be realized within the expected time frame, in full or at all, and the risk that conditions to the proposed spin-off will not be satisfied and/or that the proposed spin-off will not be completed within the expected time frame, on the expected terms or at all; the expected qualification of the proposed spin-off as a tax-free transaction for United States federal income tax purposes, including whether or not an Internal Revenue Service ruling will be sought or obtained; the risk that any consents or approvals required in connection with the proposed spin-off will not be received or obtained within the expected time frame, on the expected terms or at all; risks associated with expected financing transactions undertaken in connection with the proposed spin-off and risks associated with indebtedness incurred in connection with the proposed spin-off; the risk of increased costs from lost synergies, costs of restructuring transactions and other costs incurred in connection with the proposed spin-off; retention of existing management team members as a result of the proposed spin-off; reaction of customers, our employees and other parties to the proposed spin-off; and the impact of the proposed spin-off on our business and the risk that the proposed spin-off may be more difficult, time-consuming or costly than expected, including the impact on our resources, systems, procedures and controls, diversion of management’s attention and the impact on relationships with customers, suppliers, employees and other business counterparties; and other factors set forth under the headings Item 1A "Risk Factors," Item 3 "Legal Proceedings" and Item 7 "Management's Discussion and Analysis of Financial Condition and Results of Operations" and other sections of this Annual Report on Form 10-K. These factors should not be construed as exhaustive and should be read in conjunction with the other cautionary statements that are included herein and in our other filings with the Securities and Exchange Commission (the "SEC"). As a result of these risks and uncertainties, readers are cautioned not to place undue reliance on any forward-looking statements included herein or that may be made elsewhere from time to time by, or on behalf of, us. Forward-looking statements speak only as of the date made. We undertake no obligation to publicly update or review any forward-looking statement, whether as a result of new information, future developments, changes in our expectations,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Aramark (the “Company”, “we” or “us”) is a leading global provider of food, facilities and uniform services to education, healthcare, business &amp; industry, and sports, leisure &amp; corrections clients. Our core market is the United States, which is supplemented by an additional 18-country footprint. Based on total revenue in fiscal 2022, we hold a top 3 position in North America in food and facilities services and the #2 position in North America in uniform services. Internationally, we hold a top 3 position in food and facilities services based on total revenue in fiscal 2022 in most countries in which we have significant operations. Our approximately 273,875 employees partner with thousands of education, healthcare, business and sports, leisure &amp; corrections clients to serve millions of customers including students, patients, employees, sports fans and guests worldwide.</w:t>
      </w:r>
    </w:p>
    <w:p>
      <w:pPr>
        <w:spacing w:after="0" w:line="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our business in three reportable segments that share many of the same operating characteristics: Food and Support Services United States ("FSS United States"), Food and Support Services International ("FSS International") and Uniform and Career Apparel ("Uniform"). The following chart shows a breakdown of our revenue and operating income by our reportable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63500</wp:posOffset>
            </wp:positionV>
            <wp:extent cx="4543425" cy="9347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543425" cy="934720"/>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276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840" w:type="dxa"/>
            <w:vAlign w:val="bottom"/>
            <w:tcBorders>
              <w:bottom w:val="single" w:sz="8" w:color="auto"/>
              <w:right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Reportable Segments:</w:t>
            </w:r>
          </w:p>
        </w:tc>
        <w:tc>
          <w:tcPr>
            <w:tcW w:w="2660" w:type="dxa"/>
            <w:vAlign w:val="bottom"/>
            <w:tcBorders>
              <w:left w:val="single" w:sz="8" w:color="auto"/>
              <w:right w:val="single" w:sz="8" w:color="auto"/>
            </w:tcBorders>
            <w:gridSpan w:val="5"/>
          </w:tcPr>
          <w:p>
            <w:pPr>
              <w:ind w:left="500"/>
              <w:spacing w:after="0" w:line="196" w:lineRule="exact"/>
              <w:rPr>
                <w:sz w:val="20"/>
                <w:szCs w:val="20"/>
                <w:color w:val="auto"/>
              </w:rPr>
            </w:pPr>
            <w:r>
              <w:rPr>
                <w:rFonts w:ascii="Times New Roman" w:cs="Times New Roman" w:eastAsia="Times New Roman" w:hAnsi="Times New Roman"/>
                <w:sz w:val="22"/>
                <w:szCs w:val="22"/>
                <w:b w:val="1"/>
                <w:bCs w:val="1"/>
                <w:color w:val="auto"/>
              </w:rPr>
              <w:t>FSS United States</w:t>
            </w:r>
          </w:p>
        </w:tc>
        <w:tc>
          <w:tcPr>
            <w:tcW w:w="0" w:type="dxa"/>
            <w:vAlign w:val="bottom"/>
          </w:tcPr>
          <w:p>
            <w:pPr>
              <w:spacing w:after="0"/>
              <w:rPr>
                <w:sz w:val="1"/>
                <w:szCs w:val="1"/>
                <w:color w:val="auto"/>
              </w:rPr>
            </w:pPr>
          </w:p>
        </w:tc>
      </w:tr>
      <w:tr>
        <w:trPr>
          <w:trHeight w:val="34"/>
        </w:trPr>
        <w:tc>
          <w:tcPr>
            <w:tcW w:w="27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FY 2022 Revenue</w:t>
            </w:r>
            <w:r>
              <w:rPr>
                <w:rFonts w:ascii="Times New Roman" w:cs="Times New Roman" w:eastAsia="Times New Roman" w:hAnsi="Times New Roman"/>
                <w:sz w:val="21"/>
                <w:szCs w:val="21"/>
                <w:b w:val="1"/>
                <w:bCs w:val="1"/>
                <w:color w:val="auto"/>
                <w:vertAlign w:val="superscript"/>
              </w:rPr>
              <w:t>(a)</w:t>
            </w:r>
            <w:r>
              <w:rPr>
                <w:rFonts w:ascii="Times New Roman" w:cs="Times New Roman" w:eastAsia="Times New Roman" w:hAnsi="Times New Roman"/>
                <w:sz w:val="16"/>
                <w:szCs w:val="16"/>
                <w:b w:val="1"/>
                <w:bCs w:val="1"/>
                <w:color w:val="auto"/>
              </w:rPr>
              <w:t>:</w:t>
            </w:r>
          </w:p>
        </w:tc>
        <w:tc>
          <w:tcPr>
            <w:tcW w:w="500" w:type="dxa"/>
            <w:vAlign w:val="bottom"/>
            <w:tcBorders>
              <w:left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760" w:type="dxa"/>
            <w:vAlign w:val="bottom"/>
            <w:vMerge w:val="continue"/>
          </w:tcPr>
          <w:p>
            <w:pPr>
              <w:spacing w:after="0"/>
              <w:rPr>
                <w:sz w:val="24"/>
                <w:szCs w:val="24"/>
                <w:color w:val="auto"/>
              </w:rPr>
            </w:pPr>
          </w:p>
        </w:tc>
        <w:tc>
          <w:tcPr>
            <w:tcW w:w="2000" w:type="dxa"/>
            <w:vAlign w:val="bottom"/>
            <w:gridSpan w:val="3"/>
          </w:tcPr>
          <w:p>
            <w:pPr>
              <w:ind w:left="13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10,030.8</w:t>
            </w:r>
          </w:p>
        </w:tc>
        <w:tc>
          <w:tcPr>
            <w:tcW w:w="0" w:type="dxa"/>
            <w:vAlign w:val="bottom"/>
          </w:tcPr>
          <w:p>
            <w:pPr>
              <w:spacing w:after="0"/>
              <w:rPr>
                <w:sz w:val="1"/>
                <w:szCs w:val="1"/>
                <w:color w:val="auto"/>
              </w:rPr>
            </w:pPr>
          </w:p>
        </w:tc>
      </w:tr>
      <w:tr>
        <w:trPr>
          <w:trHeight w:val="227"/>
        </w:trPr>
        <w:tc>
          <w:tcPr>
            <w:tcW w:w="2760" w:type="dxa"/>
            <w:vAlign w:val="bottom"/>
          </w:tcPr>
          <w:p>
            <w:pPr>
              <w:spacing w:after="0" w:line="227" w:lineRule="exact"/>
              <w:rPr>
                <w:sz w:val="20"/>
                <w:szCs w:val="20"/>
                <w:color w:val="auto"/>
              </w:rPr>
            </w:pPr>
            <w:r>
              <w:rPr>
                <w:rFonts w:ascii="Times New Roman" w:cs="Times New Roman" w:eastAsia="Times New Roman" w:hAnsi="Times New Roman"/>
                <w:sz w:val="16"/>
                <w:szCs w:val="16"/>
                <w:b w:val="1"/>
                <w:bCs w:val="1"/>
                <w:color w:val="auto"/>
              </w:rPr>
              <w:t>FY 2022 Operating Income</w:t>
            </w:r>
            <w:r>
              <w:rPr>
                <w:rFonts w:ascii="Times New Roman" w:cs="Times New Roman" w:eastAsia="Times New Roman" w:hAnsi="Times New Roman"/>
                <w:sz w:val="21"/>
                <w:szCs w:val="21"/>
                <w:b w:val="1"/>
                <w:bCs w:val="1"/>
                <w:color w:val="auto"/>
                <w:vertAlign w:val="superscript"/>
              </w:rPr>
              <w:t>(a)</w:t>
            </w:r>
            <w:r>
              <w:rPr>
                <w:rFonts w:ascii="Times New Roman" w:cs="Times New Roman" w:eastAsia="Times New Roman" w:hAnsi="Times New Roman"/>
                <w:sz w:val="16"/>
                <w:szCs w:val="16"/>
                <w:b w:val="1"/>
                <w:bCs w:val="1"/>
                <w:color w:val="auto"/>
              </w:rPr>
              <w:t>:</w:t>
            </w:r>
          </w:p>
        </w:tc>
        <w:tc>
          <w:tcPr>
            <w:tcW w:w="2000" w:type="dxa"/>
            <w:vAlign w:val="bottom"/>
            <w:gridSpan w:val="3"/>
          </w:tcPr>
          <w:p>
            <w:pPr>
              <w:ind w:left="13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449.0</w:t>
            </w:r>
          </w:p>
        </w:tc>
        <w:tc>
          <w:tcPr>
            <w:tcW w:w="0" w:type="dxa"/>
            <w:vAlign w:val="bottom"/>
          </w:tcPr>
          <w:p>
            <w:pPr>
              <w:spacing w:after="0"/>
              <w:rPr>
                <w:sz w:val="1"/>
                <w:szCs w:val="1"/>
                <w:color w:val="auto"/>
              </w:rPr>
            </w:pPr>
          </w:p>
        </w:tc>
      </w:tr>
      <w:tr>
        <w:trPr>
          <w:trHeight w:val="212"/>
        </w:trPr>
        <w:tc>
          <w:tcPr>
            <w:tcW w:w="2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20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Food, hospitality and facilities</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Sectors:</w:t>
            </w:r>
          </w:p>
        </w:tc>
        <w:tc>
          <w:tcPr>
            <w:tcW w:w="26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Business &amp; industry; sports, leisure &amp;</w:t>
            </w:r>
          </w:p>
        </w:tc>
        <w:tc>
          <w:tcPr>
            <w:tcW w:w="0" w:type="dxa"/>
            <w:vAlign w:val="bottom"/>
          </w:tcPr>
          <w:p>
            <w:pPr>
              <w:spacing w:after="0"/>
              <w:rPr>
                <w:sz w:val="1"/>
                <w:szCs w:val="1"/>
                <w:color w:val="auto"/>
              </w:rPr>
            </w:pPr>
          </w:p>
        </w:tc>
      </w:tr>
      <w:tr>
        <w:trPr>
          <w:trHeight w:val="162"/>
        </w:trPr>
        <w:tc>
          <w:tcPr>
            <w:tcW w:w="2760" w:type="dxa"/>
            <w:vAlign w:val="bottom"/>
          </w:tcPr>
          <w:p>
            <w:pPr>
              <w:spacing w:after="0"/>
              <w:rPr>
                <w:sz w:val="14"/>
                <w:szCs w:val="14"/>
                <w:color w:val="auto"/>
              </w:rPr>
            </w:pPr>
          </w:p>
        </w:tc>
        <w:tc>
          <w:tcPr>
            <w:tcW w:w="2660" w:type="dxa"/>
            <w:vAlign w:val="bottom"/>
            <w:gridSpan w:val="5"/>
          </w:tcPr>
          <w:p>
            <w:pPr>
              <w:ind w:left="20"/>
              <w:spacing w:after="0" w:line="162" w:lineRule="exact"/>
              <w:rPr>
                <w:sz w:val="20"/>
                <w:szCs w:val="20"/>
                <w:color w:val="auto"/>
              </w:rPr>
            </w:pPr>
            <w:r>
              <w:rPr>
                <w:rFonts w:ascii="Times New Roman" w:cs="Times New Roman" w:eastAsia="Times New Roman" w:hAnsi="Times New Roman"/>
                <w:sz w:val="16"/>
                <w:szCs w:val="16"/>
                <w:color w:val="auto"/>
              </w:rPr>
              <w:t>corrections; education; healthcare; and</w:t>
            </w:r>
          </w:p>
        </w:tc>
        <w:tc>
          <w:tcPr>
            <w:tcW w:w="0" w:type="dxa"/>
            <w:vAlign w:val="bottom"/>
          </w:tcPr>
          <w:p>
            <w:pPr>
              <w:spacing w:after="0"/>
              <w:rPr>
                <w:sz w:val="1"/>
                <w:szCs w:val="1"/>
                <w:color w:val="auto"/>
              </w:rPr>
            </w:pPr>
          </w:p>
        </w:tc>
      </w:tr>
      <w:tr>
        <w:trPr>
          <w:trHeight w:val="210"/>
        </w:trPr>
        <w:tc>
          <w:tcPr>
            <w:tcW w:w="2760" w:type="dxa"/>
            <w:vAlign w:val="bottom"/>
          </w:tcPr>
          <w:p>
            <w:pPr>
              <w:spacing w:after="0"/>
              <w:rPr>
                <w:sz w:val="18"/>
                <w:szCs w:val="18"/>
                <w:color w:val="auto"/>
              </w:rPr>
            </w:pPr>
          </w:p>
        </w:tc>
        <w:tc>
          <w:tcPr>
            <w:tcW w:w="20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facilities and other</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Dollars in millions. Operating income excludes $151.2 million related to corporate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b w:val="1"/>
          <w:bCs w:val="1"/>
          <w:u w:val="single" w:color="auto"/>
          <w:color w:val="auto"/>
        </w:rPr>
        <w:t>FSS International</w:t>
      </w:r>
    </w:p>
    <w:p>
      <w:pPr>
        <w:spacing w:after="0" w:line="129" w:lineRule="exact"/>
        <w:rPr>
          <w:sz w:val="20"/>
          <w:szCs w:val="20"/>
          <w:color w:val="auto"/>
        </w:rPr>
      </w:pPr>
    </w:p>
    <w:p>
      <w:pPr>
        <w:ind w:left="1340"/>
        <w:spacing w:after="0"/>
        <w:tabs>
          <w:tab w:leader="none" w:pos="208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3,656.4</w:t>
      </w:r>
    </w:p>
    <w:p>
      <w:pPr>
        <w:spacing w:after="0" w:line="32" w:lineRule="exact"/>
        <w:rPr>
          <w:sz w:val="20"/>
          <w:szCs w:val="20"/>
          <w:color w:val="auto"/>
        </w:rPr>
      </w:pPr>
    </w:p>
    <w:p>
      <w:pPr>
        <w:jc w:val="both"/>
        <w:ind w:left="1340"/>
        <w:spacing w:after="0"/>
        <w:tabs>
          <w:tab w:leader="none" w:pos="222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112.5</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Food, hospitality and facilities</w:t>
      </w:r>
    </w:p>
    <w:p>
      <w:pPr>
        <w:spacing w:after="0" w:line="194" w:lineRule="exact"/>
        <w:rPr>
          <w:sz w:val="20"/>
          <w:szCs w:val="20"/>
          <w:color w:val="auto"/>
        </w:rPr>
      </w:pPr>
    </w:p>
    <w:p>
      <w:pPr>
        <w:jc w:val="both"/>
        <w:ind w:right="100"/>
        <w:spacing w:after="0" w:line="232" w:lineRule="auto"/>
        <w:rPr>
          <w:sz w:val="20"/>
          <w:szCs w:val="20"/>
          <w:color w:val="auto"/>
        </w:rPr>
      </w:pPr>
      <w:r>
        <w:rPr>
          <w:rFonts w:ascii="Times New Roman" w:cs="Times New Roman" w:eastAsia="Times New Roman" w:hAnsi="Times New Roman"/>
          <w:sz w:val="16"/>
          <w:szCs w:val="16"/>
          <w:color w:val="auto"/>
        </w:rPr>
        <w:t>Business &amp; industry; sports, leisure &amp; corrections; education; healthcare; and facilities and 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b w:val="1"/>
          <w:bCs w:val="1"/>
          <w:u w:val="single" w:color="auto"/>
          <w:color w:val="auto"/>
        </w:rPr>
        <w:t>Uniform</w:t>
      </w:r>
    </w:p>
    <w:p>
      <w:pPr>
        <w:spacing w:after="0" w:line="129" w:lineRule="exact"/>
        <w:rPr>
          <w:sz w:val="20"/>
          <w:szCs w:val="20"/>
          <w:color w:val="auto"/>
        </w:rPr>
      </w:pPr>
    </w:p>
    <w:tbl>
      <w:tblPr>
        <w:tblLayout w:type="fixed"/>
        <w:tblInd w:w="1320" w:type="dxa"/>
        <w:tblCellMar>
          <w:top w:w="0" w:type="dxa"/>
          <w:left w:w="0" w:type="dxa"/>
          <w:bottom w:w="0" w:type="dxa"/>
          <w:right w:w="0" w:type="dxa"/>
        </w:tblCellMar>
      </w:tblPr>
      <w:tr>
        <w:trPr>
          <w:trHeight w:val="210"/>
        </w:trPr>
        <w:tc>
          <w:tcPr>
            <w:tcW w:w="4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2,639.4</w:t>
            </w:r>
          </w:p>
        </w:tc>
      </w:tr>
      <w:tr>
        <w:trPr>
          <w:trHeight w:val="216"/>
        </w:trPr>
        <w:tc>
          <w:tcPr>
            <w:tcW w:w="4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218.1</w:t>
            </w:r>
          </w:p>
        </w:tc>
      </w:tr>
    </w:tbl>
    <w:p>
      <w:pPr>
        <w:spacing w:after="0" w:line="6" w:lineRule="exact"/>
        <w:rPr>
          <w:sz w:val="20"/>
          <w:szCs w:val="20"/>
          <w:color w:val="auto"/>
        </w:rPr>
      </w:pPr>
    </w:p>
    <w:p>
      <w:pPr>
        <w:ind w:right="540"/>
        <w:spacing w:after="0" w:line="245" w:lineRule="auto"/>
        <w:rPr>
          <w:sz w:val="20"/>
          <w:szCs w:val="20"/>
          <w:color w:val="auto"/>
        </w:rPr>
      </w:pPr>
      <w:r>
        <w:rPr>
          <w:rFonts w:ascii="Times New Roman" w:cs="Times New Roman" w:eastAsia="Times New Roman" w:hAnsi="Times New Roman"/>
          <w:sz w:val="16"/>
          <w:szCs w:val="16"/>
          <w:color w:val="auto"/>
        </w:rPr>
        <w:t>Rental, sale and maintenance of uniform apparel and other items</w:t>
      </w:r>
    </w:p>
    <w:p>
      <w:pPr>
        <w:spacing w:after="0" w:line="2" w:lineRule="exact"/>
        <w:rPr>
          <w:sz w:val="20"/>
          <w:szCs w:val="20"/>
          <w:color w:val="auto"/>
        </w:rPr>
      </w:pPr>
    </w:p>
    <w:p>
      <w:pPr>
        <w:ind w:right="380"/>
        <w:spacing w:after="0" w:line="232" w:lineRule="auto"/>
        <w:rPr>
          <w:sz w:val="20"/>
          <w:szCs w:val="20"/>
          <w:color w:val="auto"/>
        </w:rPr>
      </w:pPr>
      <w:r>
        <w:rPr>
          <w:rFonts w:ascii="Times New Roman" w:cs="Times New Roman" w:eastAsia="Times New Roman" w:hAnsi="Times New Roman"/>
          <w:sz w:val="16"/>
          <w:szCs w:val="16"/>
          <w:color w:val="auto"/>
        </w:rPr>
        <w:t>Business; public institutions; manufacturing; transportation; and service industries</w:t>
      </w:r>
    </w:p>
    <w:p>
      <w:pPr>
        <w:spacing w:after="0" w:line="420" w:lineRule="exact"/>
        <w:rPr>
          <w:sz w:val="20"/>
          <w:szCs w:val="20"/>
          <w:color w:val="auto"/>
        </w:rPr>
      </w:pPr>
    </w:p>
    <w:p>
      <w:pPr>
        <w:sectPr>
          <w:pgSz w:w="11900" w:h="16838" w:orient="portrait"/>
          <w:cols w:equalWidth="0" w:num="3">
            <w:col w:w="5560" w:space="120"/>
            <w:col w:w="2600" w:space="320"/>
            <w:col w:w="2620"/>
          </w:cols>
          <w:pgMar w:left="320" w:top="175" w:right="359" w:bottom="1440" w:gutter="0" w:footer="0" w:header="0"/>
          <w:type w:val="continuous"/>
        </w:sect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In fiscal 2022, we generated $16.3 billion of revenue, $628.4 million of operating income and $194.5 million of net income attributable to Aramark stockholders.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108"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Since our founding in 1959, we have broadened our service offerings and expanded our client base through a combination of organic growth and acquisitions, with the goal of further developing our food, facilities and uniform capabilities, as well as growing our international presence. In 1984, we completed a management buyout, after which our management and employees increased their Company ownership to approximately 90% of our equity capital leading up to our December 2001 public offering. On January 26, 2007, we delisted from the New York Stock Exchange (“NYSE”) in conjunction with a going-private transaction executed with certain private equity investment funds, as well as approximately 250 senior management personnel. On December 17, 2013, we completed an initial public offering of our common stock. On October 6, 2019, we entered into a Stewardship Framework Agreement (the “Stewardship Framework Agreement”) with MR BridgeStone Advisor LLC (“Mantle Ridge”), on behalf of itself and its affiliated funds (such funds, together with Mantle Ridge, collectively, the “Mantle Ridge Group”), pursuant to which several new directors were elected to our Board of Directors and John Zillmer was appointed as our Chief Executive Officer.</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Aramark’s Intention to Spin-off Uniform Segment</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May 10, 2022, we announced our intention to spin-off our Uniform segment into an independent publicly traded company to our stockholders. The proposed spin-off is intended to be a tax-free transaction to us and our stockholders for United States federal income tax purposes. The proposed spin-off is expected to be completed in the second half of fiscal 2023, subject to certain customary conditions, including final approval of our Board of Directors, receipt of a favorable opinion and Internal Revenue Service ruling with respect to the tax-free nature of the transaction, the effectiveness of a registration statement on</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Form 10 to be filed with the SEC and the receipt of other regulatory approvals. Refer to Note 15 to the audited consolidated financial statements for the Uniform segment financial disclosures.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Recent global events, including the COVID-19 pandemic ("COVID-19"), have adversely affected global economies, disrupted global supply chains and labor force participation and created significant volatility and disruption of financial markets. COVID-19 related disruptions negatively impacted our financial and operating results beginning in the second quarter of fiscal 2020 through the first half of fiscal 2021. Our financial results started to improve during the second half of fiscal 2021 and continued to improve throughout fiscal 2022 as COVID-19 restrictions were lifted and operations re-opened. In addition, the ongoing conflict between Russia and Ukraine, countries in which we do not have direct operations, further disrupted global supply chains and heightened volatility and disruption of global financial markets. The ongoing volatility and disruption of financial markets caused by these global events, as well as other current global economic factors, triggered inflation in our food and labor costs, increased market interest rates and has driven significant changes in foreign currencies. The impact on our longer-term operational and financial performance will depend on future developments, including our response and governmental response to inflation, our interest rate hedging strategy, the duration and severity of the ongoing volatility and disruption of global financial markets and our ability to effectively hire and retain personnel. Some of these future developments are outside of our control and are highly uncertain.</w:t>
      </w:r>
    </w:p>
    <w:p>
      <w:pPr>
        <w:spacing w:after="0" w:line="7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continue to remain principally focused on the safety and well-being of our employees, clients and everyone we serve, while simultaneously taking timely, proactive measures to adapt to the current environment. Throughout fiscal 2022, we saw continued improved profitability from clients re-opening as COVID-19 restrictions eased as well as from effective management of operating costs, including supply chain initiatives, and pricing pass-throughs to mitigate the effects of elevated inflation. We continue to evaluate and react to the effects of a prolonged global disruption, including items such as inflationary pressures on food and product costs, greater labor challenges and the financial condition of our clients in certain businesses. We expect these challenges to continue into fiscal 2023, and we regularly evaluate and react in order to take appropriate actions to mitigate the risk in these areas.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Food and Support Services</w:t>
      </w:r>
    </w:p>
    <w:p>
      <w:pPr>
        <w:spacing w:after="0" w:line="108"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Our Food and Support Services segments manage a number of interrelated services, including food, hospitality, procurement and facility services, for school districts, colleges &amp; universities, healthcare &amp; senior living facilities, businesses, sports, entertainment &amp; recreational venues, conference &amp; convention centers, national &amp; state parks and correctional institutions.</w:t>
      </w:r>
    </w:p>
    <w:p>
      <w:pPr>
        <w:spacing w:after="0" w:line="5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are the exclusive provider of food and beverage services at most of the locations we serve and are responsible for hiring, training and supervising the majority of the food service personnel in addition to ordering, receiving, preparing and serving food and beverage items sold at those facilities. Our facilities services capabilities are broad, and include plant operations and maintenance, custodial/housekeeping, energy management, grounds keeping and capital project management. In governmental, business, educational and healthcare facilities (for example, offices and industrial plants, schools and universities and hospitals and senior living), our clients provide us with a captive customer base through their on-site employees, students and patients. At sports, entertainment and recreational facilities, our clients attract patrons to their site, usually for specific events such as sporting events, concerts and conventions.</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manage our Food and Support Services business in two geographic reportable segments split between our United States and International operations. In fiscal 2022, our FSS United States segment generated $10,030.8 million in revenue, or 62% of our total revenue, and our FSS International segment generated $3,656.4 million in revenue, or 22% of our total revenue. No individual client represents more than 2% of our total revenue, other than, collectively, a number of United States government agencies.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Clients and Services</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Food and Support Services segments serve a number of sectors across 19 countries around the world. Our Food and Support Services operations focus on serving clients in five principal sectors: Education, Healthcare, Business &amp; Industry, Sports, Leisure &amp; Corrections and Facilities &amp;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FSS United States segment, the range of services provided by sector are as follows:</w:t>
      </w:r>
    </w:p>
    <w:p>
      <w:pPr>
        <w:spacing w:after="0" w:line="102" w:lineRule="exact"/>
        <w:rPr>
          <w:sz w:val="20"/>
          <w:szCs w:val="20"/>
          <w:color w:val="auto"/>
        </w:rPr>
      </w:pPr>
    </w:p>
    <w:p>
      <w:pPr>
        <w:ind w:left="340"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Education. </w:t>
      </w:r>
      <w:r>
        <w:rPr>
          <w:rFonts w:ascii="Times New Roman" w:cs="Times New Roman" w:eastAsia="Times New Roman" w:hAnsi="Times New Roman"/>
          <w:sz w:val="18"/>
          <w:szCs w:val="18"/>
          <w:color w:val="auto"/>
        </w:rPr>
        <w:t>Within the Education sector, we serve Higher Education and K-12 clients. We deliver a wide range of food and food-related services,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procurement services, at more than 1,320 colleges, universities, school systems &amp; districts and private schools. We offer our education clients a single source provider for food-related managed service solutions, including dining, catering, food service management and convenience-oriented retail operations.</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Healthcare. </w:t>
      </w:r>
      <w:r>
        <w:rPr>
          <w:rFonts w:ascii="Times New Roman" w:cs="Times New Roman" w:eastAsia="Times New Roman" w:hAnsi="Times New Roman"/>
          <w:sz w:val="18"/>
          <w:szCs w:val="18"/>
          <w:color w:val="auto"/>
        </w:rPr>
        <w:t>We provide a wide range of non-clinical food and food-related support services to approximately 652 healthcare and senior living clients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more than 733 facilities. Our food and food-related services include patient food and nutrition, retail food, environmental services and procurement services.</w:t>
      </w:r>
    </w:p>
    <w:p>
      <w:pPr>
        <w:spacing w:after="0" w:line="38" w:lineRule="exact"/>
        <w:rPr>
          <w:sz w:val="20"/>
          <w:szCs w:val="20"/>
          <w:color w:val="auto"/>
        </w:rPr>
      </w:pPr>
    </w:p>
    <w:p>
      <w:pPr>
        <w:jc w:val="both"/>
        <w:ind w:left="340" w:right="280"/>
        <w:spacing w:after="0" w:line="284" w:lineRule="auto"/>
        <w:rPr>
          <w:sz w:val="20"/>
          <w:szCs w:val="20"/>
          <w:color w:val="auto"/>
        </w:rPr>
      </w:pPr>
      <w:r>
        <w:rPr>
          <w:rFonts w:ascii="Times New Roman" w:cs="Times New Roman" w:eastAsia="Times New Roman" w:hAnsi="Times New Roman"/>
          <w:sz w:val="18"/>
          <w:szCs w:val="18"/>
          <w:i w:val="1"/>
          <w:iCs w:val="1"/>
          <w:color w:val="auto"/>
        </w:rPr>
        <w:t>Business &amp; Industry</w:t>
      </w:r>
      <w:r>
        <w:rPr>
          <w:rFonts w:ascii="Times New Roman" w:cs="Times New Roman" w:eastAsia="Times New Roman" w:hAnsi="Times New Roman"/>
          <w:sz w:val="18"/>
          <w:szCs w:val="18"/>
          <w:color w:val="auto"/>
        </w:rPr>
        <w:t>. We provide a comprehensive range of business dining services, including on-site restaurants, catering, convenience stores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dining.</w:t>
      </w:r>
    </w:p>
    <w:p>
      <w:pPr>
        <w:spacing w:after="0" w:line="39" w:lineRule="exact"/>
        <w:rPr>
          <w:sz w:val="20"/>
          <w:szCs w:val="20"/>
          <w:color w:val="auto"/>
        </w:rPr>
      </w:pPr>
    </w:p>
    <w:p>
      <w:pPr>
        <w:jc w:val="both"/>
        <w:ind w:left="340" w:right="280"/>
        <w:spacing w:after="0" w:line="266" w:lineRule="auto"/>
        <w:rPr>
          <w:sz w:val="20"/>
          <w:szCs w:val="20"/>
          <w:color w:val="auto"/>
        </w:rPr>
      </w:pPr>
      <w:r>
        <w:rPr>
          <w:rFonts w:ascii="Times New Roman" w:cs="Times New Roman" w:eastAsia="Times New Roman" w:hAnsi="Times New Roman"/>
          <w:sz w:val="18"/>
          <w:szCs w:val="18"/>
          <w:color w:val="auto"/>
        </w:rPr>
        <w:t>We also provide beverage and vending services to business &amp; industry clients at thousands of locations. Our service and product offerings include a full range of coffee offerings, “grab and go” food operations, mailed gift boxes, convenience stores, micromarkets and a proprietary drinking water filtration system.</w:t>
      </w:r>
    </w:p>
    <w:p>
      <w:pPr>
        <w:spacing w:after="0" w:line="52" w:lineRule="exact"/>
        <w:rPr>
          <w:sz w:val="20"/>
          <w:szCs w:val="20"/>
          <w:color w:val="auto"/>
        </w:rPr>
      </w:pPr>
    </w:p>
    <w:p>
      <w:pPr>
        <w:ind w:left="340" w:right="100"/>
        <w:spacing w:after="0" w:line="257" w:lineRule="auto"/>
        <w:rPr>
          <w:sz w:val="20"/>
          <w:szCs w:val="20"/>
          <w:color w:val="auto"/>
        </w:rPr>
      </w:pPr>
      <w:r>
        <w:rPr>
          <w:rFonts w:ascii="Times New Roman" w:cs="Times New Roman" w:eastAsia="Times New Roman" w:hAnsi="Times New Roman"/>
          <w:sz w:val="18"/>
          <w:szCs w:val="18"/>
          <w:i w:val="1"/>
          <w:iCs w:val="1"/>
          <w:color w:val="auto"/>
        </w:rPr>
        <w:t>Sports, Leisure &amp; Corrections</w:t>
      </w:r>
      <w:r>
        <w:rPr>
          <w:rFonts w:ascii="Times New Roman" w:cs="Times New Roman" w:eastAsia="Times New Roman" w:hAnsi="Times New Roman"/>
          <w:sz w:val="18"/>
          <w:szCs w:val="18"/>
          <w:color w:val="auto"/>
        </w:rPr>
        <w:t>. We provide concessions, banquet and catering services, retail services and merchandise sales, recreational and lodging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and facility management services at sports, entertainment and recreational facilities. We serve hundreds of venues for professional (including minor league affiliates) and college sports teams, including 28 teams in Major League Baseball, the National Basketball Association, the National Football League and the National Hockey League and at more than 100 colleges and universities. We also serve convention and civic centers, national and state parks and other resort operations, plus other popular tourist attractions in the United States. Additionally, we provide correctional food services, operate commissaries, laundry facilities and property rooms.</w:t>
      </w:r>
    </w:p>
    <w:p>
      <w:pPr>
        <w:spacing w:after="0" w:line="47" w:lineRule="exact"/>
        <w:rPr>
          <w:sz w:val="20"/>
          <w:szCs w:val="20"/>
          <w:color w:val="auto"/>
        </w:rPr>
      </w:pPr>
    </w:p>
    <w:p>
      <w:pPr>
        <w:ind w:left="340"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Facilities &amp; Other. </w:t>
      </w:r>
      <w:r>
        <w:rPr>
          <w:rFonts w:ascii="Times New Roman" w:cs="Times New Roman" w:eastAsia="Times New Roman" w:hAnsi="Times New Roman"/>
          <w:sz w:val="18"/>
          <w:szCs w:val="18"/>
          <w:color w:val="auto"/>
        </w:rPr>
        <w:t>We provide a variety of support services to more than 435 facilities clients and more than 800 locations. These services include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of housekeeping, plant operations and maintenance, energy management, custodial, groundskeeping, landscaping, transportation, capital program management and payment services and other facility consulting services relating to building operations. We also provide procurement services for a number of clients in a variety of industries.</w:t>
      </w:r>
    </w:p>
    <w:p>
      <w:pPr>
        <w:spacing w:after="0" w:line="6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FSS International segment provides a similar range of services as those provided to our FSS United States segment clients and operates in each of the sectors. We have operations in 18 countries outside the United States. Our largest international operations are in Canada, Chile, China, Germany, Spain and the United Kingdom. We also have a strong presence in Japan through our 50% ownership of AIM Services Co., Ltd., which is a leader in providing outsourced food services in Japan. There are particular risks associated with our international operations. Please see Item 1A. “Risk Factors.”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Purchasing</w:t>
      </w:r>
    </w:p>
    <w:p>
      <w:pPr>
        <w:spacing w:after="0" w:line="9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negotiate the pricing and other terms for the majority of our purchases of food and related products in the United States and Canada directly with national manufacturers and suppliers. Due to our ability to negotiate favorable terms with our suppliers, we receive vendor consideration, including volume discounts, rebates and other applicable credits. See “Types of Contracts” below. We purchase most products and other items through food service distribution companies, including Sysco Corporation ("Sysco"), US Foods, Performance Food Group and other regional distributors. Sysco is our primary distributor with respect to our food and facilities business, while US Foods is our primary distributor with respect to our procurement services business. Our distributors are responsible for tracking our orders and delivering products to our specific locations. Our location managers also purchase a number of items, including bread, dairy products and alcoholic beverages from local suppliers, and we purchase certain items directly from manufacturers.</w:t>
      </w:r>
    </w:p>
    <w:p>
      <w:pPr>
        <w:spacing w:after="0" w:line="6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terms of our agreements with our distributors vary. Some agreements are for an indefinite term, subject to termination by either party after a notice period, which is generally 60 to 120 days, while others are for a fixed term with termination rights only for cause. The pricing and other financial terms of these agreements are renegotiated periodically.</w:t>
      </w:r>
    </w:p>
    <w:p>
      <w:pPr>
        <w:spacing w:after="0" w:line="54"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Our relationship with Sysco is important to our operations and we have had distribution agreements in place for over 40 years. We have a master distribution agreement with Sysco that covers a significant amount of our purchases of products and items in the United States and another distribution agreement with Sysco that covers our purchases of products in Canada. In fiscal 2022, Sysco distributed approximately 46% of our food and non-food products in the United States and Canada based on purchase dollars, and we believe that we are one of their largest clients. However, we believe that the products acquired through Sysco can, in significant cases, be purchased through other sources and that termination of our relationship with them or any disruption of their business would cause only short-term disruptions to our operations.</w:t>
      </w:r>
    </w:p>
    <w:p>
      <w:pPr>
        <w:spacing w:after="0" w:line="5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our FSS International segment (other than Canada), our approach to purchasing is substantially similar. On a country-by-country basis, we negotiate pricing and other terms for a majority of our purchases of food and related products with manufacturers and suppliers operating in the applicable country, and we purchase these products and other items through distributors in that country. Due to our ability to negotiate favorable terms with our suppliers, we receive vendor consideration, including volume discounts, rebates and other applicable credits. See “Types of Contracts” below. As in the United States and Canada, our location managers also purchase a number of items, including bread, dairy products and alcoholic beverages from local suppliers, and we purchase certain items directly from manufacturers. Generally, our agreements with our distributors in</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FSS International segment are subject to termination by either party after a notice period, which is generally 60 days. The pricing and other financial terms of these agreements are renegotiated periodically.</w:t>
      </w:r>
    </w:p>
    <w:p>
      <w:pPr>
        <w:spacing w:after="0" w:line="2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relationship with distributors in the countries outside the United States and Canada is important to our operations, but from an overall volume standpoint, no distributor outside the United States and Canada distributes a significant volume of products. We believe that products we acquire from our distributors in countries outside the United States and Canada can, in significant cases, be purchased from other sources, and that the termination of our relationships with our distributors outside the United States and Canada, or the disruption of their business operations, would cause only short-term disruption to our operations.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maintain selling and marketing excellence by focusing on optimizing resource allocation and deployment. We target growth by aligning our efforts directly with the sectors and services in which we operate to deliver differentiated and innovative solutions. We have established consistent tools, methodologies and training to efficiently support the development of our employees as they work within our individual businesses to help ensure a close connection to the business, their teammates and client partners. One key effort in our approach is identifying and matching individuals at various levels in our organization with individuals in a variety of roles at both existing and potential clients. We believe that these connections throughout various levels within the client organization allow us to develop strong relationships with the client and gain a better understanding of the clients' requirements. Based on the knowledge of the clients' requirements and the sector, our goal is to develop solutions for the client that are unique and that help to differentiate us from our competitors.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Types of Contracts</w:t>
      </w:r>
    </w:p>
    <w:p>
      <w:pPr>
        <w:spacing w:after="0" w:line="1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use contracts with our customers that allow us to manage our potential upside and downside risk in connection with our various business interactions. Our contracts may require that consent be obtained in order to raise prices on the food, beverages and merchandise we sell within a particular facility. The contracts that we enter into vary in length. Contracts generally are for fixed terms, many of which are in excess of one year. Contracts for education and sports and leisure services typically require larger capital investments, but have correspondingly longer fixed terms, usually from five to fifteen years.</w:t>
      </w:r>
    </w:p>
    <w:p>
      <w:pPr>
        <w:spacing w:after="0" w:line="5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When we enter into new contracts, or extend or renew existing contracts, particularly those for stadiums, arenas, convention centers, colleges and universities and business dining accounts, we are sometimes contractually required to make some form of up-front or future investment, which often includes capital expenditures to help finance improvement or renovation, typically to the food and beverage facilities of the venue from which we operate. Contractually required capital expenditures typically take the form of investments in leasehold improvements, equipment and/or grants to clients. At the end of the contract term or upon its earlier termination, assets such as equipment and leasehold improvements typically become the property of the client, but generally the client must reimburse us for any undepreciated or unamortized capital investments.</w:t>
      </w:r>
    </w:p>
    <w:p>
      <w:pPr>
        <w:spacing w:after="0" w:line="5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Food and Support Services contracts are generally obtained and renewed either through a competitive process or on a negotiated basis, although contracts in the public sector, including school districts and correctional clients, are frequently awarded on a competitive bid basis, as required by applicable law. Contracts in the private sector may be entered into without a formal bid process, but we and other companies will often compete in the process leading up to the award or the completion of contract negotiations. Typically, after the award, final contract terms are negotiated and agreed upon.</w:t>
      </w:r>
    </w:p>
    <w:p>
      <w:pPr>
        <w:spacing w:after="0" w:line="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two general contract types in our Food and Support Services segments: profit and loss contracts and client interest contracts. These contracts differ in their provision for the amount of financial risk that we bear and, accordingly, the potential compensation, profits or fees we may receive. Payments made to clients and management fees, if any, may vary significantly among contracts based upon various factors, including the type of facility involved, the term of the contract, the services we provide and the amount of capital we invest.</w:t>
      </w:r>
    </w:p>
    <w:p>
      <w:pPr>
        <w:spacing w:after="0" w:line="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Profit and Loss Contracts. </w:t>
      </w:r>
      <w:r>
        <w:rPr>
          <w:rFonts w:ascii="Times New Roman" w:cs="Times New Roman" w:eastAsia="Times New Roman" w:hAnsi="Times New Roman"/>
          <w:sz w:val="18"/>
          <w:szCs w:val="18"/>
          <w:color w:val="auto"/>
        </w:rPr>
        <w:t>Under profit and loss contracts, we receive all revenue from, and bear all expenses of, the provision of our services at a client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location. Expenses under profit and loss contracts sometimes include payments made to the client, typically calculated as a fixed or variable percentage of various categories of revenue, and, in some cases, require minimum guaranteed payments. We benefit from greater upside potential with a profit and loss contract, although we do consequently bear greater downside risk than with a client interest contract. For fiscal 2022, approximately two-thirds of our Food and Support Services revenue was derived from profit and loss contracts.</w:t>
      </w:r>
    </w:p>
    <w:p>
      <w:pPr>
        <w:spacing w:after="0" w:line="48"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Client Interest Contracts. </w:t>
      </w:r>
      <w:r>
        <w:rPr>
          <w:rFonts w:ascii="Times New Roman" w:cs="Times New Roman" w:eastAsia="Times New Roman" w:hAnsi="Times New Roman"/>
          <w:sz w:val="18"/>
          <w:szCs w:val="18"/>
          <w:color w:val="auto"/>
        </w:rPr>
        <w:t>Client interest contracts include management fee contracts, under which our clients reimburse our operating costs and pay us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fee, which may be calculated as a fixed dollar amount or a percentage of revenue or operating costs. Some management fee contracts entitle us to receive incentive fees based upon our performance under the contract, as measured by factors such as revenue, operating costs and client satisfaction surveys. Client interest contracts also include limited profit and loss contracts, under which we receive a percentage of any profits earned from the provision of our services at the facility and we generally receive no payments if there are losses. As discussed above under “Purchasing", we earn vendor consideration, including discounts, rebates and other applicable credits that we typically retain except in those cases</w:t>
      </w: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where the contract and/or applicable law requires us to credit these to our clients. For our client interest contracts, both our upside potential and downside risk are reduced compared to our profit and loss contracts. For fiscal 2022, approximately one-third of our Food and Support Services revenue was derived from client interest contracts.</w:t>
      </w:r>
    </w:p>
    <w:p>
      <w:pPr>
        <w:spacing w:after="0" w:line="41"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 response to the early stages of the COVID-19 pandemic, in certain instances, mainly within the Business &amp; Industry sector, we renegotiated contract terms by temporarily transitioning from profit and loss contracts to client interest contracts in order to mitigate lost profits. As COVID restrictions lifted and operations re-opened, we are working with our clients to transition back to profit and loss contracts, as appropriate.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There is significant competition in the Food and Support Services business from local, regional, national and international companies, as well as from the businesses, healthcare institutions, senior living facilities, colleges and universities, correctional facilities, school districts and public assembly facilities that decide to provide these services themselves. Institutions may decide to operate their own services or outsource to one of our competitors following the expiration or termination of contracts with us. In our FSS United States segment, our external competitors include other multi-regional food and support service providers, such as Compass Group plc, Delaware North Companies Inc. and Sodexo SA. Internationally, our external food service and support service competitors include Compass Group plc, Elior SA, ISS and Sodexo SA. We also face competition from many regional and local service providers.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following competitive factors are the principal drivers of our success:</w:t>
      </w:r>
    </w:p>
    <w:p>
      <w:pPr>
        <w:spacing w:after="0" w:line="104"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and breadth of services and management talent;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 within the industry;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strength and stability;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scale.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revenue and operating results have varied, and we expect them to continue to vary, from quarter to quarter as a result of different factors. Historically, within our FSS United States segment, there has been a lower level of activity during our first and second fiscal quarters in operations that provide services to sports and leisure clients. This lower level of activity, historically, has been partially offset during our first and second fiscal quarters by the increased activity levels in our educational operations. Conversely, historically there has been a significant increase in the provision of services to sports and leisure clients during our third and fourth fiscal quarters, which is partially offset by the effect of summer recess at colleges, universities and schools in our educational operations. Recently, our business and results of operations have started to resemble our historically typical patterns of seasonality following the disruption caused by COVID-19.</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Uniform</w:t>
      </w:r>
    </w:p>
    <w:p>
      <w:pPr>
        <w:spacing w:after="0" w:line="54" w:lineRule="exact"/>
        <w:rPr>
          <w:sz w:val="20"/>
          <w:szCs w:val="20"/>
          <w:color w:val="auto"/>
        </w:rPr>
      </w:pPr>
    </w:p>
    <w:p>
      <w:pPr>
        <w:ind w:right="380"/>
        <w:spacing w:after="0" w:line="250" w:lineRule="auto"/>
        <w:rPr>
          <w:sz w:val="20"/>
          <w:szCs w:val="20"/>
          <w:color w:val="auto"/>
        </w:rPr>
      </w:pPr>
      <w:r>
        <w:rPr>
          <w:rFonts w:ascii="Times New Roman" w:cs="Times New Roman" w:eastAsia="Times New Roman" w:hAnsi="Times New Roman"/>
          <w:sz w:val="18"/>
          <w:szCs w:val="18"/>
          <w:color w:val="auto"/>
        </w:rPr>
        <w:t>Our Uniform segment provides a full-service employee uniform solution, resulting in a contracted and recurring revenue model. The customer base is serviced by a leading geographic footprint in the United States and Canada with programs focused on uniforms, floor mats, towels, linens, managed restroom and first aid services. Customers operate in a wide range of industries in the United States and Canada.</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Clients use our uniforms to meet a variety of needs, including:</w:t>
      </w:r>
    </w:p>
    <w:p>
      <w:pPr>
        <w:spacing w:after="0" w:line="90"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corporate identity and brand awareness;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projecting a professional image;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workers—work clothes can help protect workers from difficult environments such as heavy soils, heat, flame or chemicals;</w:t>
      </w:r>
    </w:p>
    <w:p>
      <w:pPr>
        <w:spacing w:after="0" w:line="90" w:lineRule="exact"/>
        <w:rPr>
          <w:rFonts w:ascii="Times New Roman" w:cs="Times New Roman" w:eastAsia="Times New Roman" w:hAnsi="Times New Roman"/>
          <w:sz w:val="18"/>
          <w:szCs w:val="18"/>
          <w:color w:val="auto"/>
        </w:rPr>
      </w:pPr>
    </w:p>
    <w:p>
      <w:pPr>
        <w:ind w:left="660" w:right="7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products—uniforms can help protect products against contamination in the food, pharmaceutical, electronics, health care and automotive industries.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fiscal 2022, our Uniform segment generated $2,639.4 million in revenue, or 16% of our total revenue.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Clients and Services</w:t>
      </w:r>
    </w:p>
    <w:p>
      <w:pPr>
        <w:spacing w:after="0" w:line="9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serve businesses of all sizes in many different industries. We have a diverse client base, in which none of our clients individually represents a material portion of our revenue. We typically visit our clients' sites weekly, delivering clean, finished</w:t>
      </w: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75" w:right="3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uniforms and, at the same time, removing the soiled uniforms or other items for cleaning, repair or replacement. We also offer products for direct sale.</w:t>
      </w:r>
    </w:p>
    <w:p>
      <w:pPr>
        <w:spacing w:after="0" w:line="9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cleanroom service offers advanced static dissipative garments, barrier apparel, sterile garments and cleanroom application accessories for clients with contamination-free operations in the technology, healthcare and pharmaceutical industries.</w:t>
      </w:r>
    </w:p>
    <w:p>
      <w:pPr>
        <w:spacing w:after="0" w:line="40"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We conduct our direct marketing business through three primary brands - WearGuard, Crest and Aramark. We design, source or manufacture and distribute distinctive image apparel to workers in a wide variety of industries through the internet at www.shoparamark.com, dedicated sales representatives and telemarketing sales channels. We customize and embroider personalized uniforms and logos for clients through an extensive computer assisted design center and distribute work clothing, outerwear, business casual apparel and footwear throughout the United States, Puerto Rico and Canada.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w:t>
      </w:r>
    </w:p>
    <w:p>
      <w:pPr>
        <w:spacing w:after="0" w:line="94"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We operate our uniform rental business using a network of over 350 laundry plants, satellite plants, depots, distribution centers and manufacturing plants supporting approximately 3,450 pick-up and delivery routes. We operate a fleet of service vehicles that pick up and deliver uniforms for cleaning and maintenance. We conduct our direct marketing activities principally from our facilities in Salem, Virginia; Norwell and Rockland, Massachusetts; Reno, Nevada; and Phoenix, Arizona. We market our own brands of apparel and offer a variety of customized personalization options such as embroidery and logos. We also source uniforms and other products to our specifications from a number of domestic and international suppliers and also manufacture a significant portion of our uniform requirements. We purchase uniform and textile products as well as equipment and supplies from domestic and international suppliers. The loss of any one supplier would not have a significant impact on us. We operate cutting and sewing plants in Mexico, which satisfy a substantial amount of our standard uniform inventory needs.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0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Our sales representatives and route sales drivers are responsible for selling our services to current and potential clients and developing new accounts through the use of an extensive, proprietary database of pre-screened and qualified business prospects. We build our brand identity through local advertising, promotional initiatives and through our distinctive service vehicles. Our clients frequently come to us through client referrals, either from our uniform rental business or from our other service offerings. Our customer service representatives generally interact on a weekly basis with their clients, while our support personnel are charged with expeditiously handling client requirements regarding the outfitting of new client employees and other customer service needs.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Types of Contracts</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typically serve our rental clients under written service contracts for an initial term of three to five years. While clients are not required to make an up-front investment for their uniforms, in the case of nonstandard uniforms and certain specialty programs, clients typically agree to reimburse us for our costs if they terminate their agreement early. With the exception of certain governmental bid business, most of our direct marketing business is conducted under invoice arrangement with repeat clients.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There is significant competition in all the areas that we serve, and such competition varies across geographies. Although many competitors are smaller local and regional firms, we also face competition from other large national firms such as Cintas Corporation and UniFirst Corporation. We believe that the primary competitive factors that affect our operations are quality, service, design, consistency of product, distribution capability, particularly for large multi-location clients, and price. We believe that our ability to compete effectively is enhanced by the quality and breadth of our product line as well as our nationwide reach.</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Be Well. Do Well. </w:t>
      </w:r>
      <w:r>
        <w:rPr>
          <w:rFonts w:ascii="Times New Roman" w:cs="Times New Roman" w:eastAsia="Times New Roman" w:hAnsi="Times New Roman"/>
          <w:sz w:val="18"/>
          <w:szCs w:val="18"/>
          <w:b w:val="1"/>
          <w:bCs w:val="1"/>
          <w:color w:val="auto"/>
        </w:rPr>
        <w:t>- Our Sustainability Plan</w:t>
      </w:r>
    </w:p>
    <w:p>
      <w:pPr>
        <w:spacing w:after="0" w:line="10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Be Well. Do Well. </w:t>
      </w:r>
      <w:r>
        <w:rPr>
          <w:rFonts w:ascii="Times New Roman" w:cs="Times New Roman" w:eastAsia="Times New Roman" w:hAnsi="Times New Roman"/>
          <w:sz w:val="18"/>
          <w:szCs w:val="18"/>
          <w:color w:val="auto"/>
        </w:rPr>
        <w:t>is Aramark’s sustainability plan and directly connects to our mission: Because we’re rooted in service, we do great things for our people,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partners, our communities, and our planet. As part of this 5-year strategy, introduced in 2019, we identified priorities that align with our business objectives, with a focus on efforts to help people and our planet, as we serve our clients, employees, shareholders, and other stakeholders. Our strategic people and planet goals convey our priorities and ambitions, focusing our efforts and inspiring our organization. Our people goal is to enable equity and well-being for millions of people, including our employees, customers, communities, and people in our supply chain. The "Human Capital" section below provides examples of this work. Our planet goal is to promote planetary health on our path to net zero. On November 17, 2021, we announced our commitment to set science-based targets to reduce greenhouse gas ("GHG") emissions, in line with the Science Based Targets initiative ("SBTi"). This commitment is in addition to our previously announced goal to reduce GHG emissions by 15%, from our 2019 baseline, by the end of 2025 (in the United States). In October 2022, we submitted near and long-term targets for validation aligned with SBTi’s Net-Zero Standard. As the food we purchase and serve accounts for a</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significant percentage of our total GHG emissions, we have therefore also signed the World Resources Institute Cool Food Pledge, through which we commit to reduce our United States food-related emissions 25% by 2030 from a 2019 baseline.</w:t>
      </w:r>
    </w:p>
    <w:p>
      <w:pPr>
        <w:spacing w:after="0" w:line="2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Board of Directors oversees our Environmental, Social and Governance ("ESG") goals and objectives, and supports implementation of our ESG priorities and commitments, progress towards which we will report in our 2022 Be Well. Do Well. Progress Report, to be released in early 2023. Our reporting aligns with multiple frameworks and standards including Sustainability Accounting Standards Board (SASB), the Global Reporting Initiative (GRI) and the Task Force on Climate-Related Financial Disclosures (TCFD). Aramark also submits a disclosure annually to CDP’s (formerly the Carbon Disclosure Project) climate and forest questionnaires, with responses available publicly. You can read more about Be Well. Do Well. and broader programs and initiatives on our website (www.aramark.com/sustainability). Nothing on our website shall be deemed incorporated by reference into this Annual Report on Form 10-K.</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0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As a company focused on delivering food, facilities and uniforms services in thousands of client locations across 19 countries, our human capital is material to our operations and core to the long-term success of Aramark.</w:t>
      </w:r>
    </w:p>
    <w:p>
      <w:pPr>
        <w:spacing w:after="0" w:line="2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People. </w:t>
      </w:r>
      <w:r>
        <w:rPr>
          <w:rFonts w:ascii="Times New Roman" w:cs="Times New Roman" w:eastAsia="Times New Roman" w:hAnsi="Times New Roman"/>
          <w:sz w:val="18"/>
          <w:szCs w:val="18"/>
          <w:color w:val="auto"/>
        </w:rPr>
        <w:t>As of September 30, 2022, we had a total of approximately 273,875 employees, including seasonal employees, consisting of approximately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28,175 management or salaried employees and approximately 245,700 frontline or hourly employees, up from an aggregate of approximately 248,300 employees as of the end of fiscal 2021. The approximate number of employees as of September 30, 2022 by segment was as follows: FSS United States: 135,350; FSS International: 117,850; and Uniform: 20,200. In addition, the Aramark corporate staff consisted of approximately 475 employees. The number of frontline or hourly employees fluctuates significantly through the course of the year due to the seasonal nature of some of our business and other operating requirements. We generally experience our highest level of employment during the fourth fiscal quarter. As of September 30, 2022, approximately 42,200 employees in our United States and Canadian operations were covered by approximately 730 collective bargaining agreements. Of those employees covered by collective bargaining agreements, approximately 33,100 employees are within the FSS United States segment and approximately 9,100 are within the Uniform segment. We have experienced no material interruptions of operations due to disputes with our employees.</w:t>
      </w:r>
    </w:p>
    <w:p>
      <w:pPr>
        <w:spacing w:after="0" w:line="67"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Diversity, Equity and Inclusion. </w:t>
      </w:r>
      <w:r>
        <w:rPr>
          <w:rFonts w:ascii="Times New Roman" w:cs="Times New Roman" w:eastAsia="Times New Roman" w:hAnsi="Times New Roman"/>
          <w:sz w:val="18"/>
          <w:szCs w:val="18"/>
          <w:color w:val="auto"/>
        </w:rPr>
        <w:t>As a result of being rooted in service, we do great things for our people, our partners, our communities, and our planet.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believe that it is vital to align our diversity, equity and inclusion priorities with our business strategy. As of September 30, 2022, our active United States employee base reflected the following gender, racial and ethnic demographic information:</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United States</w:t>
            </w:r>
          </w:p>
        </w:tc>
        <w:tc>
          <w:tcPr>
            <w:tcW w:w="96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Male</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Female</w:t>
            </w:r>
          </w:p>
        </w:tc>
        <w:tc>
          <w:tcPr>
            <w:tcW w:w="98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White</w:t>
            </w: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Minority</w:t>
            </w:r>
          </w:p>
        </w:tc>
        <w:tc>
          <w:tcPr>
            <w:tcW w:w="96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Black</w:t>
            </w:r>
          </w:p>
        </w:tc>
        <w:tc>
          <w:tcPr>
            <w:tcW w:w="100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Hispanic</w:t>
            </w:r>
          </w:p>
        </w:tc>
        <w:tc>
          <w:tcPr>
            <w:tcW w:w="84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Asian</w:t>
            </w: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American</w:t>
            </w: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Pacific</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 or more</w:t>
            </w:r>
          </w:p>
        </w:tc>
        <w:tc>
          <w:tcPr>
            <w:tcW w:w="0" w:type="dxa"/>
            <w:vAlign w:val="bottom"/>
          </w:tcPr>
          <w:p>
            <w:pPr>
              <w:spacing w:after="0"/>
              <w:rPr>
                <w:sz w:val="1"/>
                <w:szCs w:val="1"/>
                <w:color w:val="auto"/>
              </w:rPr>
            </w:pPr>
          </w:p>
        </w:tc>
      </w:tr>
      <w:tr>
        <w:trPr>
          <w:trHeight w:val="214"/>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Employee Population</w:t>
            </w:r>
          </w:p>
        </w:tc>
        <w:tc>
          <w:tcPr>
            <w:tcW w:w="96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Indian</w:t>
            </w:r>
          </w:p>
        </w:tc>
        <w:tc>
          <w:tcPr>
            <w:tcW w:w="9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Islander</w:t>
            </w:r>
          </w:p>
        </w:tc>
        <w:tc>
          <w:tcPr>
            <w:tcW w:w="8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races</w:t>
            </w:r>
          </w:p>
        </w:tc>
        <w:tc>
          <w:tcPr>
            <w:tcW w:w="0" w:type="dxa"/>
            <w:vAlign w:val="bottom"/>
          </w:tcPr>
          <w:p>
            <w:pPr>
              <w:spacing w:after="0"/>
              <w:rPr>
                <w:sz w:val="1"/>
                <w:szCs w:val="1"/>
                <w:color w:val="auto"/>
              </w:rPr>
            </w:pPr>
          </w:p>
        </w:tc>
      </w:tr>
      <w:tr>
        <w:trPr>
          <w:trHeight w:val="211"/>
        </w:trPr>
        <w:tc>
          <w:tcPr>
            <w:tcW w:w="1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44.43 %</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55.57 %</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41.06 %</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58.94 %</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29.70 %</w:t>
            </w:r>
          </w:p>
        </w:tc>
        <w:tc>
          <w:tcPr>
            <w:tcW w:w="10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19.21 %</w:t>
            </w:r>
          </w:p>
        </w:tc>
        <w:tc>
          <w:tcPr>
            <w:tcW w:w="84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6.64 %</w:t>
            </w:r>
          </w:p>
        </w:tc>
        <w:tc>
          <w:tcPr>
            <w:tcW w:w="108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0.66 %</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0.29 %</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2.44 %</w:t>
            </w:r>
          </w:p>
        </w:tc>
        <w:tc>
          <w:tcPr>
            <w:tcW w:w="0" w:type="dxa"/>
            <w:vAlign w:val="bottom"/>
          </w:tcPr>
          <w:p>
            <w:pPr>
              <w:spacing w:after="0"/>
              <w:rPr>
                <w:sz w:val="1"/>
                <w:szCs w:val="1"/>
                <w:color w:val="auto"/>
              </w:rPr>
            </w:pPr>
          </w:p>
        </w:tc>
      </w:tr>
      <w:tr>
        <w:trPr>
          <w:trHeight w:val="213"/>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Hourly Employees</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42.84 %</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57.16 %</w:t>
            </w:r>
          </w:p>
        </w:tc>
        <w:tc>
          <w:tcPr>
            <w:tcW w:w="10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37.57 %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62.43 %</w:t>
            </w:r>
          </w:p>
        </w:tc>
        <w:tc>
          <w:tcPr>
            <w:tcW w:w="10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31.64 %</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20.25 %</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7.04 %</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0.70 %</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0.30 %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2.50 %</w:t>
            </w:r>
          </w:p>
        </w:tc>
        <w:tc>
          <w:tcPr>
            <w:tcW w:w="0" w:type="dxa"/>
            <w:vAlign w:val="bottom"/>
          </w:tcPr>
          <w:p>
            <w:pPr>
              <w:spacing w:after="0"/>
              <w:rPr>
                <w:sz w:val="1"/>
                <w:szCs w:val="1"/>
                <w:color w:val="auto"/>
              </w:rPr>
            </w:pPr>
          </w:p>
        </w:tc>
      </w:tr>
      <w:tr>
        <w:trPr>
          <w:trHeight w:val="219"/>
        </w:trPr>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Salaried Employees</w:t>
            </w: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57.25 %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42.75 %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69.09 %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30.91 %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14.08 %</w:t>
            </w: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10.85 %</w:t>
            </w:r>
          </w:p>
        </w:tc>
        <w:tc>
          <w:tcPr>
            <w:tcW w:w="8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3.44 %</w:t>
            </w: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0.37 %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0.26 %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1.91 %</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7"/>
          <w:szCs w:val="17"/>
          <w:color w:val="auto"/>
        </w:rPr>
        <w:t>As of September 30, 2022, 36% of our Board of Directors and 50% of our CEO's direct reports were female. Continuing to increase diversity in executive and all levels of the leadership pipeline remains an organizational priority for the coming years. In 2022, we established ESG goals for our executive leadership team reflective of this priority. We have 11 active employee resource groups, examples include those supporting women, racially and ethnically diverse employees, the LGBTQ+ community, veterans and individuals with disabilities. These groups have 79 local hubs across the United States and international markets and play a key role in creating a culture of inclusion. In 2022, Aramark was recognized by DiversityInc as a Top Company for employee resource groups for the first time, and a Top 50 Company for Diversity for the sixth consecutive year. Aramark was also named one of the “Best Places to Work for Disability Inclusion,” for the sixth year in a row, by the 2022 Disability Equality Index®, earning a top score of 100%.</w:t>
      </w:r>
    </w:p>
    <w:p>
      <w:pPr>
        <w:spacing w:after="0" w:line="46"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Talent Acquisition, Development and Retention</w:t>
      </w:r>
      <w:r>
        <w:rPr>
          <w:rFonts w:ascii="Times New Roman" w:cs="Times New Roman" w:eastAsia="Times New Roman" w:hAnsi="Times New Roman"/>
          <w:sz w:val="18"/>
          <w:szCs w:val="18"/>
          <w:color w:val="auto"/>
        </w:rPr>
        <w:t>. Hiring, developing and retaining employees is critically important to our operations and we are focused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creating experiences and programs that foster growth, performance and retention. Acquiring the right talent at speed and scale is a core capability that we regularly monitor and manage, given the need to rapidly staff our frontline operations. As an example, in our FSS United States segment, in fiscal 2022, we hired 79,000 new employees, up from 59,000 in fiscal 2021, made up of 93% hourly employees and 7% salaried employees. We sponsor numerous training, education and leadership development programs for our employees, from hourly associates to upper levels of management, designed to enhance leadership and managerial capability, ensure quality execution of our programs, drive client satisfaction and increase return on investment.</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5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Community Engagement. </w:t>
      </w:r>
      <w:r>
        <w:rPr>
          <w:rFonts w:ascii="Times New Roman" w:cs="Times New Roman" w:eastAsia="Times New Roman" w:hAnsi="Times New Roman"/>
          <w:sz w:val="18"/>
          <w:szCs w:val="18"/>
          <w:color w:val="auto"/>
        </w:rPr>
        <w:t>Through our Aramark Building Community initiative, we create opportunities for our employees to do more 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volunteerism and engagement. In fiscal 2022, over 8,200 employees volunteered to host and participate in service projects supporting more than 928 nonprofits and benefiting over one million community members across 11 countries.</w:t>
      </w:r>
    </w:p>
    <w:p>
      <w:pPr>
        <w:spacing w:after="0" w:line="49"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Benefits, Safety and Wellness. </w:t>
      </w:r>
      <w:r>
        <w:rPr>
          <w:rFonts w:ascii="Times New Roman" w:cs="Times New Roman" w:eastAsia="Times New Roman" w:hAnsi="Times New Roman"/>
          <w:sz w:val="18"/>
          <w:szCs w:val="18"/>
          <w:color w:val="auto"/>
        </w:rPr>
        <w:t>In addition to offering market competitive salaries and wages, we offer comprehensive health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retirement benefits to eligible employees. Our core health and welfare benefits are supplemented with specific programs to manage or improve common health conditions, a variety of voluntary benefits and paid time away from work programs. We also provide a number of innovative programs designed to promote physical, emotional and financial well-being. Our commitment to the safety of our employees and a “zero harm” culture, continues to be a top priority, and through Aramark SAFE, our global safety management system, we empower our employees to identify, evaluate and manage risk throughout our locations.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business is subject to various federal, state, international, national, provincial and local laws and regulations, in areas such as environmental, labor, employment, immigration, privacy and data security, tax codes, health and safety laws and liquor licensing and dram shop matters. In addition, our facilities and products are subject to periodic inspection by federal, state, local and international authorities. We have established, and periodically update, various internal controls and procedures designed to maintain compliance with applicable laws and regulations. Our compliance programs are subject to legislative changes, or changes in regulatory interpretation, implementation or enforcement. From time to time both federal and state government agencies have conducted audits of certain of our practices as part of routine inquiries of providers of services under government contracts, or otherwise. Like others in our business, we receive requests for information from governmental agencies in connection with these audits. If we fail to comply with applicable laws, we may be subject to investigations, criminal sanctions or civil remedies, including fines, penalties, damages, reimbursement, injunctions, seizures, disgorgements, debarments from government contracts or loss of liquor licenses.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operations are subject to various laws and regulations, including, but not limited to, those governing:</w:t>
      </w:r>
    </w:p>
    <w:p>
      <w:pPr>
        <w:spacing w:after="0" w:line="90"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alcohol licensing and service;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collection of sales and other taxes;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wage, overtime, classification, wage payment and employment discrimination;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immigration;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funded entitlement programs and cost and accounting principles;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false claims, whistleblowers and customer protection;</w:t>
      </w:r>
    </w:p>
    <w:p>
      <w:pPr>
        <w:spacing w:after="0" w:line="90"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protection and environmental sustainability matters such as packaging and waste, greenhouse gas emissions, animal health and welfare, deforestation and land use;</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safety, sanitation, labeling and human health and safety;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customs and import and export controls;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Corrupt Practices Act, the U.K. Bribery Act and other anti-corruption laws;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antitrust, competition, procurement and lobbying;</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minority, women and disadvantaged business enterprise statutes;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motor carrier safety;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and data security.</w:t>
      </w:r>
    </w:p>
    <w:p>
      <w:pPr>
        <w:spacing w:after="0" w:line="9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laws and regulations relating to each of our Food and Support Services segments are numerous and complex. There are a variety of laws and regulations at various governmental levels relating to the handling, preparation, transportation and serving of food, including in some cases requirements relating to the temperature of food, the cleanliness of food production facilities, and the hygiene of food-handling personnel, which are enforced primarily at the local public health department level. While we attempt to comply with applicable laws and regulations, there can be no assurance that we are in full compliance at all times with all of the applicable laws and regulations or that we will be able to comply with any future laws and regulations. Furthermore, legislation and regulatory attention to food safety is very high. Additional or amended regulations in this area may significantly increase the cost of compliance or expose us to liability.</w:t>
      </w:r>
    </w:p>
    <w:p>
      <w:pPr>
        <w:spacing w:after="0" w:line="6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addition, various government agencies impose nutritional guidelines and other requirements on us at certain of the healthcare, senior living, education and corrections facilities we serve. We may also be subject to laws and regulations that limit</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or restrict the use of trans fats in the food we serve or other requirements relating to ingredient or nutrient labeling. There can be no assurance that legislation, or changes in regulatory implementation or interpretation of government regulations, would not limit our activities in the future or significantly increase the cost of regulatory compliance.</w:t>
      </w:r>
    </w:p>
    <w:p>
      <w:pPr>
        <w:spacing w:after="0" w:line="4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Because we serve alcoholic beverages at many sports, entertainment and recreational facilities, including convention centers and national and state parks, we also hold liquor licenses incidental to our food service operations and are subject to the liquor license requirements of the jurisdictions in which we hold a liquor license. As of September 30, 2022, our subsidiaries held liquor licenses in 44 states and the District of Columbia, 5 Canadian provinces and certain other countries. Typically, liquor licenses must be renewed annually and may be revoked or suspended for cause at any time. Alcoholic beverage control regulations relate to numerous aspects of our operations, including minimum age of patrons and employees, hours of operation, advertising, wholesale purchasing, inventory control and handling and storage, dispensing and service of alcoholic beverages. While we have not encountered any material problems relating to liquor licenses to date, the failure to receive or retain a liquor license in a particular location could adversely affect our ability to obtain such a license elsewhere. Some of our contracts require us to pay liquidated damages during any period in which the liquor license for the facility is suspended as a result of our actions, and most contracts are subject to termination if the liquor license for the facility is lost as a result of our actions. Our service of alcoholic beverages is also subject to alcoholic beverage service laws, commonly called dram shop statutes. Dram shop statutes generally prohibit serving alcoholic beverages to certain persons such as minors or visibly intoxicated persons. If we violate dram shop laws, we may be liable to the patron and/or to third parties for the acts of the visibly intoxicated patron. We sponsor regular training programs designed to minimize the likelihood of such a situation and to take advantage of certain safe harbors and affirmative defenses enacted for the benefit of alcoholic beverage service providers. However, we cannot guarantee that intoxicated or minor patrons will not be served or that liability for their acts will not be imposed on us.</w:t>
      </w:r>
    </w:p>
    <w:p>
      <w:pPr>
        <w:spacing w:after="0" w:line="7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uniform rental business and our Food and Support Service business are subject to various environmental protection laws and regulations, including the United States Federal Clean Water Act, Clean Air Act, Resource Conservation and Recovery Act, Comprehensive Environmental Response, Compensation, and Liability Act and similar local, state, federal and international laws and regulations governing the use, management, shipping and disposal of chemicals and hazardous materials. In particular, industrial laundries use certain detergents and cleaning chemicals to launder garments and other merchandise. The residues from such detergents and chemicals and residues from soiled garments and other merchandise laundered at our facilities may result in potential discharges to air and to water (through sanitary sewer systems and publicly owned treatment works) and may be contained in waste generated by our wastewater treatment systems. Our industrial laundries are subject to certain volume and chemical air and water pollution discharge limits, monitoring, permitting and recordkeeping requirements. We own or operate aboveground and underground storage tank systems at some locations to store petroleum products for use in our or our clients' operations. Certain of these storage tank systems also are subject to performance standards, periodic monitoring and recordkeeping requirements. We also may use and manage chemicals and hazardous materials in our operations from time to time. We are mindful of the environmental concerns surrounding the use, management, shipping and disposal of these chemicals and hazardous materials, and have taken and continue to take measures to comply with environmental protection laws and regulations. Given the regulated nature of some of our operations, we could face penalties and fines for non-compliance. In the past, we have settled, or contributed to the settlement of, actions or claims relating to the management of underground storage tanks and the handling and disposal of chemicals or hazardous materials, either on or off-site. We may, in the future, be required to expend material amounts to rectify the consequences of any such events. Under environmental laws, we may be liable for the costs of removal or remediation of certain hazardous materials located on or in or migrating from our owned or leased property or our clients' properties, as well as related costs of investigation and property damage. Such laws may impose liability without regard to our fault, knowledge or responsibility for the presence of such hazardous substances. We may not know whether our clients' properties or our acquired or leased properties have been operated in compliance with environmental laws and regulations or that our future uses or conditions will not result in the imposition of liability upon us under such laws or expose us to third-party actions such as tort suits. As of September 30, 2022, we do not anticipate any expenditures for environmental remediation that would have a material effect on our financial condition.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94"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We have the patents, trademarks, trade names and licenses that are necessary for the operation of our business. Other than the Aramark brand, which includes our corporate starperson logo design, the Aramark word mark (our name) and the Avendra brand, we do not consider our patents, trademarks, trade names and licenses to be material to the operation of our business.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0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file annual, quarterly and current reports as well as other information with the SEC. These filings are available to the public over the internet at the SEC's website at www.sec.gov.</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principal internet address is www.aramark.com. We make available free of charge on www.aramark.com our annual, quarterly and current reports, and amendments to those reports, as soon as reasonably practicable after we electronically file such material with, or furnish it to, the SEC.</w:t>
      </w:r>
    </w:p>
    <w:p>
      <w:pPr>
        <w:spacing w:after="0" w:line="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Business Conduct Policy includes a code of ethics for our principal executive officer, our principal financial officer and our principal accounting officer and applies to all of our employees and non-employee directors. Our Business Conduct Policy is available on the Investor Relations section of our website at www.aramark.com and is available in print to any person who requests it by writing or telephoning us at the address or telephone number set forth below.</w:t>
      </w:r>
    </w:p>
    <w:p>
      <w:pPr>
        <w:spacing w:after="0" w:line="5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You may request a copy of our SEC filings (excluding exhibits) and our Business Conduct Policy at no cost by writing or telephoning us at the following address or telephone number:</w:t>
      </w:r>
    </w:p>
    <w:p>
      <w:pPr>
        <w:spacing w:after="0" w:line="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Aramark</w:t>
      </w:r>
    </w:p>
    <w:p>
      <w:pPr>
        <w:spacing w:after="0" w:line="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2400 Market Street</w:t>
      </w:r>
    </w:p>
    <w:p>
      <w:pPr>
        <w:spacing w:after="0" w:line="1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1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Telephone: (215) 238-3000</w:t>
      </w:r>
    </w:p>
    <w:p>
      <w:pPr>
        <w:spacing w:after="0" w:line="104"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references to our website and the SEC's website are intended to be inactive textual references only and the contents of those websites are not incorporated by reference herein.</w:t>
      </w:r>
    </w:p>
    <w:p>
      <w:pPr>
        <w:spacing w:after="0" w:line="2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75" w:right="4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Economic and External Risks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economic conditions have, and in the future could, adversely affect our results of operations and financial condition.</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National and international economic downturns have, and in the future could, reduce demand for our services in each of our reportable segments, resulting in the loss of business or increased pressure to contract for business on less favorable terms than our generally preferred terms. Economic downturns that impact our financial condition may be caused by inflation, supply chain disruptions, geopolitics, global energy shortages, major central bank policy actions including interest rate increases, public health crises, or other factors. Economic hardship in our client base has also impacted and may continue to impact our business. For example, in early stages of the COVID-19 pandemic, or in the past, such as in the period of economic distress following the financial crisis of 2008, certain of our businesses were negatively affected by reduced employment levels at our clients’ locations and declining levels of business and customer spending. In addition, financial distress and insolvency experienced by clients, especially larger clients, has in the past made it difficult and in the future could make it difficult for us to collect amounts we are owed and could result in the voiding or modification of existing contracts. For example, in response to the changed circumstances caused by shutdowns earlier in the COVID-19 pandemic, we worked with clients to renegotiate contracts and financial structures in order to mitigate lost revenues caused by partial or full closure of client premises. Similarly, financial distress or insolvency, if experienced by our key vendors and service providers such as insurance carriers, could significantly increase our costs.</w:t>
      </w:r>
    </w:p>
    <w:p>
      <w:pPr>
        <w:spacing w:after="0" w:line="5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portion of our Food and Support Services business that provides services in facilities such as convention centers and tourist and recreational attractions is particularly sensitive to an economic downturn, as expenditures to take vacations or hold or attend conventions are funded to a partial or total extent by discretionary income. A decrease in such discretionary income on the part of potential attendees at our clients' facilities has in the past resulted in, and in the future could result in, a reduction in our revenue. Further, because our exposure to the ultimate customer of what we provide is limited by our dependence on our clients to attract those customers to their facilities and events, our ability to respond to such a reduction in attendance, and therefore our revenue, is limited. There are many factors that could reduce the numbers of events in a facility or attendance at an event, including the COVID-19 pandemic and other health crises, decreases in attendees’ discretionary income, labor disruptions involving sports leagues, poor performance by the teams playing in a facility, number of playoff games, short-term weather conditions or more prolonged climate change, and adverse economic conditions which would adversely affect revenue and profits.</w:t>
      </w:r>
    </w:p>
    <w:p>
      <w:pPr>
        <w:spacing w:after="0" w:line="6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Natural disasters, global calamities, climate change, political unrest, geopolitical conflicts, energy shortages, sports strikes and other adverse incidents beyond our control could adversely affect our revenue and operating results.</w:t>
      </w:r>
    </w:p>
    <w:p>
      <w:pPr>
        <w:spacing w:after="0" w:line="37"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Natural disasters, including hurricanes, earthquakes and droughts, global calamities, such as the COVID-19 pandemic and other public health crises, or political unrest and global conflicts, have affected, and in the future could affect, our revenue and operating results. As noted, our revenue and operating results have been materially impacted by the COVID-19 pandemic. In the past, due to more geographically isolated natural disasters, such as wildfires in the western United States and hurricanes and extreme cold conditions in the southern United States, we experienced lost and closed client locations, business disruptions and delays, the loss of inventory and other assets, asset impairments and the effect of the temporary conversion of a number of our client locations to provide food and shelter to those left homeless by storms. The effects of global climate change will likely increase the frequency and severity of such natural disasters and business disruptions and may also impact the availability of water resources, food resources, forests or other natural resources.</w:t>
      </w:r>
    </w:p>
    <w:p>
      <w:pPr>
        <w:spacing w:after="0" w:line="5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political unrest and global conflicts like the ongoing conflict between Russia and Ukraine have disrupted, and in the future may further continue to disrupt, global supply chains and heighten volatility and disruption of global financial markets. While we do not have direct operations within Russia or Ukraine, the conflict involving these nations has heightened the disruption to our supply chain, triggered inflation in our food and labor costs and may increase our risk of cyberattacks. The impact of these global events on our longer-term operational and financial performance will depend on future developments, our response and governmental response to inflation, and the duration and severity of the conflict in Ukraine. Any terrorist attacks or incidents prompted by political unrest, particularly at venues that we serve, and the national and global military, diplomatic and financial response to such attacks or other threats, also may adversely affect our revenue and operating results. Sports strikes, particularly those that persist for an extended time period, can reduce our revenue and have an adverse impact on our results of operations. Any decrease in the number of games played, or the occurrence of games with limited or no fans attending, has resulted in, and would in the future result in a loss of revenue and reduced profits at the venues we service.</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ultimate scale and scope of recurring outbreaks stemming from the COVID-19 pandemic and the pace and degree of recovery are unknown and may continue to impact our business for an extended period. The overall impact on our business, operating results, cash flows and/or financial condition has been material and it may continue to be material.</w:t>
      </w:r>
    </w:p>
    <w:p>
      <w:pPr>
        <w:spacing w:after="0" w:line="4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COVID-19 pandemic has disrupted, and it may in the future disrupt, our business and has materially affected, and may in the future affect, operating results, cash flows and/or financial condition. The COVID-19 pandemic and the pace of recovery has in the past adversely impacted our business and financial condition in specific ways, and it may continue to do so, including its impact on: our ability to maintain sufficient qualified personnel due to employee illness, quarantine, willingness to return to work, vaccine and/or testing mandates, face-coverings and other safety requirements, general scarcity of employees, or other restrictions; the financial health of our clients and customers and their demand and ability to pay for certain of our services; legal actions or proceedings related to COVID-19; the pace of return of employees to offices or patrons to conferences and convention centers where we provide food and other services; the pace at which clients and customers resume certain services, such as catering; postponement of large events leading to postponement of revenue and a decrease in our margin; the willingness of end customers to go to the facilities where we operate during the pandemic or for some period thereafter; and our ability to maintain a cost-effective supply chain as COVID-19 may continue to adversely affect our suppliers and distributors.</w:t>
      </w:r>
    </w:p>
    <w:p>
      <w:pPr>
        <w:spacing w:after="0" w:line="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duration and extent of the impact from COVID-19 depends on future developments that cannot be accurately predicted at this time, such as the severity and transmission rate of different variants, the extent and effectiveness of governmental responses and other preventative, treatment and containment actions, including the distribution and acceptance of vaccines, availability of testing, shifts in behavior going forward and the impact of these and other factors on our employees, clients, customers, suppliers and partners. In addition, even after the COVID-19 pandemic subsides, any permanent increase in and acceptance of remote and hybrid working arrangements may continue to adversely impact our revenues and business model in our business &amp; industry sector. There is the risk that certain mitigation and cost-saving initiatives to date may not be sustainable or repeatable, or that the prolonged effects of COVID-19 may be different than what we have experienced thus far, including permanent closures of client facilities or reductions in service offerings. Further, while we have benefited from government assistance programs to date, there is no assurance that such programs will be available in the future.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Operational Risks</w:t>
      </w:r>
    </w:p>
    <w:p>
      <w:pPr>
        <w:spacing w:after="0" w:line="9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associated with the proposed spin-off and there can be no assurances that we will be able to complete the proposed spin-off on the terms or on the timeline that was announced, if at all.</w:t>
      </w:r>
    </w:p>
    <w:p>
      <w:pPr>
        <w:spacing w:after="0" w:line="3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May 10, 2022, we announced our intention to spin-off our Uniform segment into an independent publicly traded company to our stockholders. The proposed spin-off is intended to be a tax-free transaction to us and our stockholders for United States federal income tax purposes. The proposed spin-off is expected to be completed in the second half of fiscal 2023, subject to certain customary conditions, including final approval of our Board of Directors, receipt of a favorable opinion and Internal Revenue Service ruling with respect to the tax-free nature of the transaction, the effectiveness of a registration statement on Form 10 to be filed with the SEC and the receipt of other regulatory approvals.</w:t>
      </w:r>
    </w:p>
    <w:p>
      <w:pPr>
        <w:spacing w:after="0" w:line="6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Executing the proposed spin-off has required, and will continue to require, significant time and attention from our senior management and employees, which could disrupt our ongoing business and adversely affect financial results and results of operations. The proposed spin-off is also complex and subject to potentially unforeseen costs and expenses, including additional general and administrative costs for us and the new independent public company, costs from lost synergies, restructuring costs or other costs and expenses. The proposed spin-off may hinder our ability to retain existing business and operational relationships, including with clients, customers, suppliers and employees, as well as to cultivate new business relationships. The completion of the proposed spin-off and the timing of its completion will be subject to a number of factors and conditions (some of which are outside our control), including receipt of any required consents or approvals within the expected timeframe or at all and the readiness of the new company to operate as an independent public company and finalization of the capital structure of the new company. Unanticipated developments could delay, prevent or otherwise adversely affect the proposed spin-off, including, but not limited to, disruptions in general or financial market conditions, material adverse changes in business or industry conditions, unanticipated costs and potential problems or delays in obtaining various regulatory and tax approvals, rulings or clearances, and the expected qualification of the proposed spin-off as a tax-free transaction for United States federal income tax purposes, including whether or not an Internal Revenue Service ruling will be sought or obtained. There are also risks associated with the expected financing transactions undertaken and indebtedness incurred in connection with the proposed spin-off, including the risk that we may not be able to secure financing on favorable terms or at all. In addition, we may be more leveraged after the spin-off, which may make it more difficult to service our debt. There can be no assurances that we will be able to complete the proposed spin-off on the terms or on the timeline that was announced, if at all. In addition, if the proposed spin-off is completed, the new independent publicly traded company and the remaining company may not be able to achieve the full strategic and financial benefits that are expected to result from the proposed spin-off.</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Further, there can be no assurance that the combined value of the common stock of the two companies will be equal to or greater than what the value of our common stock would have been had the proposed spin-off not occurred.</w:t>
      </w:r>
    </w:p>
    <w:p>
      <w:pPr>
        <w:spacing w:after="0" w:line="2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retain our current clients, renew our existing client contracts on comparable terms and obtain new client contracts on expected terms could adversely affect our business.</w:t>
      </w:r>
    </w:p>
    <w:p>
      <w:pPr>
        <w:spacing w:after="0" w:line="3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success depends on our ability to retain our current clients, renew our existing client contracts and obtain new business on commercially-favorable terms. Our ability to do so generally depends on a variety of factors, including the quality, price and responsiveness of our services, as well as our ability to market these services effectively and differentiate ourselves from our competitors. In addition, clients are increasingly focused on and requiring us to set targets and meet standards related to environmental sustainability matters, such as packaging and waste, greenhouse gas emissions, animal health and welfare, deforestation and land use. When we renew existing client contracts, it is often on terms that are less favorable or less profitable for us than the initial contract terms. In addition, we typically incur substantial start-up and operating costs and experience lower profit margin and operating cash flows in connection with the establishment of new business and in periods with higher rates of new business, we have experienced and expect to continue to experience negative impact to our profit margin and our cash flows. There can be no assurance that we will be able to obtain new business, renew existing client contracts at the same or higher levels of pricing or that our current clients will not turn to competitors, cease operations, elect to self-operate or terminate contracts with us. These risks may be exacerbated by the current economic environment, due to, among other things, increased cost pressure at our clients, tight labor markets and heightened competition in a contracted marketplace. In addition, consolidation by our clients in the industries we serve could result in our losing business if the combined entity chooses a different provider. The failure to renew a significant number of our existing contracts, including on the same or more favorable terms, or the significant failure to recoup start-up expenses in expected amounts and timeframes for our new business contracts would have a material adverse effect on our business and results of operations and the failure to obtain new business could have an adverse impact on our growth and financial results.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if clients reduce their outsourcing or use of preferred vendors.</w:t>
      </w:r>
    </w:p>
    <w:p>
      <w:pPr>
        <w:spacing w:after="0" w:line="94"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7"/>
          <w:szCs w:val="17"/>
          <w:color w:val="auto"/>
        </w:rPr>
        <w:t>Our business and growth strategies depend in large part on the continuation of a current trend toward outsourcing services. Clients will outsource if they perceive that outsourcing may provide quality services at a lower overall cost and permit them to focus on their core business activities. We cannot be certain this trend will continue or not be reversed or that clients that have outsourced functions will not decide to perform these functions themselves.</w:t>
      </w:r>
    </w:p>
    <w:p>
      <w:pPr>
        <w:spacing w:after="0" w:line="3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labor unions representing employees of some of our current and prospective clients have occasionally opposed the outsourcing trend as they believed that current union jobs for their memberships might be lost. In these cases, unions typically seek to prevent public sector entities from outsourcing and if that fails, ensure that jobs that are outsourced continue to be unionized, which can reduce our pricing and operational flexibility with respect to such businesses.</w:t>
      </w:r>
    </w:p>
    <w:p>
      <w:pPr>
        <w:spacing w:after="0" w:line="5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have also identified a trend among some of our clients towards the retention of a limited number of preferred vendors to provide all or a large part of their required services. We cannot be certain this trend will continue or not be reversed or, if it does continue, that we will be selected and retained as a preferred vendor to provide these services. Unfavorable developments with respect to either outsourcing or the use of preferred vendors could have a material adverse effect on our business and results of operations.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in our industries could adversely affect our results of operations.</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There is significant competition in the food and support services business from local, regional, national and international companies, of varying sizes, many of which have substantial financial resources. Our ability to successfully compete depends on our ability to provide quality services at a reasonable price and to provide value to our clients and customers. Our competitors have been and may in the future be willing to underbid us or accept a lower profit margin or expend more capital in order to obtain or retain business. Also, certain regional and local service providers may be better established than we are within a specific geographic region. In addition, existing or potential clients may elect to self-operate their food and support services, eliminating the opportunity for us to serve them or compete for the account. We may also face increased competition from offsite food delivery at our clients as online restaurant aggregators and similar businesses, as well as other providers with potentially disruptive business models, have been successful at applying technology developments to local food service. While we have a significant international presence, certain competitors have more extensive portfolios of services and a broader geographic footprint than we do. Therefore, we may be placed at a competitive disadvantage for clients who require multiservice or multinational bids.</w:t>
      </w:r>
    </w:p>
    <w:p>
      <w:pPr>
        <w:spacing w:after="0" w:line="7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a number of major national competitors in the uniform rental industry with significant financial resources. In addition, there are regional and local uniform suppliers whom we believe have strong client loyalty. While many clients focus primarily on quality of service, uniform rental is also a price-sensitive service and if existing or future competitors seek to gain clients or accounts by reducing prices, we may be required to lower prices, which would reduce our revenue and profits. The uniform</w:t>
      </w: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rental business requires investment capital for growth. Failure to maintain capital investment in this business would put us at a competitive disadvantage. In addition, to maintain a cost structure that allows for competitive pricing, it is important for us to source garments and other products internationally. To the extent we are not able to effectively source such products internationally and gain the related cost savings, we may be at a disadvantage in relation to some of our competitors.</w:t>
      </w:r>
    </w:p>
    <w:p>
      <w:pPr>
        <w:spacing w:after="0" w:line="4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operating costs and obstacles to cost recovery due to the pricing and cancellation terms of our Food and Support Services contracts may constrain our ability to make a profit.</w:t>
      </w:r>
    </w:p>
    <w:p>
      <w:pPr>
        <w:spacing w:after="0" w:line="3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Our profitability can be adversely affected to the extent we are faced with cost increases for food, wages, other labor related expenses (including workers' compensation, state unemployment insurance and federal or state mandated health benefits and other healthcare costs), insurance, fuel, utilities, transportation, shipping, piece goods, clothing and equipment, especially to the extent we are unable to recover such increased costs through increases in prices for our products and services due to general economic conditions, inflationary pressures, supply chain disruptions, competitive conditions or contractual provisions in our client contracts. For example, when federal, state, foreign or local minimum wage rates increase, we may have to increase the wages of both minimum wage employees and employees whose wages are above the minimum wage. We may also face increased operating costs resulting from changes in federal, state or local laws and regulations relating to employment matters, including those relating to the classification of employees, pay transparency, employee eligibility for overtime and secure scheduling requirements, which often incorporate a premium pay mandate for scheduling deviations. Oil and natural gas prices have fluctuated significantly in the last several years. Substantial increases in the cost of fuel and utilities have historically resulted in significant cost increases in our uniform rental business, and to a lesser extent in our Food and Support Services segments. In addition, United States and foreign trade policies, tariffs and other impositions on imported goods, trade sanctions imposed on certain countries, the limitation on the importation of certain types of goods or of goods containing certain materials from other countries could increase costs in our uniform rental business. From time to time we have experienced increases in our food costs. Food prices can fluctuate as a result of permanent or temporary changes in supply, including as a result of incidences of severe weather such as droughts, heavy rains and late freezes or climate change, natural disasters or pandemics, geopolitical conflicts, or to the extent we are unable to negotiate favorable terms on volume discounts, rebates or other applicable credits with our suppliers. Increasing demands from clients, customers and other stakeholders relating to sustainability, including that we set reduced emissions, waste</w:t>
      </w:r>
    </w:p>
    <w:p>
      <w:pPr>
        <w:spacing w:after="0" w:line="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and other sustainability targets and take actions to meet them, also could result in increased costs for our Food and Support Services segment. We have two main types of contracts in our food and facilities business: profit and loss contracts in which we bear all of the expenses of the contract but gain the benefit of the revenue, and client interest contracts in which our clients share some or all of the expenses and gain some or all of the revenue. Approximately two-thirds of our Food and Support Services revenue in fiscal 2022 is from profit and loss contracts under which we have limited ability to pass on cost increases to our clients. Therefore, absent our ability to negotiate contractual changes, including pricing, we may have to absorb cost increases, which may adversely impact our operating results.</w:t>
      </w:r>
    </w:p>
    <w:p>
      <w:pPr>
        <w:spacing w:after="0" w:line="6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amount of risk that we bear and our profit potential vary depending on the type of contract under which we provide food and support services. We may be unable to fully recover costs on contracts that limit our ability to increase prices. In addition, we provide many of our services under contracts of indefinite term, which are subject to termination on short notice by either party without cause. Some of our profit and loss and client interest contracts contain minimum guaranteed remittances to our client regardless of our revenue or profit at the facility, typically contingent on certain future events. If revenue does not exceed costs under a contract that contains minimum guaranteed payments, we will bear any losses which are incurred, as well as the guaranteed payment. Generally, our contracts also limit our ability to raise prices on the food, beverages and merchandise we sell within a particular facility without the client's consent. In addition, some of our contracts exclude certain events or products from the scope of the contract, or give the client the right to modify the terms under which we may operate at certain events. Guaranteed payments or other guaranteed amounts to a client under a profit and loss contract that is not profitable, the refusal by individual clients to permit the sale of some products at their venues, the imposition by clients of limits on prices which are not economically feasible for us, or decisions by clients to curtail their use of the services we provide could adversely affect our revenue and results of operations.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business faces risks that could have an effect on our results of operations and financial condition.</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significant portion of our revenue is derived from international business. During fiscal 2022, approximately 22% of our revenue was generated outside of the United States. We currently have a presence in 18 countries outside of the United States with approximately 117,850 personnel. We also provide our services on a more limited basis in several additional countries and in offshore locations. Our international operations are subject to risks, including the requirement to comply with changing, conflicting and unclear national and local regulatory requirements; compliance with the Foreign Corrupt Practices Act, U.K. Bribery Act and other anti-corruption law compliance matters, as well as cybersecurity, data protection and supply chain laws; potential difficulties in staffing and labor disputes; differing local labor laws; managing and obtaining support and distribution for local operations; credit risk or financial condition of local clients; potential imposition of restrictions on investments;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potentially adverse tax consequences, including imposition or increase of withholding, VAT and other taxes on remittances and other payments by subsidiaries; foreign exchange controls; energy shortages; local political and social conditions; geopolitical tensions, including, for example, tensions between the United States and China or volatility in the South American region; and the ability to comply with terms of government assistance programs. In addition, the operating results of our non-United States subsidiaries are translated into United States dollars and those results are affected by movements in foreign currencies relative to a currently strengthening United States dollar. Unfavorable fluctuations in foreign currency exchange rates have had, and could in the future continue to have, an adverse effect on our results of operations.</w:t>
      </w:r>
    </w:p>
    <w:p>
      <w:pPr>
        <w:spacing w:after="0" w:line="52"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Local labor and employment laws in countries outside of the United States can make it more difficult and costly to reduce labor costs in connection with decreases in demand for our services. For example, during fiscal 2021, in certain countries we were unable to reduce our international labor costs to reflect the adverse impact of the COVID-19 pandemic to the same extent as we were able to in the United States and therefore the decrease in our international operating income as a percentage of the decrease in our revenues was higher than in our United States business.</w:t>
      </w:r>
    </w:p>
    <w:p>
      <w:pPr>
        <w:spacing w:after="0" w:line="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continue to explore and consider opportunities to develop our business in emerging countries over the long term. Emerging international operations present several additional risks, including greater fluctuation in currencies relative to the United States dollar; economic and governmental instability; civil disturbances; volatility in gross domestic production; and nationalization and expropriation of private assets.</w:t>
      </w:r>
    </w:p>
    <w:p>
      <w:pPr>
        <w:spacing w:after="0" w:line="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There can be no assurance that the foregoing factors will not have a material adverse effect on our international operations or on our consolidated financial condition and results of operations.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suppliers, service providers and subcontractors could adversely affect our results of operations.</w:t>
      </w:r>
    </w:p>
    <w:p>
      <w:pPr>
        <w:spacing w:after="0" w:line="10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raw materials we use in our business and the finished products we sell are sourced from a wide variety of domestic and international suppliers. We seek to require our suppliers, service providers and subcontractors to comply with applicable laws and otherwise be certified as meeting our supplier standards of conduct. In addition, client and stakeholder expectations regarding environmental, social and governance considerations for suppliers are evolving. Our ability to find qualified suppliers who meet our standards, including with respect to requirements around sustainably-sourced food and other products, human rights, and to access raw materials and finished products in a timely and efficient manner is a challenge, especially with respect to suppliers located and goods sourced outside the United States and other countries in which we operate. Insolvency or business disruption experienced by suppliers could make it difficult for us to source the items we need to run our business. Political and economic stability in the countries in which foreign suppliers are located, the financial stability of suppliers, suppliers' failure to meet our standards, labor problems experienced by our suppliers, the availability of raw materials and labor to suppliers, cybersecurity issues, currency exchange rates, transport availability and cost, tariffs, inflation and other factors relating to the suppliers and the countries in which they are located are beyond our control. For example, global supply chain disruptions caused by the COVID-19 pandemic and the Russian/Ukraine conflict have resulted, and may continue to result, in delivery delays as well as lower fill rates and higher substitution rates for a wide-range of products. While we have continued to modify our business model in response to the current environment, including proactively managing inflation and global supply chain disruption, through supply chain initiatives and by implementing pricing pass-throughs, as appropriate, to cover incremental costs, there is no guarantee that we will be able to continue to do so successfully or on comparable terms in the future if supply chain disruptions continue or worsen. In addition, domestic foreign trade policies, tariffs and other impositions on imported goods, trade sanctions imposed on certain countries, the limitation on the importation of certain types of goods or of goods containing certain materials from other countries and other factors relating to foreign trade are beyond our control. If one of our suppliers were to violate the law, or engage in conduct that results in adverse publicity, our reputation may be harmed simply due to our association with that supplier. Drought, flood, natural disasters and other extreme weather events caused by climate change or other environmental conditions could also result in supply chain disruptions. These and other factors affecting our suppliers and our access to raw materials and finished products could adversely affect our results of operations.</w:t>
      </w:r>
    </w:p>
    <w:p>
      <w:pPr>
        <w:spacing w:after="0" w:line="6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large food service distribution companies to distribute our food and non-food products and a disruption in our relationship with them or their business could result in short-term disruptions to our operations and cost structure.</w:t>
      </w:r>
    </w:p>
    <w:p>
      <w:pPr>
        <w:spacing w:after="0" w:line="2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Although we negotiate the pricing and other terms for the majority of our purchases of food and related products in the United States and Canada directly with national manufacturers, we purchase these products and other items through national distributors and suppliers, including Sysco, US Foods, Performance Food Group and regional distributors. Sysco, which distributed approximately 46% of our food and non-food products in the United States and Canada in fiscal 2022 based on purchase dollars, and other distributors are responsible for tracking our orders and delivering products to our specific locations. If our relationship with, or the business of, Sysco or another primary distributor were to be disrupted, we would have to arrange alternative distributors and our operations and cost structure could be adversely affected in the short term. For example, labor shortages and other labor disputes at our primary distributors have exacerbated many of the recent supply chain issues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impacting our business. A cyber or other incident could also disrupt our distributors' operations and, therefore, impact our business in the short term. Similarly, a sudden termination of the relationship with a significant provider in other geographic areas could in the short term adversely affect our ability to provide services and disrupt our client relationships in such areas.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contract intensive and may lead to client disputes.</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business is contract intensive, and we are parties to many contracts with clients all over the world. Our client interest contracts provide that client billings, and for some contracts the sharing of profits and losses, are based on our determinations of costs of service. Contract terms under which we base these determinations and, for certain government contracts, regulations governing our cost determinations, may be subject to differing interpretations which could result in disputes with our clients from time to time. Clients generally have the right to audit our contracts, and we periodically review our compliance with contract terms and provisions. If clients were to dispute our contract determinations, the resolution of such disputes in a manner adverse to our interests could negatively affect revenue and operating results. While we do not believe any reviews, audits or other such matters should result in material adjustments, if a large number of our client arrangements were modified in response to any such matter, the effect could be materially adverse to our business or results of operations.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expansion strategy involves risks.</w:t>
      </w:r>
    </w:p>
    <w:p>
      <w:pPr>
        <w:spacing w:after="0" w:line="9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may seek to acquire companies or interests in companies, or enter into joint ventures that complement our business. Our inability to complete acquisitions, integrate acquired companies successfully or enter into joint ventures may render us less competitive. At any given time, we may be evaluating one or more acquisitions or engaging in acquisition negotiations. We cannot be sure that we will be able to continue to identify acquisition candidates or joint venture partners on commercially reasonable terms or at all. If we make acquisitions, we also cannot be sure that any benefits anticipated from the acquisitions will actually be realized. Likewise, we cannot be sure we will be able to obtain necessary financing for acquisitions. Such financing could be restricted by the terms of our debt agreements or it could be more expensive than our current debt. The amount of such debt financing for acquisitions could be significant and the terms of such debt instruments could be more restrictive than our current covenants. In addition, our ability to control the planning and operations of our joint ventures and other less than majority-owned affiliates may be subject to numerous restrictions imposed by the joint venture agreements and majority stockholders. Our joint venture partners may also have interests which differ from ours.</w:t>
      </w:r>
    </w:p>
    <w:p>
      <w:pPr>
        <w:spacing w:after="0" w:line="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process of integrating acquired operations into our existing operations may result in operating, contract and supply chain difficulties, such as the failure to retain existing clients or attract new clients, maintain relationships with suppliers and other contractual parties, or retain and integrate acquired personnel. In addition, cost savings that we expect to achieve, for example, from the elimination of duplicative expenses and the realization of economies of scale or synergies, may take longer than expected to realize or may ultimately be smaller than we expect. Also, in connection with any acquisition, we could fail to discover liabilities of the acquired company for which we may be responsible as a successor owner or operator in spite of any investigation we make prior to the acquisition, or significant compliance issues which require remediation, resulting in additional unanticipated costs, risk creation, and potential reputational harm. In addition, labor laws in certain countries may require us to retain more employees than would otherwise be optimal from entities we acquire. Such integration difficulties may divert significant financial, operational and managerial resources from our existing operations and make it more difficult to achieve our operating and strategic objectives, which could have a material adverse effect on our business, financial condition or results of operations. Similarly, our business depends on effective information technology and financial reporting systems. Delays in or poor execution of the integration of these systems could disrupt our operations and increase costs, and could also potentially adversely impact the effectiveness of our disclosure controls and internal controls over financial reporting.</w:t>
      </w:r>
    </w:p>
    <w:p>
      <w:pPr>
        <w:spacing w:after="0" w:line="68"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Possible future acquisitions could also result in additional contingent liabilities and amortization expenses related to intangible assets being incurred, which could have a material adverse effect on our business, financial condition or results of operations. In addition, goodwill and other intangible assets resulting from business combinations represent a significant portion of our assets. If goodwill or other intangible assets were deemed to be impaired, we would need to take a charge to earnings to write down these assets to their fair value.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Labor-Related Risks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or further unionization of our workforce may increase our costs and work stoppages could damage our business.</w:t>
      </w:r>
    </w:p>
    <w:p>
      <w:pPr>
        <w:spacing w:after="0" w:line="108"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Approximately 42,200 employees in our United States and Canadian operations are represented by unions and covered by collective bargaining agreements. The continued or further unionization of a significantly greater portion of our workforce could increase our overall costs at the affected locations and adversely affect our flexibility to run our business in the most efficient manner to remain competitive or acquire new business. In addition, any significant increase in the number of work stoppages at our various operations could adversely affect our business, financial condition or results of operations.</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significant liability as a result of our participation in multiemployer defined benefit pension plans.</w:t>
      </w:r>
    </w:p>
    <w:p>
      <w:pPr>
        <w:spacing w:after="0" w:line="9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 number of our locations operate under collective bargaining agreements. Under some of these agreements, we are obligated to contribute to multiemployer defined benefit pension plans. As a contributing employer to such plans, should we trigger either a “complete” or “partial" withdrawal, or should the plan experience a "mass" withdrawal, we could be subject to withdrawal liability for our proportionate share of any unfunded vested benefits which may exist for the particular plan. In addition, if a multiemployer defined benefit pension plan fails to satisfy the minimum funding standards, we could be liable to increase our contributions to meet minimum funding standards. Also, if another participating employer withdraws from the plan or experiences financial difficulty, including bankruptcy, our obligation could increase. The financial status of a small number of the plans to which we contribute has deteriorated in the recent past and continues to deteriorate. We proactively monitor the financial status of these and the other multiemployer defined benefit pension plans in which we participate. In addition, any increased funding obligations for underfunded multiemployer defined benefit pension plans could have an adverse financial impact on us.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suffer if we lose key management personnel, are unable to hire and retain sufficient qualified personnel or if labor costs increase.</w:t>
      </w:r>
    </w:p>
    <w:p>
      <w:pPr>
        <w:spacing w:after="0" w:line="10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believe much of our future growth and success depends on the continued availability, service and well-being of key executive and management talent. The loss of any of our key executive or senior management personnel could harm our business. In addition, from time to time, we have had difficulty in hiring and retaining qualified management personnel, particularly at the entry management level. We will continue to have significant requirements to hire such personnel. At times when the United States or other geographic regions experience reduced levels of unemployment or a general scarcity of labor like we have seen in recent periods, there may be a shortage of qualified workers at all levels. Given that our workforce requires large numbers of entry level and skilled workers and managers, low levels of unemployment, a general difficulty finding sufficient employees or mismatches between the labor markets and our skill requirements can compromise our ability in certain areas of our businesses to continue to provide quality service or compete for new business. We are also impacted by the costs and other effects of compliance with United States and international regulations affecting our workforce. These regulations are increasingly focused on employment issues, including pay transparency, wage and hour, healthcare, immigration, retirement and other employee benefits and workplace practices. Compliance and claims of non-compliance with these regulations could result in liability and expense to us and may impede our ability to attract and retain talent. Historically, we have also regularly hired a large number of part-time and seasonal workers, particularly in our Food and Support Services segments. Any difficulty we may encounter in hiring such workers, immigration policies and general labor shortages, could result in significant increases in labor costs, which could have a material adverse effect on our business, financial condition and results of operations. Competition for labor has at times resulted in wage increases in the past and future competition could substantially increase our labor costs. Due to the labor intensive nature of our businesses and the fact that approximately two-thirds of our Food and Support Services segments' revenue is from profit and loss contracts under which we have limited ability to pass along cost increases, a shortage of labor or increases in wage levels in excess of normal levels could have a material adverse effect on our results of operations.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Regulatory, Safety and Security Risks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Laws and governmental regulations relating to food and beverages may subject us to significant liability and reputational harm.</w:t>
      </w:r>
    </w:p>
    <w:p>
      <w:pPr>
        <w:spacing w:after="0" w:line="10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laws and regulations relating to each of our Food and Support Services segments are numerous and complex. A variety of laws and regulations at various governmental levels relate to the handling, preparation, transportation and serving of food. In addition, the cleanliness of food production facilities and the hygiene of food-handling personnel are enforced primarily at the local public health department level. There can be no assurance that we are in full compliance with all applicable laws and regulations at all times, in particular as we offer more innovative and broad service offerings, or that we will be able to comply with any future laws and regulations. Furthermore, legislation and regulatory attention to food safety is very high. Additional or amended laws or regulations in this area may significantly increase the cost of compliance, expose us to liabilities, or cause reputational harm.</w:t>
      </w:r>
    </w:p>
    <w:p>
      <w:pPr>
        <w:spacing w:after="0" w:line="5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serve alcoholic beverages at many facilities, and must comply with applicable licensing laws, as well as state and local service laws, commonly called dram shop statutes in the United States. Dram shop statutes generally prohibit serving alcoholic beverages to certain persons, such as an individual who is visibly intoxicated or a minor. If we violate dram shop laws, we may be liable to the patron and/or third parties for the acts of the patron. Although we sponsor regular training programs designed to minimize the likelihood of such a situation and to take advantage of certain safe harbors and affirmative defenses established for the benefit of alcoholic beverages service providers, we cannot guarantee that visibly intoxicated or minor patrons will not be served or that liability for their acts will not be imposed on us. There can be no assurance that additional laws or regulations in this area would not limit our activities in the future or significantly increase the cost of regulatory compliance. We must also</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obtain and comply with the terms of licenses in order to sell alcoholic beverages in the states in which we serve alcoholic beverages. Some of our contracts require us to pay liquidated damages during any period in which the liquor license for the facility is suspended as a result of our actions, and most contracts are subject to termination if the liquor license for the facility is lost as a result of our actions.</w:t>
      </w:r>
    </w:p>
    <w:p>
      <w:pPr>
        <w:spacing w:after="0" w:line="37" w:lineRule="exact"/>
        <w:rPr>
          <w:sz w:val="20"/>
          <w:szCs w:val="20"/>
          <w:color w:val="auto"/>
        </w:rPr>
      </w:pPr>
    </w:p>
    <w:p>
      <w:pPr>
        <w:ind w:right="10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requirements imposed by applicable law or other governmental regulations, we could become subject to lawsuits, investigations and other liabilities and restrictions on our operations that could significantly and adversely affect our business.</w:t>
      </w:r>
    </w:p>
    <w:p>
      <w:pPr>
        <w:spacing w:after="0" w:line="3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are subject to governmental regulation at the federal, state, international, national, provincial and local levels in many areas of our business, such as employment laws, wage and hour laws, discrimination laws, immigration laws, human health and safety laws, import and export controls and customs laws, environmental laws, false claims or whistleblower statutes, minority, women and disadvantaged business enterprise statutes, tax codes, antitrust and competition laws, customer protection statutes, procurement regulations, intellectual property laws, supply chain laws, food safety, labeling and sanitation laws, government funded entitlement programs, government assistance programs, cost and accounting principles, the Foreign Corrupt Practices Act, the U.K. Bribery Act, other anti-corruption laws, lobbying laws, motor carrier safety laws, data privacy and security laws and alcohol licensing and service laws. In the context of the COVID-19 pandemic, we have been subject to varied and ever-changing rules and regulations at the federal, state and local level, including vaccine and testing mandates, capacity limitations and cleaning and sanitation standards, which materially impacted our operations across client locations and business sectors.</w:t>
      </w:r>
    </w:p>
    <w:p>
      <w:pPr>
        <w:spacing w:after="0" w:line="6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From time to time, government agencies have conducted reviews and audits of certain of our practices as part of routine inquiries of providers of services under government contracts, or otherwise. Like others in our business, we also receive requests for information from government agencies in connection with these reviews and audits. While we attempt to comply with all applicable laws and regulations, there can be no assurance that we are in full compliance with all applicable laws and regulations or interpretations of these laws and regulations at all times, or that we will be able to comply with any future laws, regulations or interpretations of these laws and regulations.</w:t>
      </w:r>
    </w:p>
    <w:p>
      <w:pPr>
        <w:spacing w:after="0" w:line="4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we fail to comply with applicable laws and regulations, including those referred to above, we may be subject to investigations, criminal sanctions or civil remedies, including fines, penalties, damages, reimbursement, injunctions, seizures, disgorgements or debarments from government contracts or the loss of liquor licenses or the ability to operate our motor vehicles. The cost of compliance or the consequences of non-compliance, including debarments, could have a material adverse effect on our business and results of operations, cause reputational harm, and impede our growth and retention efforts. In addition, government agencies may make changes in the regulatory frameworks within which we operate that may require either the corporation as a whole or individual businesses to incur substantial increases in costs in order to comply with such laws and regulations.</w:t>
      </w:r>
    </w:p>
    <w:p>
      <w:pPr>
        <w:spacing w:after="0" w:line="6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new interpretations of or changes in the enforcement of the governmental regulatory framework may affect our contracts and contract terms and may reduce our revenue or profits.</w:t>
      </w:r>
    </w:p>
    <w:p>
      <w:pPr>
        <w:spacing w:after="0" w:line="3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A portion of our revenue, both in the United States and internationally, is derived from business with government entities, which includes business with United States federal, state and local governments and agencies, as well as international governments and agencies. Changes or new interpretations in, or changes in the enforcement of, the statutory or regulatory framework applicable to services provided under government contracts or bidding procedures, including an adverse change in government spending policies or appropriations, budget priorities or revenue levels, particularly by our Food and Support Services businesses, could result in fewer new contracts or contract renewals, modifications to the methods we apply to price government contracts, or in contract terms of shorter duration than we have historically experienced. Any of these changes could result in lower revenue or profits than we have historically achieved, which could have an adverse effect on our results of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or changes in income tax rates or laws of tax matters could adversely impact our financial results.</w:t>
      </w:r>
    </w:p>
    <w:p>
      <w:pPr>
        <w:spacing w:after="0" w:line="10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As a multinational corporation, we are subject to income taxes, as well as non-income-based taxes, in both the United States and various foreign jurisdictions. Significant judgment is required in determining our worldwide provision (benefit) for income taxes and other tax liabilities. Changes in tax laws or tax rulings may have a significant adverse impact on our effective tax rate.</w:t>
      </w:r>
    </w:p>
    <w:p>
      <w:pPr>
        <w:spacing w:after="0" w:line="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Considering the unpredictability of possible changes to the United States or foreign tax laws and regulations and their potential interdependency, it is very difficult to predict the cumulative effect of such tax laws and regulations on our results of operations and cash flow, but such laws and regulations (and changes thereto) could adversely impact our financial results.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regulations may subject us to significant liability and limit our ability to grow.</w:t>
      </w:r>
    </w:p>
    <w:p>
      <w:pPr>
        <w:spacing w:after="0" w:line="10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are subject to various environmental protection laws and regulations, including the United States Federal Clean Water Act, Clean Air Act, Resource Conservation and Recovery Act, Comprehensive Environmental Response, Compensation and</w:t>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Liability Act and similar federal, state and local statutes and regulations governing the use, management and disposal of chemicals and hazardous materials. In particular, industrial laundries in our uniform rental business use certain detergents and cleaning chemicals to launder garments and other merchandise. The residues from such detergents and chemicals and residues from soiled garments and other merchandise laundered at our facilities may result in potential discharges to air and to water (through sanitary sewer systems and publicly owned treatment works) and may be contained in waste generated by our wastewater treatment systems.</w:t>
      </w:r>
    </w:p>
    <w:p>
      <w:pPr>
        <w:spacing w:after="0" w:line="4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industrial laundries are subject to certain volume and chemical air and water pollution discharge limits and monitoring, permitting and recordkeeping requirements.</w:t>
      </w:r>
    </w:p>
    <w:p>
      <w:pPr>
        <w:spacing w:after="0" w:line="40"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We own or operate aboveground and underground storage tank systems at some locations to store petroleum products for use in our or our clients' operations, including some national parks. Certain of these storage tank systems also are subject to performance standards and periodic monitoring and recordkeeping requirements. We also may use and manage chemicals and hazardous materials in our operations from time to time. In the course of our business, we may be subject to penalties and fines and reputational harm for non-compliance with environmental protection laws and regulations and we may settle, or contribute to the settlement of, actions or claims relating to the management of underground storage tanks and the handling and disposal of chemicals or hazardous materials. We may, in the future, be required to expend material amounts to rectify the consequences of any such events.</w:t>
      </w:r>
    </w:p>
    <w:p>
      <w:pPr>
        <w:spacing w:after="0" w:line="6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changes to environmental laws may subject us to additional costs or cause us to change aspects of our business. In particular, new laws and regulations related to climate change (including, but not limited to, certain requirements relating to the disclosure of greenhouse gas emissions and associated business risks), single use plastics and disposable packaging and food waste, could affect our operations or result in significant additional expense and operating restrictions on us. Under United States federal and state environmental protection laws, as an owner or operator of real estate we may be liable for the costs of removal or remediation of certain hazardous materials located on or in or migrating from our owned or leased property or our client's properties, as well as related costs of investigation and property damage, without regard to our fault, knowledge or responsibility for the presence of such hazardous materials. There can be no assurance that locations that we own, lease or otherwise operate, either for ourselves or for our clients, or that we may acquire in the future, have been operated in compliance with environmental laws and regulations or that future uses or conditions will not result in the imposition of liability upon us under such laws or expose us to third-party actions such as tort suits. In addition, such regulations may limit our ability to identify suitable sites for new or expanded facilities. In connection with our present or past operations and the present or past operations of our predecessors or companies that we have acquired, hazardous substances may migrate from properties on which we operate or which were operated by our predecessors or companies we acquired to other properties. We may be subject to significant liabilities to the extent that human health is adversely affected or the value of such properties is diminished by such migration.</w:t>
      </w:r>
    </w:p>
    <w:p>
      <w:pPr>
        <w:spacing w:after="0" w:line="35"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commitments and stakeholder expectations relating to environmental, social and governance ("ESG") considerations may expose us to liabilities, increased costs, reputational harm, and other adverse effects on our business.</w:t>
      </w:r>
    </w:p>
    <w:p>
      <w:pPr>
        <w:spacing w:after="0" w:line="36"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We, along with many governments, regulators, investors, employees, clients, customers and other stakeholders, are increasingly focused on ESG considerations relating to our business, including greenhouse gas emissions, human and civil rights, animal welfare and diversity, equity and inclusion. New laws and regulations in these areas have been proposed and may be adopted, and the criteria used by regulators and other relevant stakeholders to evaluate our ESG practices, capabilities, and performance may change rapidly, which in each case could require us to undertake costly initiatives or operational changes. Non-compliance with these emerging rules or standards or a failure to address regulator, stakeholder and societal expectations may result in potential cost increases, litigation, fines, penalties, production and sales restrictions, brand or reputational damage, loss of customers, suppliers and commercial partners, failure to retain and attract talent, lower valuation and higher investor activism activities. In addition, we make statements about our ESG goals and initiatives through our “Be Well. Do Well.” report, other non-financial reports, information provided on our website, press statements and other communications. Managing these considerations and implementing these goals and initiatives involves risks and uncertainties, including increased costs, requires investments and often depends on third-party performance or data that is outside our control. We cannot guarantee that we will achieve our announced ESG goals and initiatives, satisfy all stakeholder expectations, or that the benefits of implementing or achieving these goals and initiatives will not surpass their projected costs. Any failure, or perceived failure, to achieve ESG goals and initiatives, as well as to manage ESG risks, adhere to public statements, comply with federal, state or international ESG laws and regulations or meet evolving and varied stakeholder expectations and standards could result in legal and regulatory proceedings against us and materially adversely affect our business, reputation, results of operations, financial condition and stock price.</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to maintain food safety throughout our supply chain and food-borne illness concerns may result in reputational harm and claims of illness or injury that could adversely affect us.</w:t>
      </w:r>
    </w:p>
    <w:p>
      <w:pPr>
        <w:spacing w:after="0" w:line="3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Food safety is a top priority for us and we dedicate substantial resources to ensuring that our customers enjoy safe, quality food products. Claims of illness or injury relating to food quality, food handling or allergens are common in the food service industry and a number of these claims may exist at any given time. Because food safety issues could be experienced at the source or by food suppliers, distributors or subcontractors, food safety could, in part, be out of our control. Regardless of the source or cause, any report of food-borne illness or other food safety issues such as food tampering or contamination at one of our locations could adversely impact our reputation, hindering our ability to renew contracts on favorable terms or to obtain new business, and have a negative impact on our revenue. Even instances of food-borne illness, food tampering or contamination at a location served by one of our competitors could result in negative publicity regarding the food service industry generally and could negatively impact our revenue. Future food safety issues may also from time to time disrupt our business. In addition, product recalls or health concerns associated with food contamination may also increase our raw material costs.</w:t>
      </w:r>
    </w:p>
    <w:p>
      <w:pPr>
        <w:spacing w:after="0" w:line="49" w:lineRule="exact"/>
        <w:rPr>
          <w:sz w:val="20"/>
          <w:szCs w:val="20"/>
          <w:color w:val="auto"/>
        </w:rPr>
      </w:pPr>
    </w:p>
    <w:p>
      <w:pPr>
        <w:ind w:right="8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and reputation may be adversely affected by disruptions to or breaches of our information systems or if our data is otherwise compromised.</w:t>
      </w:r>
    </w:p>
    <w:p>
      <w:pPr>
        <w:spacing w:after="0" w:line="3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are increasingly utilizing information technology systems, including with respect to administrative functions, financial and operational data, ordering, point-of-sale processing and payment and the management of our supply chain, to enhance the efficiency of our business and to improve the overall experience of our customers. We maintain confidential, proprietary and personal information about, or on behalf of, our potential, current and former clients, customers, employees and other third parties in these systems or engage third parties in connection with storage and processing of this information. Such information includes employee, client and third party data, including credit card numbers, social security numbers, healthcare information and other personal information. Our systems and the systems of our vendors and other third parties are subject to damage or interruption from power outages, computer or telecommunication failures, computer viruses, catastrophic events and implementation delays or difficulties, as well as usage errors by our employees or third party service providers. These systems are also vulnerable to an increasing threat of rapidly evolving cyber-based attacks, including malicious software, attempts to gain unauthorized access to data, including through phishing emails, attempts to fraudulently induce employees or others to disclose information, the exploitation of software and operating vulnerabilities and physical device tampering/skimming at card reader units. The techniques used to obtain unauthorized access, disable or degrade service or sabotage systems change frequently, may be difficult to detect for a long time and often are not recognized until after an attack is launched or occurs. As a result, we and such third parties may be unable to anticipate these techniques or to implement adequate preventative measures. In addition, we or such third parties may decide to upgrade existing information technology systems from time to time to support the needs of our business and growth strategy and the risk of system disruption is increased when significant system changes are undertaken.</w:t>
      </w:r>
    </w:p>
    <w:p>
      <w:pPr>
        <w:spacing w:after="0" w:line="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maintain a global cybersecurity program aligned with the five pillars of the National Institute of Standards and Technology Cybersecurity Framework: Identification, Prevention, Detection, Response and Recovery. Our cross functional Cyber Governance Committee is responsible for prioritizing and managing evolving cyber risks. During the normal course of business, we have experienced and expect to continue to experience cyber-based attacks and other attempts to compromise our information systems, although none, to our knowledge, has had a material adverse effect on our business, financial condition or results of operations. Any damage to, or compromise or breach of our systems or the systems of our vendors could impair our ability to conduct our business, result in transaction errors, result in corruption or loss of accounting or other data, which could cause delays in our financial reporting, and result in a violation of applicable privacy and other laws, significant legal and financial exposure, reputational damage, adverse publicity and a loss of confidence in our security measures. Any such event could cause us to incur substantial costs, including costs associated with systems remediation, client protection, litigation, lost revenue or the failure to retain or attract clients following an attack. The failure to properly respond to any such event could also result in similar exposure to liability. While we maintain insurance coverage that may cover certain aspects of cyber risks, such insurance coverage may be unavailable or insufficient to cover all losses or all types of claims that may arise. Further, as cybersecurity risks evolve, such insurance may not be available to us on commercially reasonable terms or at all. The occurrence of some or all of the foregoing could have a material adverse effect on our results of operations, financial condition, business and reputation.</w:t>
      </w:r>
    </w:p>
    <w:p>
      <w:pPr>
        <w:spacing w:after="0" w:line="5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subject to numerous laws and regulations in the United States and internationally, as well as contractual obligations and other security standards, each designed to protect the personal information of clients, customers, employees and other third parties that we collect and maintain. Additionally, as a global company we are subject to laws, rules and regulations regarding cross-border data flows and recent legal developments have created increased complexity and uncertainty regarding transfers of personal data from the European Union to the United States. For example, in 2020, the Court of Justice of the European Union struck down a permitted personal data transfer mechanism between the European Union and the United States. These recent developments require us to review and amend the legal mechanisms by which we make and receive such cross-border personal</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data transfers. Since we accept debit and credit cards for payment from clients and customers, we are also subject to various industry data protection standards and protocols, such as payment network security operating guidelines and the Payment Card Industry Data Security Standard. In certain circumstances, payment card association rules and obligations make us liable to payment card issuers if information in connection with payment cards and payment card transactions that we hold is compromised, the liabilities for which could be substantial. These laws, regulations and obligations are increasing in complexity and number, change frequently and may be inconsistent across the various countries in which we operate. Other jurisdictions, including at both the federal and state level in the United States, have enacted or are considering similar data protection laws, and/or are considering data localization laws that require data to stay within their borders. Our systems and the systems maintained or used by third parties and service providers to process data on our behalf may not be able to satisfy these changing legal and regulatory requirements, or may require significant additional investments or time to do so. If we fail to comply with these laws or regulations, we could be subject to significant litigation, monetary damages, regulatory enforcement actions or fines in one or more jurisdictions and we could experience a material adverse effect on our results of operations, financial condition and business.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Indebtedness</w:t>
      </w:r>
    </w:p>
    <w:p>
      <w:pPr>
        <w:spacing w:after="0" w:line="10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leverage could adversely affect our ability to raise additional capital to fund our operations, limit our ability to react to changes in the economy or our industries, expose us to interest rate risk to the extent of our variable rate debt and prevent us from meeting our obligations.</w:t>
      </w:r>
    </w:p>
    <w:p>
      <w:pPr>
        <w:spacing w:after="0" w:line="3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are highly leveraged. As of September 30, 2022, our outstanding indebtedness was $7,410.9 million. We had additional availability of $1,105.6 million under our revolving credit facilities and availability of $395.1 million under the Receivables Facility as of that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degree of leverage could have important consequences, including:</w:t>
      </w:r>
    </w:p>
    <w:p>
      <w:pPr>
        <w:spacing w:after="0" w:line="144" w:lineRule="exact"/>
        <w:rPr>
          <w:sz w:val="20"/>
          <w:szCs w:val="20"/>
          <w:color w:val="auto"/>
        </w:rPr>
      </w:pPr>
    </w:p>
    <w:p>
      <w:pPr>
        <w:ind w:left="660" w:right="140" w:hanging="328"/>
        <w:spacing w:after="0" w:line="234" w:lineRule="auto"/>
        <w:tabs>
          <w:tab w:leader="none" w:pos="655"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exposing us to the risk of increased interest rates as certain of our borrowings, including borrowings under our senior secured credit facilities and our Receivables Facility, are at variable rates of interest;</w:t>
      </w:r>
    </w:p>
    <w:p>
      <w:pPr>
        <w:spacing w:after="0" w:line="99"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making it more difficult for us to make payments on our indebtedness;</w:t>
      </w:r>
    </w:p>
    <w:p>
      <w:pPr>
        <w:spacing w:after="0" w:line="98"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increasing our vulnerability to general economic and industry conditions;</w:t>
      </w:r>
    </w:p>
    <w:p>
      <w:pPr>
        <w:spacing w:after="0" w:line="103" w:lineRule="exact"/>
        <w:rPr>
          <w:rFonts w:ascii="Arial" w:cs="Arial" w:eastAsia="Arial" w:hAnsi="Arial"/>
          <w:sz w:val="22"/>
          <w:szCs w:val="22"/>
          <w:color w:val="auto"/>
        </w:rPr>
      </w:pPr>
    </w:p>
    <w:p>
      <w:pPr>
        <w:ind w:left="660" w:right="180" w:hanging="328"/>
        <w:spacing w:after="0" w:line="244" w:lineRule="auto"/>
        <w:tabs>
          <w:tab w:leader="none" w:pos="655"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requiring a substantial portion of cash flow from operations to be dedicated to the payment of principal and interest on our indebtedness, thereby reducing our ability to use our cash flow to fund our operations, capital expenditures and future business opportunities;</w:t>
      </w:r>
    </w:p>
    <w:p>
      <w:pPr>
        <w:spacing w:after="0" w:line="80"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restricting us from making strategic acquisitions or causing us to make non-strategic divestitures;</w:t>
      </w:r>
    </w:p>
    <w:p>
      <w:pPr>
        <w:spacing w:after="0" w:line="116" w:lineRule="exact"/>
        <w:rPr>
          <w:rFonts w:ascii="Arial" w:cs="Arial" w:eastAsia="Arial" w:hAnsi="Arial"/>
          <w:sz w:val="22"/>
          <w:szCs w:val="22"/>
          <w:color w:val="auto"/>
        </w:rPr>
      </w:pPr>
    </w:p>
    <w:p>
      <w:pPr>
        <w:ind w:left="660" w:right="340" w:hanging="328"/>
        <w:spacing w:after="0" w:line="234" w:lineRule="auto"/>
        <w:tabs>
          <w:tab w:leader="none" w:pos="655"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limiting our ability to obtain additional financing for working capital, capital expenditures, debt service requirements, acquisitions and general corporate or other purposes;</w:t>
      </w:r>
    </w:p>
    <w:p>
      <w:pPr>
        <w:spacing w:after="0" w:line="118" w:lineRule="exact"/>
        <w:rPr>
          <w:rFonts w:ascii="Arial" w:cs="Arial" w:eastAsia="Arial" w:hAnsi="Arial"/>
          <w:sz w:val="22"/>
          <w:szCs w:val="22"/>
          <w:color w:val="auto"/>
        </w:rPr>
      </w:pPr>
    </w:p>
    <w:p>
      <w:pPr>
        <w:ind w:left="660" w:right="20" w:hanging="328"/>
        <w:spacing w:after="0" w:line="234" w:lineRule="auto"/>
        <w:tabs>
          <w:tab w:leader="none" w:pos="655"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limiting our ability to adjust to changing market conditions and placing us at a competitive disadvantage compared to our competitors who are less highly leveraged; and</w:t>
      </w:r>
    </w:p>
    <w:p>
      <w:pPr>
        <w:spacing w:after="0" w:line="118" w:lineRule="exact"/>
        <w:rPr>
          <w:rFonts w:ascii="Arial" w:cs="Arial" w:eastAsia="Arial" w:hAnsi="Arial"/>
          <w:sz w:val="22"/>
          <w:szCs w:val="22"/>
          <w:color w:val="auto"/>
        </w:rPr>
      </w:pPr>
    </w:p>
    <w:p>
      <w:pPr>
        <w:ind w:left="660" w:right="220" w:hanging="328"/>
        <w:spacing w:after="0" w:line="234" w:lineRule="auto"/>
        <w:tabs>
          <w:tab w:leader="none" w:pos="655"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limiting our ability to benefit from tax deductions for such payments under certain interest expense limitation rules included in the Tax Cuts and Jobs Act of 2017 and pursuant to similar regulations in other countries.</w:t>
      </w:r>
    </w:p>
    <w:p>
      <w:pPr>
        <w:spacing w:after="0" w:line="78"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We and our subsidiaries may be able to incur substantial additional indebtedness in the future, subject to the restrictions contained in our senior secured credit facilities and the indentures governing our senior notes. If new indebtedness is added to our current debt levels, the related risks that we now face could increase.</w:t>
      </w:r>
    </w:p>
    <w:p>
      <w:pPr>
        <w:spacing w:after="0" w:line="4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July 27, 2017, the U.K. Financial Conduct Authority announced that it intended to stop requiring banks to submit LIBOR rates after 2021. On March 5, 2021, the ICE Benchmark Administration announced that all non-USD key LIBORs would cease publication after 2021, and select USD LIBOR rates would continue until June 30, 2023. As a result, contracts and hedging relationships that use select USD LIBOR as a reference rate will have to be modified to allow for an alternative benchmark rate. Although our senior secured credit agreement (as supplemented or otherwise modified from time to time, the "Credit Agreement") provides for application of successor rates based on prevailing market conditions, it is not currently possible to predict the effect of any establishment of alternative reference rates or any other reforms to LIBOR that may be enacted in the United Kingdom or elsewhere. As part of our recent refinancing and amendments with respect to the Credit Agreement (i) the Sterling Overnight Index Average ("SONIA") rate is stated as the new rate for any borrowings denominated in Sterling under the Credit Agreement, (ii) the EURIBOR rate is stated as the new rate for any borrowings denominated in Euros under the</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Agreement and (iii) the TIBOR rate is stated as the new rate for any borrowings denominated in Yen under the Credit Agreement.</w:t>
      </w:r>
    </w:p>
    <w:p>
      <w:pPr>
        <w:spacing w:after="0" w:line="8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variable rate indebtedness subjects us to interest rate risk, which could cause our debt service obligations to increase significantly and potentially limit our ability to effectively refinance our indebtedness as it matures.</w:t>
      </w:r>
    </w:p>
    <w:p>
      <w:pPr>
        <w:spacing w:after="0" w:line="3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Borrowings under the Credit Agreement bear interest at variable rates and expose us to interest rate risk. If interest rates increase and we do not hedge such variable rates, our debt service obligations on the variable rate indebtedness will increase even though the amount borrowed will remain the same, which will negatively impact our net income and operating cash flows, including cash available for servicing our indebtedness.</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Additionally, our ability to refinance portions of our indebtedness in advance of their maturity dates depends on securing new financing bearing interest at rates that we are able to service. While we believe that we currently have adequate cash flows to service the interest rates currently applicable to our indebtedness, if interest rates were to continue to rise significantly, we might be unable to maintain a level of cash flows from operating activities sufficient to meet our debt service obligations at such increased rates.</w:t>
      </w:r>
    </w:p>
    <w:p>
      <w:pPr>
        <w:spacing w:after="0" w:line="41"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our financial performance were to deteriorate, we may not be able to generate sufficient cash to service all of our indebtedness and may be forced to take other actions to satisfy our obligations under our indebtedness, which may not be successful.</w:t>
      </w:r>
    </w:p>
    <w:p>
      <w:pPr>
        <w:ind w:right="180"/>
        <w:spacing w:after="0" w:line="250" w:lineRule="auto"/>
        <w:rPr>
          <w:sz w:val="20"/>
          <w:szCs w:val="20"/>
          <w:color w:val="auto"/>
        </w:rPr>
      </w:pPr>
      <w:r>
        <w:rPr>
          <w:rFonts w:ascii="Times New Roman" w:cs="Times New Roman" w:eastAsia="Times New Roman" w:hAnsi="Times New Roman"/>
          <w:sz w:val="18"/>
          <w:szCs w:val="18"/>
          <w:color w:val="auto"/>
        </w:rPr>
        <w:t>Our ability to make scheduled payments on or to refinance our debt obligations depends on our financial condition and operating performance, which is subject to prevailing economic and competitive conditions and to certain financial, business and other factors beyond our control, including recurring outbreaks stemming from the COVID-19 pandemic. While we believe that we currently have adequate cash flows to service our indebtedness, if our financial performance were to deteriorate significantly, we might be unable to maintain a level of cash flows from operating activities sufficient to permit us to pay the principal, premium, if any, and interest on our indebtedness.</w:t>
      </w:r>
    </w:p>
    <w:p>
      <w:pPr>
        <w:spacing w:after="0" w:line="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due to such a deterioration in our financial performance, our cash flows and capital resources were to be insufficient to fund our debt service obligations, we may be forced to reduce or delay investments and capital expenditures, or to sell assets, seek additional capital or restructure or refinance our indebtedness. These alternative measures may not be successful and may not permit us to meet our scheduled debt service obligations. In addition, if we were required to raise additional capital in the current financial markets, the terms of such financing, if available, could result in higher costs and greater restrictions on our business. In addition, although none of our significant long-term borrowings mature prior to 2025, if we were to need to refinance our existing indebtedness, the conditions in the financial markets at that time could make it difficult to refinance our existing indebtedness on acceptable terms or at all. If such alternative measures proved unsuccessful, we could face substantial liquidity problems and might be required to dispose of material assets or operations to meet our debt service and other obligations. Our Credit Agreement and the indentures governing our senior notes restrict our ability to dispose of assets and use the proceeds from any disposition of assets and to refinance our indebtedness. We may not be able to consummate those dispositions or to obtain the proceeds that we could realize from them and these proceeds may not be adequate to meet any debt service obligations then due.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debt agreements contain restrictions that limit our flexibility in operating our business.</w:t>
      </w:r>
    </w:p>
    <w:p>
      <w:pPr>
        <w:spacing w:after="0" w:line="10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Our Credit Agreement and the indentures governing our senior notes contain various covenants that limit our ability to engage in specified types of transactions. These covenants limit our and our restricted subsidiaries' ability to, among other things:</w:t>
      </w:r>
    </w:p>
    <w:p>
      <w:pPr>
        <w:spacing w:after="0" w:line="6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incur additional indebtedness, refinance or restructure indebtedness or issue certain preferred shares;</w:t>
      </w:r>
    </w:p>
    <w:p>
      <w:pPr>
        <w:spacing w:after="0" w:line="103" w:lineRule="exact"/>
        <w:rPr>
          <w:rFonts w:ascii="Arial" w:cs="Arial" w:eastAsia="Arial" w:hAnsi="Arial"/>
          <w:sz w:val="22"/>
          <w:szCs w:val="22"/>
          <w:color w:val="auto"/>
        </w:rPr>
      </w:pPr>
    </w:p>
    <w:p>
      <w:pPr>
        <w:ind w:left="660" w:hanging="328"/>
        <w:spacing w:after="0" w:line="244" w:lineRule="auto"/>
        <w:tabs>
          <w:tab w:leader="none" w:pos="655"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pay dividends on, repurchase or make distributions in respect of our capital stock, make unscheduled payments on our notes, repurchase or redeem our senior notes or make other restricted payments;</w:t>
      </w:r>
    </w:p>
    <w:p>
      <w:pPr>
        <w:spacing w:after="0" w:line="80"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make certain investments;</w:t>
      </w:r>
    </w:p>
    <w:p>
      <w:pPr>
        <w:spacing w:after="0" w:line="98"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sell certain assets;</w:t>
      </w:r>
    </w:p>
    <w:p>
      <w:pPr>
        <w:spacing w:after="0" w:line="98"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create liens;</w:t>
      </w:r>
    </w:p>
    <w:p>
      <w:pPr>
        <w:spacing w:after="0" w:line="98"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consolidate, merge, sell or otherwise dispose of all or substantially all of our assets; and</w:t>
      </w:r>
    </w:p>
    <w:p>
      <w:pPr>
        <w:spacing w:after="0" w:line="98"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enter into certain transactions with our affiliates.</w:t>
      </w:r>
    </w:p>
    <w:p>
      <w:pPr>
        <w:spacing w:after="0" w:line="6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addition, our senior secured revolving credit facility requires us to satisfy and maintain specified financial ratios and other financial condition tests. Our ability to meet those financial ratios and tests can be affected by events beyond our control and, in the event of a significant deterioration of our financial performance, there can be no assurance that we will satisfy those ratios</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and tests. A breach of any of these covenants could result in a default under the Credit Agreement. Upon our failure to maintain compliance with these covenants that is not waived by the lenders under the revolving credit facility, the lenders under the senior secured credit facilities could elect to declare all amounts outstanding under the senior secured credit facilities to be immediately due and payable and terminate all commitments to extend further credit under such facilities. If we were unable to repay those amounts, the lenders under the senior secured credit facilities could proceed against the collateral granted to them to secure that indebtedness. We have pledged a significant portion of our assets as collateral under the Credit Agreement. If the lenders under the senior secured credit facilities accelerate the repayment of borrowings, there can be no assurance that we will have sufficient assets to repay those borrowings, as well as our unsecured indebtedness. If our senior secured indebtedness was accelerated by the lenders as a result of a default, our senior notes may become due and payable as well. Any such acceleration may also constitute an amortization event under our Receivables Facility, which could result in the amount outstanding under that facility becoming due and payable.</w:t>
      </w:r>
    </w:p>
    <w:p>
      <w:pPr>
        <w:spacing w:after="0" w:line="49" w:lineRule="exact"/>
        <w:rPr>
          <w:sz w:val="20"/>
          <w:szCs w:val="20"/>
          <w:color w:val="auto"/>
        </w:rPr>
      </w:pPr>
    </w:p>
    <w:p>
      <w:pPr>
        <w:ind w:right="180" w:firstLine="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continue to pay dividends on our common stock, and our indebtedness could limit our ability to pay dividends on our common stock.</w:t>
      </w:r>
    </w:p>
    <w:p>
      <w:pPr>
        <w:spacing w:after="0" w:line="3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Payment of cash dividends on our common stock is subject to our compliance with applicable law and depends on, among other things, our results of operations, financial condition, level of indebtedness, capital requirements, contractual restrictions, business prospects and other factors that our Board of Directors may deem relevant. Our senior secured credit facilities and the indentures governing our senior notes contain, and the terms of any future indebtedness we or our subsidiaries incur may contain limitations on our ability to pay dividends. For more information, see Item 7. "Management's Discussion and Analysis of Financial Condition and Results of Operations—Liquidity and Capital Resources—Covenant Compliance." In addition, our decision to pay dividends is impacted by results of operations and available cash. Although we have paid cash dividends in the past, there can be no assurance that we will continue to pay any dividend in the future.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Ownership of Our Common Stock and Provisions in our Organizational Documents</w:t>
      </w:r>
    </w:p>
    <w:p>
      <w:pPr>
        <w:spacing w:after="0" w:line="9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share price may change significantly, and you may not be able to resell shares of our common stock at or above the price you paid or at all, and you could lose all or part of your investment as a result.</w:t>
      </w:r>
    </w:p>
    <w:p>
      <w:pPr>
        <w:spacing w:after="0" w:line="3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as reported by the NYSE, has in the past and could in the future fluctuate due to a number of factors such as those listed in “—Risks Related to Our Business” and include, but are not limited to, the following, some of which are beyond our control:</w:t>
      </w:r>
    </w:p>
    <w:p>
      <w:pPr>
        <w:spacing w:after="0" w:line="6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quarterly variations in our results of operations;</w:t>
      </w:r>
    </w:p>
    <w:p>
      <w:pPr>
        <w:spacing w:after="0" w:line="84"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results of operations that vary from the expectations of securities analysts and investors;</w:t>
      </w:r>
    </w:p>
    <w:p>
      <w:pPr>
        <w:spacing w:after="0" w:line="98"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results of operations that vary from those of our competitors;</w:t>
      </w:r>
    </w:p>
    <w:p>
      <w:pPr>
        <w:spacing w:after="0" w:line="98"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expectations as to our future financial performance, including financial estimates by securities analysts and investors;</w:t>
      </w:r>
    </w:p>
    <w:p>
      <w:pPr>
        <w:spacing w:after="0" w:line="116" w:lineRule="exact"/>
        <w:rPr>
          <w:rFonts w:ascii="Arial" w:cs="Arial" w:eastAsia="Arial" w:hAnsi="Arial"/>
          <w:sz w:val="22"/>
          <w:szCs w:val="22"/>
          <w:color w:val="auto"/>
        </w:rPr>
      </w:pPr>
    </w:p>
    <w:p>
      <w:pPr>
        <w:ind w:left="660" w:right="560" w:hanging="328"/>
        <w:spacing w:after="0" w:line="234" w:lineRule="auto"/>
        <w:tabs>
          <w:tab w:leader="none" w:pos="655"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announcements by us, our competitors or our vendors of significant contracts, acquisitions, divestitures, joint marketing relationships, joint ventures or capital commitments;</w:t>
      </w:r>
    </w:p>
    <w:p>
      <w:pPr>
        <w:spacing w:after="0" w:line="99"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announcements by third parties of significant claims or proceedings against us;</w:t>
      </w:r>
    </w:p>
    <w:p>
      <w:pPr>
        <w:spacing w:after="0" w:line="98"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future sales of our common stock;</w:t>
      </w:r>
    </w:p>
    <w:p>
      <w:pPr>
        <w:spacing w:after="0" w:line="98"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general domestic and international economic conditions; and</w:t>
      </w:r>
    </w:p>
    <w:p>
      <w:pPr>
        <w:spacing w:after="0" w:line="84"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unexpected and sudden changes in senior management.</w:t>
      </w:r>
    </w:p>
    <w:p>
      <w:pPr>
        <w:spacing w:after="0" w:line="7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Furthermore, the stock market has experienced extreme volatility that, in some cases, has been unrelated or disproportionate to the operating performance of particular companies. As evidenced by the recent COVID-19 pandemic, these broad market and industry fluctuations may adversely affect the market price of our common stock, regardless of our actual operating performance.</w:t>
      </w:r>
    </w:p>
    <w:p>
      <w:pPr>
        <w:spacing w:after="0" w:line="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market volatility, stockholders have instituted securities class action litigation. If we were involved in securities litigation, it could have a substantial cost and divert resources and the attention of executive management from our business regardless of the outcome of such litigation.</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could delay or prevent a change of control.</w:t>
      </w:r>
    </w:p>
    <w:p>
      <w:pPr>
        <w:spacing w:after="0" w:line="94"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provisions provide for, among other things:</w:t>
      </w:r>
    </w:p>
    <w:p>
      <w:pPr>
        <w:spacing w:after="0" w:line="1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the ability of our Board of Directors to issue one or more series of preferred stock;</w:t>
      </w:r>
    </w:p>
    <w:p>
      <w:pPr>
        <w:spacing w:after="0" w:line="84"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advance notice for nominations of directors by stockholders and for stockholders to include matters to be considered at our annual meetings;</w:t>
      </w:r>
    </w:p>
    <w:p>
      <w:pPr>
        <w:spacing w:after="0" w:line="98"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certain limitations on convening special stockholder meetings;</w:t>
      </w:r>
    </w:p>
    <w:p>
      <w:pPr>
        <w:spacing w:after="0" w:line="116" w:lineRule="exact"/>
        <w:rPr>
          <w:rFonts w:ascii="Arial" w:cs="Arial" w:eastAsia="Arial" w:hAnsi="Arial"/>
          <w:sz w:val="22"/>
          <w:szCs w:val="22"/>
          <w:color w:val="auto"/>
        </w:rPr>
      </w:pPr>
    </w:p>
    <w:p>
      <w:pPr>
        <w:ind w:left="660" w:right="60" w:hanging="328"/>
        <w:spacing w:after="0" w:line="234" w:lineRule="auto"/>
        <w:tabs>
          <w:tab w:leader="none" w:pos="655"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the removal of directors only upon the affirmative vote of the holders of at least 75% in voting power of all the then-outstanding common stock of the company entitled to vote thereon, voting together as a single class; and</w:t>
      </w:r>
    </w:p>
    <w:p>
      <w:pPr>
        <w:spacing w:after="0" w:line="118" w:lineRule="exact"/>
        <w:rPr>
          <w:rFonts w:ascii="Arial" w:cs="Arial" w:eastAsia="Arial" w:hAnsi="Arial"/>
          <w:sz w:val="22"/>
          <w:szCs w:val="22"/>
          <w:color w:val="auto"/>
        </w:rPr>
      </w:pPr>
    </w:p>
    <w:p>
      <w:pPr>
        <w:ind w:left="660" w:right="400" w:hanging="328"/>
        <w:spacing w:after="0" w:line="234" w:lineRule="auto"/>
        <w:tabs>
          <w:tab w:leader="none" w:pos="655"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that certain provisions may be amended only by the affirmative vote of the holders of at least 75% in voting power of all the then-outstanding common stock of the company entitled to vote thereon, voting together as a single class.</w:t>
      </w:r>
    </w:p>
    <w:p>
      <w:pPr>
        <w:spacing w:after="0" w:line="7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w:t>
      </w:r>
    </w:p>
    <w:p>
      <w:pPr>
        <w:spacing w:after="0" w:line="36"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other employees.</w:t>
      </w:r>
    </w:p>
    <w:p>
      <w:pPr>
        <w:spacing w:after="0" w:line="4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with certain limited exceptions, unless we consent in writing to the selection of an alternative forum, the Court of Chancery of the State of Delaware will be the sole and exclusive forum for any stockholder (including any beneficial owner) to bring (i) any derivative action or proceeding brought on our behalf, (ii) any action asserting a claim of breach of fiduciary duty owed by any director or officer of the Company owed to us or our stockholders, creditors or other constituents, (iii) any action asserting a claim against us or any director or officer of the Company arising pursuant to any provision of the Delaware General Corporation Law or our amended and restated certificate of incorporation or our amended and restated bylaws, or (iv) any action asserting a claim against the Company or any director or officer of the Company governed by the internal affairs doctrine. Any person or entity purchasing or otherwise acquiring any interest in shares of our capital stock is deemed to have received notice of and consented to the foregoing provisions.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this choice of forum provision inapplicable to, or unenforceable in respect of, one or more of the specified types of actions or proceedings, we may incur additional costs associated with resolving such matters in other jurisdictions, which could adversely affect our business, financial condition or results of operations.</w:t>
      </w:r>
    </w:p>
    <w:p>
      <w:pPr>
        <w:spacing w:after="0" w:line="18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9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principal executive offices are currently leased at 2400 Market Street, Philadelphia, Pennsylvania 19103. Our principal real estate is primarily comprised of Uniform facilities. As of September 30, 2022, we operated over 350 service facilities in our Uniform segment, consisting of industrial laundries, cleanroom laundries, warehouses, distribution centers, satellites, depots, standalone garages, shared service centers and administrative offices that are located across the United States, as well as in Mexico, Canada and Puerto Rico. Of these, approximately 47% are leased and approximately 53% are owned. We own 14 buildings that we use in our FSS United States segment, including several office/warehouse spaces, and we lease 114 premises, consisting of offices, office/warehouses and distribution centers. In addition, we own 6 properties consisting of offices, land and warehouses and lease 64 facilities throughout the world that we use in our FSS International segment. We also maintain other real estate and leasehold improvements, which we use in the Uniform and FSS segments. No individual parcel of real estate owned or leased is of material significance to our total assets.</w:t>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08"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From time to time, we and our subsidiaries are party to various legal actions, proceedings and investigations involving claims incidental to the conduct of their business, including those brought by clients, customers, employees, government entities and third parties under, among others, federal, state, international, national, provincial and local employment laws, wage and hour laws, discrimination laws, immigration laws, human health and safety laws, import and export controls and customs laws, environmental laws, false claims or whistleblower statutes, minority, women and disadvantaged business enterprise statutes, tax codes, antitrust and competition laws, customer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we do not believe that any such actions, proceedings or investigations are likely to be, individually or in the aggregate, material to our business, financial condition, results of operations or cash flows. However, in the event of unexpected further developments, it is possible that the ultimate resolution of these matters, or other similar matters, if unfavorable, may be materially adverse to our business, financial condition, results of operations or cash flows.</w:t>
      </w:r>
    </w:p>
    <w:p>
      <w:pPr>
        <w:spacing w:after="0" w:line="5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business is subject to various federal, state and local laws and regulations governing, among other things, the generation, handling, storage, transportation, treatment and disposal of water wastes and other substances. We engage in informal settlement discussions with federal, state, local and foreign authorities regarding allegations of violations of environmental laws in connection with our operations or businesses conducted by our predecessors or companies that we have acquired, the aggregate amount of which and related remediation costs we do not believe should have a material adverse effect on our financial condition or results of operations as of September 30, 2022.</w:t>
      </w:r>
    </w:p>
    <w:p>
      <w:pPr>
        <w:spacing w:after="0" w:line="17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0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executive officers as of November 22, 2022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With Aramark</w:t>
            </w:r>
          </w:p>
        </w:tc>
        <w:tc>
          <w:tcPr>
            <w:tcW w:w="0" w:type="dxa"/>
            <w:vAlign w:val="bottom"/>
          </w:tcPr>
          <w:p>
            <w:pPr>
              <w:spacing w:after="0"/>
              <w:rPr>
                <w:sz w:val="1"/>
                <w:szCs w:val="1"/>
                <w:color w:val="auto"/>
              </w:rPr>
            </w:pPr>
          </w:p>
        </w:tc>
      </w:tr>
      <w:tr>
        <w:trPr>
          <w:trHeight w:val="212"/>
        </w:trPr>
        <w:tc>
          <w:tcPr>
            <w:tcW w:w="2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Age</w:t>
            </w:r>
          </w:p>
        </w:tc>
        <w:tc>
          <w:tcPr>
            <w:tcW w:w="6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Since</w:t>
            </w:r>
          </w:p>
        </w:tc>
        <w:tc>
          <w:tcPr>
            <w:tcW w:w="0" w:type="dxa"/>
            <w:vAlign w:val="bottom"/>
          </w:tcPr>
          <w:p>
            <w:pPr>
              <w:spacing w:after="0"/>
              <w:rPr>
                <w:sz w:val="1"/>
                <w:szCs w:val="1"/>
                <w:color w:val="auto"/>
              </w:rPr>
            </w:pPr>
          </w:p>
        </w:tc>
      </w:tr>
      <w:tr>
        <w:trPr>
          <w:trHeight w:val="176"/>
        </w:trPr>
        <w:tc>
          <w:tcPr>
            <w:tcW w:w="270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6320" w:type="dxa"/>
            <w:vAlign w:val="bottom"/>
            <w:gridSpan w:val="2"/>
            <w:vMerge w:val="continue"/>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John J. Zillmer</w:t>
            </w:r>
          </w:p>
        </w:tc>
        <w:tc>
          <w:tcPr>
            <w:tcW w:w="100" w:type="dxa"/>
            <w:vAlign w:val="bottom"/>
          </w:tcPr>
          <w:p>
            <w:pPr>
              <w:spacing w:after="0"/>
              <w:rPr>
                <w:sz w:val="19"/>
                <w:szCs w:val="19"/>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120" w:type="dxa"/>
            <w:vAlign w:val="bottom"/>
          </w:tcPr>
          <w:p>
            <w:pPr>
              <w:spacing w:after="0"/>
              <w:rPr>
                <w:sz w:val="19"/>
                <w:szCs w:val="19"/>
                <w:color w:val="auto"/>
              </w:rPr>
            </w:pPr>
          </w:p>
        </w:tc>
        <w:tc>
          <w:tcPr>
            <w:tcW w:w="6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160" w:type="dxa"/>
            <w:vAlign w:val="bottom"/>
          </w:tcPr>
          <w:p>
            <w:pPr>
              <w:spacing w:after="0"/>
              <w:rPr>
                <w:sz w:val="19"/>
                <w:szCs w:val="19"/>
                <w:color w:val="auto"/>
              </w:rPr>
            </w:pP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0" w:type="dxa"/>
            <w:vAlign w:val="bottom"/>
          </w:tcPr>
          <w:p>
            <w:pPr>
              <w:spacing w:after="0"/>
              <w:rPr>
                <w:sz w:val="1"/>
                <w:szCs w:val="1"/>
                <w:color w:val="auto"/>
              </w:rPr>
            </w:pPr>
          </w:p>
        </w:tc>
      </w:tr>
      <w:tr>
        <w:trPr>
          <w:trHeight w:val="230"/>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Thomas G. Ondrof</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20" w:type="dxa"/>
            <w:vAlign w:val="bottom"/>
          </w:tcPr>
          <w:p>
            <w:pPr>
              <w:spacing w:after="0"/>
              <w:rPr>
                <w:sz w:val="19"/>
                <w:szCs w:val="19"/>
                <w:color w:val="auto"/>
              </w:rPr>
            </w:pPr>
          </w:p>
        </w:tc>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0" w:type="dxa"/>
            <w:vAlign w:val="bottom"/>
          </w:tcPr>
          <w:p>
            <w:pPr>
              <w:spacing w:after="0"/>
              <w:rPr>
                <w:sz w:val="1"/>
                <w:szCs w:val="1"/>
                <w:color w:val="auto"/>
              </w:rPr>
            </w:pPr>
          </w:p>
        </w:tc>
      </w:tr>
      <w:tr>
        <w:trPr>
          <w:trHeight w:val="229"/>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Lynn B. McKee</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120" w:type="dxa"/>
            <w:vAlign w:val="bottom"/>
          </w:tcPr>
          <w:p>
            <w:pPr>
              <w:spacing w:after="0"/>
              <w:rPr>
                <w:sz w:val="19"/>
                <w:szCs w:val="19"/>
                <w:color w:val="auto"/>
              </w:rPr>
            </w:pPr>
          </w:p>
        </w:tc>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Vice President, Human Resources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1980</w:t>
            </w:r>
          </w:p>
        </w:tc>
        <w:tc>
          <w:tcPr>
            <w:tcW w:w="0" w:type="dxa"/>
            <w:vAlign w:val="bottom"/>
          </w:tcPr>
          <w:p>
            <w:pPr>
              <w:spacing w:after="0"/>
              <w:rPr>
                <w:sz w:val="1"/>
                <w:szCs w:val="1"/>
                <w:color w:val="auto"/>
              </w:rPr>
            </w:pPr>
          </w:p>
        </w:tc>
      </w:tr>
      <w:tr>
        <w:trPr>
          <w:trHeight w:val="230"/>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Lauren A. Harrington</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20" w:type="dxa"/>
            <w:vAlign w:val="bottom"/>
          </w:tcPr>
          <w:p>
            <w:pPr>
              <w:spacing w:after="0"/>
              <w:rPr>
                <w:sz w:val="19"/>
                <w:szCs w:val="19"/>
                <w:color w:val="auto"/>
              </w:rPr>
            </w:pPr>
          </w:p>
        </w:tc>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Vice President and General Counsel</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2006</w:t>
            </w:r>
          </w:p>
        </w:tc>
        <w:tc>
          <w:tcPr>
            <w:tcW w:w="0" w:type="dxa"/>
            <w:vAlign w:val="bottom"/>
          </w:tcPr>
          <w:p>
            <w:pPr>
              <w:spacing w:after="0"/>
              <w:rPr>
                <w:sz w:val="1"/>
                <w:szCs w:val="1"/>
                <w:color w:val="auto"/>
              </w:rPr>
            </w:pPr>
          </w:p>
        </w:tc>
      </w:tr>
      <w:tr>
        <w:trPr>
          <w:trHeight w:val="234"/>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 A. Bruno</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20" w:type="dxa"/>
            <w:vAlign w:val="bottom"/>
          </w:tcPr>
          <w:p>
            <w:pPr>
              <w:spacing w:after="0"/>
              <w:rPr>
                <w:sz w:val="20"/>
                <w:szCs w:val="20"/>
                <w:color w:val="auto"/>
              </w:rPr>
            </w:pPr>
          </w:p>
        </w:tc>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Operating Officer, United States Food and Facilities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1993</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John J. Zillmer </w:t>
      </w:r>
      <w:r>
        <w:rPr>
          <w:rFonts w:ascii="Times New Roman" w:cs="Times New Roman" w:eastAsia="Times New Roman" w:hAnsi="Times New Roman"/>
          <w:sz w:val="18"/>
          <w:szCs w:val="18"/>
          <w:color w:val="auto"/>
        </w:rPr>
        <w:t>was appointed Chief Executive Officer and a member of the Board of Directors in October 2019 and was elected in connection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entering into the Stewardship Framework Agreement. Prior to joining us, Mr. Zillmer served as Chief Executive Officer and Executive Chairman of Univar from 2009 to 2012. Prior to that, he served as Chairman and Chief Executive Officer of Allied Waste Industries from 2005 to 2008 and held various positions at Aramark, including Vice President of Operating Systems, Regional Vice President, Area Vice President, Executive Vice President Business Dining Services, President of Business Services Group, President of International and President of Global Food and Support Services, from 1986 to 2005. Mr. Zillmer serves on the Board of Directors as Non-Executive Chairman of CSX Corporation, as well as the Board of Directors of Ecolab, Inc. Mr. Zillmer was formerly on the Board of Directors of Veritiv Corporation, Performance Food Group (PFG) Company, Inc. and Reynolds American Inc.</w:t>
      </w:r>
    </w:p>
    <w:p>
      <w:pPr>
        <w:spacing w:after="0" w:line="6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Thomas G. Ondrof </w:t>
      </w:r>
      <w:r>
        <w:rPr>
          <w:rFonts w:ascii="Times New Roman" w:cs="Times New Roman" w:eastAsia="Times New Roman" w:hAnsi="Times New Roman"/>
          <w:sz w:val="18"/>
          <w:szCs w:val="18"/>
          <w:color w:val="auto"/>
        </w:rPr>
        <w:t>was appointed Executive Vice President and Chief Financial Officer in January 2020. Prior to joining us, Mr. Ondrof served as Head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Strategic Growth of Performance Food Group from March 2018 to December 2019 and Chief Financial Officer of Performance Food Group from October 2016 to March 2018. Prior to that, he served in a variety of financial and business development leadership roles at Compass Group North America, including Chief Development Officer, Chief Strategy Officer and Chief Financial Officer.</w:t>
      </w:r>
    </w:p>
    <w:p>
      <w:pPr>
        <w:spacing w:after="0" w:line="5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Lynn B. McKee </w:t>
      </w:r>
      <w:r>
        <w:rPr>
          <w:rFonts w:ascii="Times New Roman" w:cs="Times New Roman" w:eastAsia="Times New Roman" w:hAnsi="Times New Roman"/>
          <w:sz w:val="18"/>
          <w:szCs w:val="18"/>
          <w:color w:val="auto"/>
        </w:rPr>
        <w:t>was appointed Executive Vice President, Human Resources in May 2004. From August 2012 to August 2013, Ms. McKee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Vice President, Human Resources and Communications. From January 2004 to May 2004, Ms. McKee served as our Senior Vice President of Human Resources and from 2001 to 2003, she served as Senior Vice President of Human Resources for our Food and Support Services Group. From 1998 to 2001, she served as our Staff Vice President, Executive Development and Compensation. Ms. McKee serves on the Board of Directors of WSFS Financial Corporation and Board of Trustees for Saint Joseph's University.</w:t>
      </w:r>
    </w:p>
    <w:p>
      <w:pPr>
        <w:spacing w:after="0" w:line="44"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Lauren A. Harrington </w:t>
      </w:r>
      <w:r>
        <w:rPr>
          <w:rFonts w:ascii="Times New Roman" w:cs="Times New Roman" w:eastAsia="Times New Roman" w:hAnsi="Times New Roman"/>
          <w:sz w:val="18"/>
          <w:szCs w:val="18"/>
          <w:color w:val="auto"/>
        </w:rPr>
        <w:t>was appointed Senior Vice President and General Counsel in March 2019. From August 2009 to March 2019, Ms. Harrington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Vice President and Associate General Counsel and from May 2006 to August 2009, she served as Assistant General Counsel. Before joining us, Ms. Harrington was an Associate at WilmerHale LLP.</w:t>
      </w:r>
    </w:p>
    <w:p>
      <w:pPr>
        <w:spacing w:after="0" w:line="4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Marc A. Bruno </w:t>
      </w:r>
      <w:r>
        <w:rPr>
          <w:rFonts w:ascii="Times New Roman" w:cs="Times New Roman" w:eastAsia="Times New Roman" w:hAnsi="Times New Roman"/>
          <w:sz w:val="18"/>
          <w:szCs w:val="18"/>
          <w:color w:val="auto"/>
        </w:rPr>
        <w:t>was appointed Chief Operating Officer, United States Food and Facilities in November 2019. From 2018 to November 2019, Mr. Bruno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Chief Operating Officer, Sports, Leisure, Corrections, Facilities and K-12. From 2014 to 2018, Mr. Bruno served as Chief Operating Officer, Sports, Leisure and Corrections. From 2008 to 2014, he served as President, Sports and Entertainment, and prior to that he served in various other positions within our food and support services business from 1993 to 2008. Mr. Bruno serves on the Board of Directors of United Rentals, Inc., Special Olympics of Pennsylvania and Alex's Lemonade Stand Foundation.</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04" w:lineRule="exact"/>
        <w:rPr>
          <w:sz w:val="20"/>
          <w:szCs w:val="20"/>
          <w:color w:val="auto"/>
        </w:rPr>
      </w:pPr>
    </w:p>
    <w:p>
      <w:pPr>
        <w:ind w:right="1820"/>
        <w:spacing w:after="0" w:line="354"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Shares of our common stock began trading on December 12, 2013 and are quoted on the NYSE under the ticker symbol “ARMK.” As of October 28, 2022, there were approximately 956 holders of record of our outstanding common stock. This does not include persons who hold our common stock in nominee or “street name” accounts through brokers or banks.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Price Performance</w:t>
      </w:r>
    </w:p>
    <w:p>
      <w:pPr>
        <w:spacing w:after="0" w:line="92" w:lineRule="exact"/>
        <w:rPr>
          <w:sz w:val="20"/>
          <w:szCs w:val="20"/>
          <w:color w:val="auto"/>
        </w:rPr>
      </w:pPr>
    </w:p>
    <w:p>
      <w:pPr>
        <w:ind w:right="120"/>
        <w:spacing w:after="0" w:line="315" w:lineRule="auto"/>
        <w:rPr>
          <w:sz w:val="20"/>
          <w:szCs w:val="20"/>
          <w:color w:val="auto"/>
        </w:rPr>
      </w:pPr>
      <w:r>
        <w:rPr>
          <w:rFonts w:ascii="Times New Roman" w:cs="Times New Roman" w:eastAsia="Times New Roman" w:hAnsi="Times New Roman"/>
          <w:sz w:val="17"/>
          <w:szCs w:val="17"/>
          <w:i w:val="1"/>
          <w:iCs w:val="1"/>
          <w:color w:val="auto"/>
        </w:rPr>
        <w:t>This performance graph and related information shall not be deemed “filed” for purposes of Section 18 of the Exchange Act or incorporated by reference into any filing of Aramark under the Securities Act or the Exchange Act, except as shall be expressly set forth by specific reference in such filing.</w:t>
      </w:r>
    </w:p>
    <w:p>
      <w:pPr>
        <w:spacing w:after="0" w:line="1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following graph shows a comparison from September 29, 2017, the last trading day of fiscal 2017, through September 30, 2022 of the cumulative total return for our common stock, The Standard &amp; Poor’s (“S&amp;P”) 500 Stock Index and The Dow Jones Consumer Non-Cyclical Index ("DJUSCY"). The graph assumes that $100 was invested in our common stock and in each index at the market close on September 29, 2017 and assumes that all dividends were reinvested. The stock price performance of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48260</wp:posOffset>
            </wp:positionV>
            <wp:extent cx="4568825" cy="22802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56882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29,</w:t>
            </w:r>
          </w:p>
        </w:tc>
        <w:tc>
          <w:tcPr>
            <w:tcW w:w="120" w:type="dxa"/>
            <w:vAlign w:val="bottom"/>
          </w:tcPr>
          <w:p>
            <w:pPr>
              <w:spacing w:after="0"/>
              <w:rPr>
                <w:sz w:val="13"/>
                <w:szCs w:val="13"/>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28,</w:t>
            </w:r>
          </w:p>
        </w:tc>
        <w:tc>
          <w:tcPr>
            <w:tcW w:w="140" w:type="dxa"/>
            <w:vAlign w:val="bottom"/>
          </w:tcPr>
          <w:p>
            <w:pPr>
              <w:spacing w:after="0"/>
              <w:rPr>
                <w:sz w:val="13"/>
                <w:szCs w:val="13"/>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11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October 2, 2020</w:t>
            </w:r>
          </w:p>
        </w:tc>
        <w:tc>
          <w:tcPr>
            <w:tcW w:w="140" w:type="dxa"/>
            <w:vAlign w:val="bottom"/>
          </w:tcPr>
          <w:p>
            <w:pPr>
              <w:spacing w:after="0"/>
              <w:rPr>
                <w:sz w:val="13"/>
                <w:szCs w:val="13"/>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October 1,</w:t>
            </w: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r>
        <w:trPr>
          <w:trHeight w:val="195"/>
        </w:trPr>
        <w:tc>
          <w:tcPr>
            <w:tcW w:w="3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Aramark</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2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Dow Jones Consumer Non-Cyclical Index</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0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There were no unregistered sales of equity securities during the fiscal year ended September 30, 2022 which have not been previously disclosed in a quarterly report on Form 10-Q or a current report on Form 8-K.</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repurchases of equity securities by us in the fourth fiscal quarter ended September 30, 2022.</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FINANCIAL CONDITION AND RESULTS OF OPERATIONS</w:t>
      </w:r>
    </w:p>
    <w:p>
      <w:pPr>
        <w:spacing w:after="0" w:line="10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Aramark's (the "Company," "we," "our" and "us") financial condition and results of operations for the fiscal years ended September 30, 2022 and October 1, 2021 should be read in conjunction with our audited consolidated financial statements and the notes to those statements. Discussion and analysis of our financial condition and results of operations for the fiscal year ended October 1, 2021 compared to the fiscal year ended October 2, 2020 is included under the heading Item 7 “Management’s Discussion and Analysis of Financial Condition and Results of Operations - Results of Operations - Fiscal 2021 Compared to Fiscal 2020 and - Liquidity and Capital Resources” in our Annual Report on Form 10-K filed for the fiscal year ended October 1, 2021 with the Securities and Exchange Commission ("SEC") on November 23, 2021.</w:t>
      </w:r>
    </w:p>
    <w:p>
      <w:pPr>
        <w:spacing w:after="0" w:line="47"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i w:val="1"/>
          <w:iCs w:val="1"/>
          <w:color w:val="auto"/>
        </w:rPr>
        <w:t>Our discussion contains forward-looking statements, such as our plans, objectives, opinions, expectations, anticipations, intentions and beliefs, that are based upon our current expectations but that involve risks and uncertainties. Actual results and the timing of events could differ materially from those anticipated in those forward-looking statements as a result of a number of factors, including those set forth under "Risk Factors," "Special Note About Forward-looking Statements" and "Business" sections and elsewhere in this Annual Report on Form 10-K ("Annual Report"). In the following discussion and analysis of financial condition and results of operations, certain financial measures may be considered “non-GAAP financial measures” under SEC rules. These rules require supplemental explanation and reconciliation, which is provided elsewhere in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are a leading global provider of food, facilities and uniform services to education, healthcare, business &amp; industry and sports, leisure &amp; corrections clients. Our core market is the United States, which is supplemented by an additional 18-country footprint. Through our established brand, broad geographic presence and employees, we anchor our business in our partnerships with thousands of clients. Through these partnerships we serve millions of customers including students, patients, employees, sports fans and guests worldwide.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our business in three reportable segments:</w:t>
      </w:r>
    </w:p>
    <w:p>
      <w:pPr>
        <w:spacing w:after="0" w:line="104" w:lineRule="exact"/>
        <w:rPr>
          <w:sz w:val="20"/>
          <w:szCs w:val="20"/>
          <w:color w:val="auto"/>
        </w:rPr>
      </w:pPr>
    </w:p>
    <w:p>
      <w:pPr>
        <w:ind w:left="660" w:right="1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and Support Services United States ("FSS United States") - Food, refreshment, specialized dietary and support services, including facility maintenance and housekeeping, provided to business, educational and healthcare institutions and in sports, leisure and other facilities serving the general public in the United States.</w:t>
      </w:r>
    </w:p>
    <w:p>
      <w:pPr>
        <w:spacing w:after="0" w:line="54" w:lineRule="exact"/>
        <w:rPr>
          <w:rFonts w:ascii="Times New Roman" w:cs="Times New Roman" w:eastAsia="Times New Roman" w:hAnsi="Times New Roman"/>
          <w:sz w:val="18"/>
          <w:szCs w:val="18"/>
          <w:color w:val="auto"/>
        </w:rPr>
      </w:pPr>
    </w:p>
    <w:p>
      <w:pPr>
        <w:ind w:left="660" w:hanging="328"/>
        <w:spacing w:after="0" w:line="25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and Support Services International ("FSS International") - Food, refreshment, specialized dietary and support services, including facility maintenance and housekeeping, provided to business, educational and healthcare institutions and in sports, leisure and other facilities serving the general public. We have operations in 18 countries outside the United States. Our largest international operations are in Canada, Chile, China, Germany, Spain and the United Kingdom, and in a majority of these countries we are one of the leading food and/or facility services providers. We also have operations in Japan through our 50% ownership of AIM Services Co., Ltd., which is a leader in providing outsourced food services in Japan.</w:t>
      </w:r>
    </w:p>
    <w:p>
      <w:pPr>
        <w:spacing w:after="0" w:line="11" w:lineRule="exact"/>
        <w:rPr>
          <w:rFonts w:ascii="Times New Roman" w:cs="Times New Roman" w:eastAsia="Times New Roman" w:hAnsi="Times New Roman"/>
          <w:sz w:val="18"/>
          <w:szCs w:val="18"/>
          <w:color w:val="auto"/>
        </w:rPr>
      </w:pPr>
    </w:p>
    <w:p>
      <w:pPr>
        <w:ind w:left="660" w:right="40" w:hanging="328"/>
        <w:spacing w:after="0" w:line="256" w:lineRule="auto"/>
        <w:tabs>
          <w:tab w:leader="none" w:pos="653" w:val="left"/>
        </w:tabs>
        <w:numPr>
          <w:ilvl w:val="0"/>
          <w:numId w:val="11"/>
        </w:numPr>
        <w:rPr>
          <w:rFonts w:ascii="Calibri" w:cs="Calibri" w:eastAsia="Calibri" w:hAnsi="Calibri"/>
          <w:sz w:val="19"/>
          <w:szCs w:val="19"/>
          <w:color w:val="auto"/>
        </w:rPr>
      </w:pPr>
      <w:r>
        <w:rPr>
          <w:rFonts w:ascii="Times New Roman" w:cs="Times New Roman" w:eastAsia="Times New Roman" w:hAnsi="Times New Roman"/>
          <w:sz w:val="17"/>
          <w:szCs w:val="17"/>
          <w:color w:val="auto"/>
        </w:rPr>
        <w:t>Uniform and Career Apparel ("Uniform") - Provides a full-service employee uniform solution, resulting in a contracted and recurring revenue model. The customer base is serviced by a leading geographic footprint in the United States and Canada with programs focused on uniforms, floor mats, towels, linens, managed restroom and first aid services. Customers operate in a wide range of industries in the United States and Canada.</w:t>
      </w:r>
    </w:p>
    <w:p>
      <w:pPr>
        <w:spacing w:after="0" w:line="2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Food and Support Services operations focus on serving clients in five principal sectors: Business &amp; Industry, Education, Healthcare, Sports, Leisure &amp; Corrections and Facilities &amp; Other. Our FSS International reportable segment provides a similar range of services as those provided to our FSS United States clients and operates in the same sectors. Administrative expenses not allocated to our three reportable segments are presented separately as corporate expenses.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Update</w:t>
      </w:r>
    </w:p>
    <w:p>
      <w:pPr>
        <w:spacing w:after="0" w:line="10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Recent global events, including the COVID-19 pandemic ("COVID-19"), have adversely affected global economies, disrupted global supply chains and labor force participation and created significant volatility and disruption of financial markets. COVID-19 related disruptions negatively impacted our financial and operating results beginning in the second quarter of fiscal 2020 through the first half of fiscal 2021. Our financial results started to improve during the second half of fiscal 2021 and continued to improve throughout fiscal 2022 as COVID-19 restrictions were lifted and operations re-opened. In addition, the</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ongoing conflict between Russia and Ukraine, countries in which we do not have direct operations, further disrupted global supply chains and heightened volatility and disruption of global financial markets. The ongoing volatility and disruption of financial markets caused by these global events, as well as other current global economic factors, triggered inflation in our food and labor costs, increased market interest rates and has driven significant changes in foreign currencies. The impact on our longer-term operational and financial performance will depend on future developments, including our response and governmental response to inflation, our interest rate hedging strategy, the duration and severity of the ongoing volatility and disruption of global financial markets and our ability to effectively hire and retain personnel. Some of these future developments are outside of our control and are highly uncertain.</w:t>
      </w:r>
    </w:p>
    <w:p>
      <w:pPr>
        <w:spacing w:after="0" w:line="5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continue to remain principally focused on the safety and well-being of our employees, clients and everyone we serve, while simultaneously taking timely, proactive measures to adapt to the current environment. Throughout fiscal 2022, we saw continued improved profitability from clients re-opening as COVID-19 restrictions eased as well as from effective management of operating costs, including supply chain initiatives, and pricing pass-throughs to mitigate the effects of elevated inflation. We continue to evaluate and react to the effects of a prolonged global disruption, including items such as inflationary pressures on food and product costs, greater labor challenges and the financial condition of our clients in certain businesses. We expect these challenges to continue into fiscal 2023, and we regularly evaluate and react in order to take appropriate actions to mitigate the risk in these areas.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FSS United States segment, the current environment of our sectors are as follows:</w:t>
      </w:r>
    </w:p>
    <w:p>
      <w:pPr>
        <w:spacing w:after="0" w:line="104" w:lineRule="exact"/>
        <w:rPr>
          <w:sz w:val="20"/>
          <w:szCs w:val="20"/>
          <w:color w:val="auto"/>
        </w:rPr>
      </w:pPr>
    </w:p>
    <w:p>
      <w:pPr>
        <w:ind w:left="660" w:right="40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 – Education saw strong performance during the start of the new academic year. In Higher Education and K-12, teams implemented enhanced pricing strategies for meal plans and on-campus retail outlets.</w:t>
      </w:r>
    </w:p>
    <w:p>
      <w:pPr>
        <w:spacing w:after="0" w:line="26" w:lineRule="exact"/>
        <w:rPr>
          <w:rFonts w:ascii="Times New Roman" w:cs="Times New Roman" w:eastAsia="Times New Roman" w:hAnsi="Times New Roman"/>
          <w:sz w:val="18"/>
          <w:szCs w:val="18"/>
          <w:color w:val="auto"/>
        </w:rPr>
      </w:pPr>
    </w:p>
    <w:p>
      <w:pPr>
        <w:ind w:left="660" w:right="320" w:hanging="328"/>
        <w:spacing w:after="0" w:line="312" w:lineRule="auto"/>
        <w:tabs>
          <w:tab w:leader="none" w:pos="65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Sports, Leisure &amp; Corrections – Sports saw high attendance levels with better-than-historic per capita spending. Leisure experienced increased guest activity, particularly in National Parks. Corrections revenue growth was led by the Union Supply acquisition and new business wins.</w:t>
      </w:r>
    </w:p>
    <w:p>
      <w:pPr>
        <w:spacing w:after="0" w:line="18" w:lineRule="exact"/>
        <w:rPr>
          <w:rFonts w:ascii="Times New Roman" w:cs="Times New Roman" w:eastAsia="Times New Roman" w:hAnsi="Times New Roman"/>
          <w:sz w:val="17"/>
          <w:szCs w:val="17"/>
          <w:color w:val="auto"/>
        </w:rPr>
      </w:pPr>
    </w:p>
    <w:p>
      <w:pPr>
        <w:ind w:left="660" w:right="40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&amp; Industry – Companies continued to experience a steady increase of in-person activity as return-to-office continued, particularly in September 2022. Some clients have implemented customized offerings and meal subsidies, which helped to increase participation rates.</w:t>
      </w:r>
    </w:p>
    <w:p>
      <w:pPr>
        <w:spacing w:after="0" w:line="40"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&amp; Other – Revenue growth was driven by higher levels of activity at existing clients and new business wins. We continue to offer our core business offerings, with an added focus on new engineering solutions and client project services.</w:t>
      </w:r>
    </w:p>
    <w:p>
      <w:pPr>
        <w:spacing w:after="0" w:line="26"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 Revenue growth was led by increased client activity related to elective surgeries, clinical care and retail along with higher net growth from newly awarded contracts, improved retention rates and additional services.</w:t>
      </w:r>
    </w:p>
    <w:p>
      <w:pPr>
        <w:spacing w:after="0" w:line="4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Within the FSS International segment, we continue to recover, returning to pre-pandemic revenue levels. South America continues to experience strong performance in extractive services. Europe and Canada continue to recover with the improved activity levels, especially in sports and entertainment venues driven by higher per capita spending, increased business and industry activity and education due to the start of the fall semester.</w:t>
      </w:r>
    </w:p>
    <w:p>
      <w:pPr>
        <w:spacing w:after="0" w:line="5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the Uniform segment, our business serves a range of clients, focusing on solution-oriented services driving safety and hygiene. Client operations have resumed, which, combined with increasing levels of net new client wins in both recurring rental and adjacency services and improved pricing, has enabled the segment to continue to surpass pre-pandemic revenue levels.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Aramark’s Intention to Spin-off Uniform Segment</w:t>
      </w:r>
    </w:p>
    <w:p>
      <w:pPr>
        <w:spacing w:after="0" w:line="10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May 10, 2022, we announced our intention to spin-off our Uniform segment into an independent publicly traded company to our stockholders. The proposed spin-off is intended to be a tax-free transaction to us and our stockholders for United States federal income tax purposes. The proposed spin-off is expected to be completed in the second half of fiscal 2023, subject to certain customary conditions, including final approval of our Board of Directors, receipt of a favorable opinion and Internal Revenue Service ruling with respect to the tax-free nature of the transaction, the effectiveness of a registration statement on Form 10 to be filed with the SEC and the receipt of other regulatory approvals. Refer to Note 15 to the audited consolidated financial statements for the Uniform segment financial disclosures.</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w:t>
      </w:r>
    </w:p>
    <w:p>
      <w:pPr>
        <w:spacing w:after="0" w:line="94"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On June 2, 2022, we completed the acquisition of Union Supply Group Inc. ("Union Supply"), a commissary goods and services supplier, for cash consideration of $199.6 million, plus contingent consideration (see Note 2 and Note 16 to the audited consolidated financial statements).</w:t>
      </w:r>
    </w:p>
    <w:p>
      <w:pPr>
        <w:spacing w:after="0" w:line="4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June 4, 2021, we completed the acquisition of Next Level Hospitality ("Next Level"), a premier provider of culinary and environmental services in the senior living industry, specializing in skilled nursing and rehabilitation facilities, for cash consideration of $226.1 million, plus contingent consideration (see Note 2 and Note 16 to the audited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9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revenue and operating results have varied, and we expect them to continue to vary, from quarter to quarter as a result of different factors. Historically, within our FSS United States segment, there has been a lower level of activity during our first and second fiscal quarters in operations that provide services to sports and leisure clients. This lower level of activity, historically, has been partially offset during our first and second fiscal quarters by the increased activity levels in our educational operations. Conversely, historically there has been a significant increase in the provision of services to sports and leisure clients during our third and fourth fiscal quarters, which is partially offset by the effect of summer recess at colleges, universities and schools in our educational operations. Recently, our business and results of operations have started to resemble our historically typical patterns of seasonality following the disruption caused by COVID-19.</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Revenue</w:t>
      </w:r>
    </w:p>
    <w:p>
      <w:pPr>
        <w:spacing w:after="0" w:line="54"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Our clients engage us, generally through written contracts, to provide our services at their locations. Depending on the type of client and service, we are paid either by our client or directly by the customer to whom we have been provided access by our client. We typically use either profit and loss contracts or client interest contracts in our FSS United States and FSS International segments. These contracts differ in their provision for the amount of financial risk we bear and, accordingly, the potential compensation, profits or fees we may receive. Under profit and loss contracts, we receive all of the revenue from, and bear all of the expenses of, the provision of our services at a client location. For fiscal 2022, approximately two-thirds of our FSS United States and FSS International segment revenue was derived from profit and loss contracts. Client interest contracts include management fee contracts, under which our clients reimburse our operating costs and pay us a management fee, which may be calculated as a fixed dollar amount or a percentage of revenue or operating costs. Some management fee contracts entitle us to receive incentive fees based upon our performance under the contract, as measured by factors such as revenue, operating costs and customer satisfaction surveys. For fiscal 2022, approximately one-third of our FSS United States and FSS International segment revenue was derived from client interest contracts. In response to the early stages of the COVID-19 pandemic, in certain instances, mainly within the Business &amp; Industry sector, we renegotiated contract terms by temporarily transitioning from profit and loss contracts to client interest contracts in order to mitigate lost profits. As COVID restrictions lifted and operations re-opened, we are working with our clients to transition back to profit and loss contracts, as appropriate.</w:t>
      </w:r>
    </w:p>
    <w:p>
      <w:pPr>
        <w:spacing w:after="0" w:line="8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For our Uniform segment, we typically serve our rental clients under written service contracts for an initial term of three to five years. As the majority of our clients purchase on a recurring basis, our backlog of orders at any given time consists principally of orders in the process of being filled. With the exception of certain governmental bid business, most of our direct marketing business is conducted under invoice arrangement with repeat clients. To a large degree, our direct marketing business is relationship-driven. While we have long-term relationships with our larger clients, we generally do not have contracts with these clients within our direct marketing business.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costs and expenses are comprised of cost of services provided (exclusive of depreciation and amortization), depreciation and amortization and selling and general corporate expenses. Cost of services provided (exclusive of depreciation and amortization) consists of direct expenses associated with our operations, which includes food costs, wages, other labor-related expenses (including workers' compensation, severance, state unemployment insurance and federal or state mandated health benefits and other healthcare costs), insurance, fuel, utilities, piece goods and clothing and equipment. Direct expense related to food costs within Cost of services provided (exclusive of depreciation and amortization) are offset by rebates, vendor allowances and volume discounts. Depreciation and amortization expenses mainly relate to assets used in generating revenue. Selling and general corporate expenses include sales commissions, severance, share-based compensation and other unallocated costs related to administrative functions including finance, legal and human resources.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Financing Costs, net</w:t>
      </w:r>
    </w:p>
    <w:p>
      <w:pPr>
        <w:spacing w:after="0" w:line="9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Interest and other financing costs, net, relates primarily to interest expense on long-term borrowings. Interest and other financing costs, net also includes third-party costs associated with long-term borrowings that were capitalized and are being amortized over the term of the borrowing.</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Provision (Benefit) for Income Taxes represents federal, foreign, state and local income taxes. Our effective tax rate differs from the statutory United States income tax rate due to the effect of state and local income taxes, tax rates in foreign jurisdictions, tax credits and certain nondeductible expenses. Our effective tax rate will change from quarter to quarter based on recurring and nonrecurring factors including, but not limited to, the geographical mix of earnings, state and local income taxes, tax audit settlements, share-based award exercise activity and enacted tax legislation, including certain business tax credits. The Provision (Benefit) for Income Taxes in fiscal 2021 was impacted by governmental programs, such as the Coronavirus Aid, Relief and Economic Security Act ("CARES Act") and Consolidated Appropriations Act of 2021 (see Note 10 to the audited consolidated financial statements). Changes in judgment due to the evaluation of new information resulting in the recognition, derecognition or remeasurement of a tax position taken in a prior annual period are recognized separately in the quarter of the change.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Fluctuations</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impact from foreign currency translation assumes constant foreign currency exchange rates based on the rates in effect for the prior year period being used in translation for the comparable current year period. We believe that providing the impact of fluctuations in foreign currency rates on certain financial results can facilitate analysis of period-to-period comparisons of business performance.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fiscal year is the fifty-two or fifty-three week period which ends on the Friday nearest to September 30th. The fiscal years ended September 30, 2022 and October 1, 2021 were each a fifty-two week period.</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2022 Compared to Fiscal 2021</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present an overview of our results on a consolidated and segment basis with the amount of and percentage change between periods for the fiscal years 2022 and 2021 (dollars in millions).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80" w:type="dxa"/>
            <w:vAlign w:val="bottom"/>
            <w:gridSpan w:val="7"/>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60" w:type="dxa"/>
            <w:vAlign w:val="bottom"/>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4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60" w:type="dxa"/>
            <w:vAlign w:val="bottom"/>
            <w:tcBorders>
              <w:top w:val="single" w:sz="8" w:color="auto"/>
              <w:bottom w:val="single" w:sz="8" w:color="CCEEFF"/>
            </w:tcBorders>
          </w:tcPr>
          <w:p>
            <w:pPr>
              <w:spacing w:after="0"/>
              <w:rPr>
                <w:sz w:val="16"/>
                <w:szCs w:val="16"/>
                <w:color w:val="auto"/>
              </w:rPr>
            </w:pPr>
          </w:p>
        </w:tc>
        <w:tc>
          <w:tcPr>
            <w:tcW w:w="4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October 1, 2021</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top w:val="single" w:sz="8" w:color="auto"/>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16,326.6</w:t>
            </w: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12,096.0</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4,230.6</w:t>
            </w: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0" w:type="dxa"/>
            <w:vAlign w:val="bottom"/>
          </w:tcPr>
          <w:p>
            <w:pPr>
              <w:spacing w:after="0"/>
              <w:rPr>
                <w:sz w:val="1"/>
                <w:szCs w:val="1"/>
                <w:color w:val="auto"/>
              </w:rPr>
            </w:pPr>
          </w:p>
        </w:tc>
      </w:tr>
      <w:tr>
        <w:trPr>
          <w:trHeight w:val="209"/>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540" w:type="dxa"/>
            <w:vAlign w:val="bottom"/>
            <w:gridSpan w:val="2"/>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Cost of services provided (exclusive of depreciation and</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amortization)</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14,767.5</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11,007.2</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3,760.3</w:t>
            </w:r>
          </w:p>
        </w:tc>
        <w:tc>
          <w:tcPr>
            <w:tcW w:w="6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34.2 %</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Other operating expenses</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930.7</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897.4</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60" w:type="dxa"/>
            <w:vAlign w:val="bottom"/>
            <w:tcBorders>
              <w:bottom w:val="single" w:sz="8" w:color="auto"/>
            </w:tcBorders>
          </w:tcPr>
          <w:p>
            <w:pPr>
              <w:spacing w:after="0"/>
              <w:rPr>
                <w:sz w:val="19"/>
                <w:szCs w:val="19"/>
                <w:color w:val="auto"/>
              </w:rPr>
            </w:pPr>
          </w:p>
        </w:tc>
        <w:tc>
          <w:tcPr>
            <w:tcW w:w="166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15,698.2</w:t>
            </w: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11,904.6</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3,793.6</w:t>
            </w:r>
          </w:p>
        </w:tc>
        <w:tc>
          <w:tcPr>
            <w:tcW w:w="60" w:type="dxa"/>
            <w:vAlign w:val="bottom"/>
            <w:tcBorders>
              <w:bottom w:val="single" w:sz="8" w:color="auto"/>
            </w:tcBorders>
            <w:shd w:val="clear" w:color="auto" w:fill="CCEEFF"/>
          </w:tcPr>
          <w:p>
            <w:pPr>
              <w:spacing w:after="0"/>
              <w:rPr>
                <w:sz w:val="19"/>
                <w:szCs w:val="19"/>
                <w:color w:val="auto"/>
              </w:rPr>
            </w:pP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31.9 %</w:t>
            </w:r>
          </w:p>
        </w:tc>
        <w:tc>
          <w:tcPr>
            <w:tcW w:w="0" w:type="dxa"/>
            <w:vAlign w:val="bottom"/>
          </w:tcPr>
          <w:p>
            <w:pPr>
              <w:spacing w:after="0"/>
              <w:rPr>
                <w:sz w:val="1"/>
                <w:szCs w:val="1"/>
                <w:color w:val="auto"/>
              </w:rPr>
            </w:pPr>
          </w:p>
        </w:tc>
      </w:tr>
      <w:tr>
        <w:trPr>
          <w:trHeight w:val="223"/>
        </w:trPr>
        <w:tc>
          <w:tcPr>
            <w:tcW w:w="45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6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228.2 %</w:t>
            </w:r>
          </w:p>
        </w:tc>
        <w:tc>
          <w:tcPr>
            <w:tcW w:w="0" w:type="dxa"/>
            <w:vAlign w:val="bottom"/>
          </w:tcPr>
          <w:p>
            <w:pPr>
              <w:spacing w:after="0"/>
              <w:rPr>
                <w:sz w:val="1"/>
                <w:szCs w:val="1"/>
                <w:color w:val="auto"/>
              </w:rPr>
            </w:pPr>
          </w:p>
        </w:tc>
      </w:tr>
      <w:tr>
        <w:trPr>
          <w:trHeight w:val="229"/>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Equity Investment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(137.9)</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(137.9)</w:t>
            </w: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on Defined Benefit Pension Plan Termination</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(60.9)</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Financing Costs, net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(28.5)</w:t>
            </w: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3"/>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6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292.4 %</w:t>
            </w:r>
          </w:p>
        </w:tc>
        <w:tc>
          <w:tcPr>
            <w:tcW w:w="0" w:type="dxa"/>
            <w:vAlign w:val="bottom"/>
          </w:tcPr>
          <w:p>
            <w:pPr>
              <w:spacing w:after="0"/>
              <w:rPr>
                <w:sz w:val="1"/>
                <w:szCs w:val="1"/>
                <w:color w:val="auto"/>
              </w:rPr>
            </w:pPr>
          </w:p>
        </w:tc>
      </w:tr>
      <w:tr>
        <w:trPr>
          <w:trHeight w:val="229"/>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60" w:type="dxa"/>
            <w:vAlign w:val="bottom"/>
            <w:tcBorders>
              <w:bottom w:val="single" w:sz="8" w:color="auto"/>
            </w:tcBorders>
            <w:shd w:val="clear" w:color="auto" w:fill="CCEEFF"/>
          </w:tcPr>
          <w:p>
            <w:pPr>
              <w:spacing w:after="0"/>
              <w:rPr>
                <w:sz w:val="19"/>
                <w:szCs w:val="19"/>
                <w:color w:val="auto"/>
              </w:rPr>
            </w:pP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251.3 %</w:t>
            </w:r>
          </w:p>
        </w:tc>
        <w:tc>
          <w:tcPr>
            <w:tcW w:w="0" w:type="dxa"/>
            <w:vAlign w:val="bottom"/>
          </w:tcPr>
          <w:p>
            <w:pPr>
              <w:spacing w:after="0"/>
              <w:rPr>
                <w:sz w:val="1"/>
                <w:szCs w:val="1"/>
                <w:color w:val="auto"/>
              </w:rPr>
            </w:pPr>
          </w:p>
        </w:tc>
      </w:tr>
      <w:tr>
        <w:trPr>
          <w:trHeight w:val="223"/>
        </w:trPr>
        <w:tc>
          <w:tcPr>
            <w:tcW w:w="45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Net income (loss)</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60" w:type="dxa"/>
            <w:vAlign w:val="bottom"/>
            <w:tcBorders>
              <w:bottom w:val="single" w:sz="8" w:color="auto"/>
            </w:tcBorders>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310.6 %</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5"/>
        </w:trPr>
        <w:tc>
          <w:tcPr>
            <w:tcW w:w="4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80" w:type="dxa"/>
            <w:vAlign w:val="bottom"/>
            <w:gridSpan w:val="7"/>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4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 by Segment</w:t>
            </w:r>
            <w:r>
              <w:rPr>
                <w:rFonts w:ascii="Times New Roman" w:cs="Times New Roman" w:eastAsia="Times New Roman" w:hAnsi="Times New Roman"/>
                <w:sz w:val="18"/>
                <w:szCs w:val="18"/>
                <w:b w:val="1"/>
                <w:bCs w:val="1"/>
                <w:color w:val="auto"/>
                <w:vertAlign w:val="superscript"/>
              </w:rPr>
              <w:t>(1)</w:t>
            </w: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6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54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October 1, 2021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223"/>
        </w:trPr>
        <w:tc>
          <w:tcPr>
            <w:tcW w:w="4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10,030.8</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6,809.3</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3,221.5</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47.3 %</w:t>
            </w:r>
          </w:p>
        </w:tc>
        <w:tc>
          <w:tcPr>
            <w:tcW w:w="0" w:type="dxa"/>
            <w:vAlign w:val="bottom"/>
          </w:tcPr>
          <w:p>
            <w:pPr>
              <w:spacing w:after="0"/>
              <w:rPr>
                <w:sz w:val="1"/>
                <w:szCs w:val="1"/>
                <w:color w:val="auto"/>
              </w:rPr>
            </w:pPr>
          </w:p>
        </w:tc>
      </w:tr>
      <w:tr>
        <w:trPr>
          <w:trHeight w:val="230"/>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790.2</w:t>
            </w:r>
          </w:p>
        </w:tc>
        <w:tc>
          <w:tcPr>
            <w:tcW w:w="60" w:type="dxa"/>
            <w:vAlign w:val="bottom"/>
          </w:tcPr>
          <w:p>
            <w:pPr>
              <w:spacing w:after="0"/>
              <w:rPr>
                <w:sz w:val="19"/>
                <w:szCs w:val="19"/>
                <w:color w:val="auto"/>
              </w:rPr>
            </w:pPr>
          </w:p>
        </w:tc>
        <w:tc>
          <w:tcPr>
            <w:tcW w:w="1660" w:type="dxa"/>
            <w:vAlign w:val="bottom"/>
            <w:gridSpan w:val="3"/>
          </w:tcPr>
          <w:p>
            <w:pPr>
              <w:jc w:val="right"/>
              <w:ind w:right="4"/>
              <w:spacing w:after="0"/>
              <w:rPr>
                <w:sz w:val="20"/>
                <w:szCs w:val="20"/>
                <w:color w:val="auto"/>
              </w:rPr>
            </w:pPr>
            <w:r>
              <w:rPr>
                <w:rFonts w:ascii="Times New Roman" w:cs="Times New Roman" w:eastAsia="Times New Roman" w:hAnsi="Times New Roman"/>
                <w:sz w:val="18"/>
                <w:szCs w:val="18"/>
                <w:color w:val="auto"/>
              </w:rPr>
              <w:t>27.6 %</w:t>
            </w: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Uniform</w:t>
            </w: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6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16,326.6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12,096.0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4,230.6</w:t>
            </w:r>
          </w:p>
        </w:tc>
        <w:tc>
          <w:tcPr>
            <w:tcW w:w="60" w:type="dxa"/>
            <w:vAlign w:val="bottom"/>
          </w:tcPr>
          <w:p>
            <w:pPr>
              <w:spacing w:after="0"/>
              <w:rPr>
                <w:sz w:val="19"/>
                <w:szCs w:val="19"/>
                <w:color w:val="auto"/>
              </w:rPr>
            </w:pPr>
          </w:p>
        </w:tc>
        <w:tc>
          <w:tcPr>
            <w:tcW w:w="1660" w:type="dxa"/>
            <w:vAlign w:val="bottom"/>
            <w:gridSpan w:val="3"/>
          </w:tcPr>
          <w:p>
            <w:pPr>
              <w:jc w:val="right"/>
              <w:ind w:right="4"/>
              <w:spacing w:after="0"/>
              <w:rPr>
                <w:sz w:val="20"/>
                <w:szCs w:val="20"/>
                <w:color w:val="auto"/>
              </w:rPr>
            </w:pPr>
            <w:r>
              <w:rPr>
                <w:rFonts w:ascii="Times New Roman" w:cs="Times New Roman" w:eastAsia="Times New Roman" w:hAnsi="Times New Roman"/>
                <w:sz w:val="18"/>
                <w:szCs w:val="18"/>
                <w:color w:val="auto"/>
              </w:rPr>
              <w:t>35.0 %</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60" w:type="dxa"/>
            <w:vAlign w:val="bottom"/>
            <w:tcBorders>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6"/>
        </w:trPr>
        <w:tc>
          <w:tcPr>
            <w:tcW w:w="4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80" w:type="dxa"/>
            <w:vAlign w:val="bottom"/>
            <w:gridSpan w:val="7"/>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4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 by Segment</w:t>
            </w:r>
            <w:r>
              <w:rPr>
                <w:rFonts w:ascii="Times New Roman" w:cs="Times New Roman" w:eastAsia="Times New Roman" w:hAnsi="Times New Roman"/>
                <w:sz w:val="18"/>
                <w:szCs w:val="18"/>
                <w:b w:val="1"/>
                <w:bCs w:val="1"/>
                <w:color w:val="auto"/>
                <w:vertAlign w:val="superscript"/>
              </w:rPr>
              <w:t>(1)</w:t>
            </w: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6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54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October 1, 2021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223"/>
        </w:trPr>
        <w:tc>
          <w:tcPr>
            <w:tcW w:w="4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240.8 %</w:t>
            </w:r>
          </w:p>
        </w:tc>
        <w:tc>
          <w:tcPr>
            <w:tcW w:w="0" w:type="dxa"/>
            <w:vAlign w:val="bottom"/>
          </w:tcPr>
          <w:p>
            <w:pPr>
              <w:spacing w:after="0"/>
              <w:rPr>
                <w:sz w:val="1"/>
                <w:szCs w:val="1"/>
                <w:color w:val="auto"/>
              </w:rPr>
            </w:pPr>
          </w:p>
        </w:tc>
      </w:tr>
      <w:tr>
        <w:trPr>
          <w:trHeight w:val="230"/>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6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93.2 %</w:t>
            </w: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Uniform</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6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80.5 %</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6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0" w:type="dxa"/>
            <w:vAlign w:val="bottom"/>
          </w:tcPr>
          <w:p>
            <w:pPr>
              <w:spacing w:after="0"/>
              <w:rPr>
                <w:sz w:val="1"/>
                <w:szCs w:val="1"/>
                <w:color w:val="auto"/>
              </w:rPr>
            </w:pPr>
          </w:p>
        </w:tc>
      </w:tr>
      <w:tr>
        <w:trPr>
          <w:trHeight w:val="248"/>
        </w:trPr>
        <w:tc>
          <w:tcPr>
            <w:tcW w:w="44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228.2 %</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right="20" w:firstLine="8"/>
        <w:spacing w:after="0" w:line="302" w:lineRule="auto"/>
        <w:tabs>
          <w:tab w:leader="none" w:pos="148" w:val="left"/>
        </w:tabs>
        <w:numPr>
          <w:ilvl w:val="0"/>
          <w:numId w:val="1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As a percentage of total revenue, FSS United States represented 61.4% and 56.3%, FSS International represented 22.4% and 23.7% and Uniform represented 16.2% and 20.0% for fiscal 2022 and fiscal 2021, respectively.</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Overview</w:t>
      </w:r>
    </w:p>
    <w:p>
      <w:pPr>
        <w:spacing w:after="0" w:line="94"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Revenue increased by 35.0% during fiscal 2022 compared to the prior year period, which was primarily attributable to base business growth, including from operations re-opening across all business segments after COVID-19 restrictions lifted, growth in net new business and pricing pass-throughs. In addition, the Next Level and Union Supply acquisitions contributed to the revenue growth (3.0%). Foreign currency translation unfavorably impacted revenue during fiscal 2022 (2.6%).</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cost of services provided (exclusive of depreciation and amortization) by segment and as a percent of revenue for the fiscal years ended September 30, 2022 and October 1, 2021.</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4"/>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
        </w:trPr>
        <w:tc>
          <w:tcPr>
            <w:tcW w:w="5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4"/>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3"/>
          </w:tcPr>
          <w:p>
            <w:pPr>
              <w:spacing w:after="0"/>
              <w:rPr>
                <w:sz w:val="2"/>
                <w:szCs w:val="2"/>
                <w:color w:val="auto"/>
              </w:rPr>
            </w:pPr>
          </w:p>
        </w:tc>
      </w:tr>
      <w:tr>
        <w:trPr>
          <w:trHeight w:val="189"/>
        </w:trPr>
        <w:tc>
          <w:tcPr>
            <w:tcW w:w="5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300" w:type="dxa"/>
            <w:vAlign w:val="bottom"/>
          </w:tcPr>
          <w:p>
            <w:pPr>
              <w:spacing w:after="0"/>
              <w:rPr>
                <w:sz w:val="16"/>
                <w:szCs w:val="16"/>
                <w:color w:val="auto"/>
              </w:rPr>
            </w:pPr>
          </w:p>
        </w:tc>
        <w:tc>
          <w:tcPr>
            <w:tcW w:w="2320" w:type="dxa"/>
            <w:vAlign w:val="bottom"/>
            <w:gridSpan w:val="3"/>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October 1, 2021</w:t>
            </w:r>
          </w:p>
        </w:tc>
      </w:tr>
      <w:tr>
        <w:trPr>
          <w:trHeight w:val="196"/>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Cost of services provided (exclusive of depreciation and amortization)</w:t>
            </w:r>
          </w:p>
        </w:tc>
        <w:tc>
          <w:tcPr>
            <w:tcW w:w="3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of Revenue</w:t>
            </w:r>
          </w:p>
        </w:tc>
      </w:tr>
      <w:tr>
        <w:trPr>
          <w:trHeight w:val="229"/>
        </w:trPr>
        <w:tc>
          <w:tcPr>
            <w:tcW w:w="5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9,145.0</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6,237.6</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91.6 %</w:t>
            </w:r>
          </w:p>
        </w:tc>
      </w:tr>
      <w:tr>
        <w:trPr>
          <w:trHeight w:val="22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94.5 %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94.9 %</w:t>
            </w:r>
          </w:p>
        </w:tc>
      </w:tr>
      <w:tr>
        <w:trPr>
          <w:trHeight w:val="230"/>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Uniform</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2,050.4</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84.7 %</w:t>
            </w:r>
          </w:p>
        </w:tc>
      </w:tr>
      <w:tr>
        <w:trPr>
          <w:trHeight w:val="223"/>
        </w:trPr>
        <w:tc>
          <w:tcPr>
            <w:tcW w:w="5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14,767.5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90.5 %</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11,007.2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91.0 %</w:t>
            </w:r>
          </w:p>
        </w:tc>
      </w:tr>
      <w:tr>
        <w:trPr>
          <w:trHeight w:val="21"/>
        </w:trPr>
        <w:tc>
          <w:tcPr>
            <w:tcW w:w="5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7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percentages attributable to the components in cost of services provided (exclusive of depreciation and amortization) for fiscal 2022 and fiscal 2021.</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20" w:type="dxa"/>
            <w:vAlign w:val="bottom"/>
            <w:gridSpan w:val="3"/>
          </w:tcPr>
          <w:p>
            <w:pPr>
              <w:jc w:val="right"/>
              <w:ind w:right="1214"/>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0" w:type="dxa"/>
            <w:vAlign w:val="bottom"/>
          </w:tcPr>
          <w:p>
            <w:pPr>
              <w:spacing w:after="0"/>
              <w:rPr>
                <w:sz w:val="1"/>
                <w:szCs w:val="1"/>
                <w:color w:val="auto"/>
              </w:rPr>
            </w:pPr>
          </w:p>
        </w:tc>
      </w:tr>
      <w:tr>
        <w:trPr>
          <w:trHeight w:val="23"/>
        </w:trPr>
        <w:tc>
          <w:tcPr>
            <w:tcW w:w="7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Cost of services provided (exclusive of depreciation and amortization) components</w:t>
            </w:r>
          </w:p>
        </w:tc>
        <w:tc>
          <w:tcPr>
            <w:tcW w:w="192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520" w:type="dxa"/>
            <w:vAlign w:val="bottom"/>
            <w:gridSpan w:val="2"/>
            <w:vMerge w:val="continue"/>
          </w:tcPr>
          <w:p>
            <w:pPr>
              <w:spacing w:after="0"/>
              <w:rPr>
                <w:sz w:val="16"/>
                <w:szCs w:val="16"/>
                <w:color w:val="auto"/>
              </w:rPr>
            </w:pPr>
          </w:p>
        </w:tc>
        <w:tc>
          <w:tcPr>
            <w:tcW w:w="19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80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October 1, 2021</w:t>
            </w:r>
          </w:p>
        </w:tc>
        <w:tc>
          <w:tcPr>
            <w:tcW w:w="0" w:type="dxa"/>
            <w:vAlign w:val="bottom"/>
          </w:tcPr>
          <w:p>
            <w:pPr>
              <w:spacing w:after="0"/>
              <w:rPr>
                <w:sz w:val="1"/>
                <w:szCs w:val="1"/>
                <w:color w:val="auto"/>
              </w:rPr>
            </w:pPr>
          </w:p>
        </w:tc>
      </w:tr>
      <w:tr>
        <w:trPr>
          <w:trHeight w:val="229"/>
        </w:trPr>
        <w:tc>
          <w:tcPr>
            <w:tcW w:w="7400" w:type="dxa"/>
            <w:vAlign w:val="bottom"/>
            <w:tcBorders>
              <w:top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Food and support service costs</w:t>
            </w:r>
            <w:r>
              <w:rPr>
                <w:rFonts w:ascii="Times New Roman" w:cs="Times New Roman" w:eastAsia="Times New Roman" w:hAnsi="Times New Roman"/>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0" w:type="dxa"/>
            <w:vAlign w:val="bottom"/>
          </w:tcPr>
          <w:p>
            <w:pPr>
              <w:spacing w:after="0"/>
              <w:rPr>
                <w:sz w:val="1"/>
                <w:szCs w:val="1"/>
                <w:color w:val="auto"/>
              </w:rPr>
            </w:pPr>
          </w:p>
        </w:tc>
      </w:tr>
      <w:tr>
        <w:trPr>
          <w:trHeight w:val="229"/>
        </w:trPr>
        <w:tc>
          <w:tcPr>
            <w:tcW w:w="75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Personnel costs</w:t>
            </w:r>
            <w:r>
              <w:rPr>
                <w:rFonts w:ascii="Times New Roman" w:cs="Times New Roman" w:eastAsia="Times New Roman" w:hAnsi="Times New Roman"/>
                <w:sz w:val="23"/>
                <w:szCs w:val="23"/>
                <w:color w:val="auto"/>
                <w:vertAlign w:val="superscript"/>
              </w:rPr>
              <w:t>(2)</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47.7 %</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50.3 %</w:t>
            </w:r>
          </w:p>
        </w:tc>
        <w:tc>
          <w:tcPr>
            <w:tcW w:w="0" w:type="dxa"/>
            <w:vAlign w:val="bottom"/>
          </w:tcPr>
          <w:p>
            <w:pPr>
              <w:spacing w:after="0"/>
              <w:rPr>
                <w:sz w:val="1"/>
                <w:szCs w:val="1"/>
                <w:color w:val="auto"/>
              </w:rPr>
            </w:pPr>
          </w:p>
        </w:tc>
      </w:tr>
      <w:tr>
        <w:trPr>
          <w:trHeight w:val="229"/>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direct costs</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10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0" w:type="dxa"/>
            <w:vAlign w:val="bottom"/>
          </w:tcPr>
          <w:p>
            <w:pPr>
              <w:spacing w:after="0"/>
              <w:rPr>
                <w:sz w:val="1"/>
                <w:szCs w:val="1"/>
                <w:color w:val="auto"/>
              </w:rPr>
            </w:pPr>
          </w:p>
        </w:tc>
      </w:tr>
      <w:tr>
        <w:trPr>
          <w:trHeight w:val="223"/>
        </w:trPr>
        <w:tc>
          <w:tcPr>
            <w:tcW w:w="7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1"/>
        </w:trPr>
        <w:tc>
          <w:tcPr>
            <w:tcW w:w="7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440" w:firstLine="8"/>
        <w:spacing w:after="0" w:line="282" w:lineRule="auto"/>
        <w:tabs>
          <w:tab w:leader="none" w:pos="204"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Food and support service costs represented a higher proportion of total cost of services provided (exclusive of depreciation and amortization) during fiscal 2022 mainly from operations reopening as COVID-19 restrictions were lifted and food cost inflation.</w:t>
      </w:r>
    </w:p>
    <w:p>
      <w:pPr>
        <w:spacing w:after="0" w:line="53" w:lineRule="exact"/>
        <w:rPr>
          <w:rFonts w:ascii="Times New Roman" w:cs="Times New Roman" w:eastAsia="Times New Roman" w:hAnsi="Times New Roman"/>
          <w:sz w:val="14"/>
          <w:szCs w:val="14"/>
          <w:color w:val="auto"/>
        </w:rPr>
      </w:pPr>
    </w:p>
    <w:p>
      <w:pPr>
        <w:ind w:right="100" w:firstLine="8"/>
        <w:spacing w:after="0" w:line="302" w:lineRule="auto"/>
        <w:tabs>
          <w:tab w:leader="none" w:pos="204"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Personnel costs decreased as a percentage of total cost of services provided (exclusive of depreciation and amortization) during fiscal 2022 due to food and support service costs increasing at a higher proportion as compared to personnel costs.</w:t>
      </w:r>
    </w:p>
    <w:p>
      <w:pPr>
        <w:spacing w:after="0" w:line="3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Operating income increased by $437.0 million during fiscal 2022 compared to the prior year period, which was driven by base business growth, including from clients re-opening after COVID-19 restrictions lifted, effective cost management and higher vendor discounts from stabilizing supply chain disruptions with our suppliers. The increase in operating income during fiscal 2022 was also attributable to integration costs incurred during fiscal 2021 related to the AmeriPride acquisition that occurred in fiscal 2018 (see Note 2 to the audited consolidated financial statements), lower personnel costs from incentive expenses related to the annual bonus, non-cash income related to the reduction of the contingent consideration liability related to the earn-out of the Next Level acquisition ($20.7 million) and lower insurance expenses, mainly related to our medical program ($18.0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increases in operating income during fiscal 2022 more than offset:</w:t>
      </w:r>
    </w:p>
    <w:p>
      <w:pPr>
        <w:spacing w:after="0" w:line="90"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inflationary costs in food and labor;</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expenses incurred related to new business when compared to the prior year period;</w:t>
      </w:r>
    </w:p>
    <w:p>
      <w:pPr>
        <w:spacing w:after="0" w:line="103"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United States and non-United States governmental labor related tax credits received in relation to COVID-19 when compared to the prior year period (see Note 1 to the audited consolidated financial statements);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share-based compensation expense (see Note 12 to the audited consolidated financial statements);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severance between years ($26.9 million) (see Note 3 to the audited consolidated financial statements);</w:t>
      </w:r>
    </w:p>
    <w:p>
      <w:pPr>
        <w:spacing w:after="0" w:line="103" w:lineRule="exact"/>
        <w:rPr>
          <w:rFonts w:ascii="Times New Roman" w:cs="Times New Roman" w:eastAsia="Times New Roman" w:hAnsi="Times New Roman"/>
          <w:sz w:val="18"/>
          <w:szCs w:val="18"/>
          <w:color w:val="auto"/>
        </w:rPr>
      </w:pPr>
    </w:p>
    <w:p>
      <w:pPr>
        <w:ind w:left="660" w:right="88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income related to favorable loss experience in older insurance years under our general liability, automotive liability and workers' compensation liability programs when compared to fiscal 2021 ($16.2 million); and</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 of foreign currency translation (approximately $7.0 million).</w:t>
      </w:r>
    </w:p>
    <w:p>
      <w:pPr>
        <w:spacing w:after="0" w:line="10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During fiscal 2021, a non-cash gain related to an equity investment of $137.9 million was recorded, which was partially offset by a non-cash loss from the termination of certain defined benefit pension plans of $60.9 million.</w:t>
      </w:r>
    </w:p>
    <w:p>
      <w:pPr>
        <w:spacing w:after="0" w:line="4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Interest and Other Financing Costs, net, decreased 7.1% during fiscal 2022 compared to the prior year period. The decrease for fiscal 2022 was primarily due to lower interest expense from the repayment of the 4.750% Senior Notes due 2026 ("2026 Notes") during the third quarter of fiscal 2021. The decrease was also due to charges related to the repayment of the 2026 Notes, including $11.9 million of a call premium payment and $4.1 million related to the write-off of unamortized debt issuance costs.</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Provision for Income Taxes for fiscal 2022 was recorded at an effective rate of 24.0% compared to a Benefit for Income Taxes recorded at an effective rate of 30.6% in the prior year. During fiscal 2022, we recorded a benefit to the "Provision (Benefit) for Income Taxes" within the Consolidated Statements of Income (Loss) of $8.5 million for the reversal of a valuation allowance at a subsidiary in the FSS International segment driven by our ability to utilize the deferred tax assets based on future taxable income expected due to the acquisition of a business. We also recorded a benefit to the "Provision (Benefit) for Income Taxes" within the Consolidated Statements of Income (Loss) of $4.2 million due to a state tax law change during fiscal 2022. As a result of the CARES Act, we recorded a net benefit to the "Provision (Benefit) for Income Taxes" within the Consolidated Statements of Income (Loss) of $12.0 million during fiscal 2021. The Provision (Benefit) for Income Taxes during fiscal 2021 includes the Net Operating Losses ("NOL") expected to be carried back to Pre-Tax Cut and Jobs Act years, which are benefited at an income tax rate of 35.0% as opposed to the current year rate of 21.0%. During fiscal 2021, we recorded a valuation allowance of $36.5 million against certain foreign tax credits that were re-established by the NOL carryback. Within the FSS International segment, we also recorded during fiscal 2021 a valuation allowance against deferred tax assets in certain subsidiaries from cumulative losses of $22.0 million.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FSS United States Segment</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FSS United States reportable segment consists of five sectors which have similar economic characteristics and comprise a single operating segment. The five sectors of the FSS United States reportable segment are Business &amp; Industry, Education, Healthcare, Sports, Leisure &amp; Corrections and Facilities &amp; Other.</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for each of these sectors is summarized as follows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60" w:type="dxa"/>
            <w:vAlign w:val="bottom"/>
            <w:gridSpan w:val="4"/>
          </w:tcPr>
          <w:p>
            <w:pPr>
              <w:jc w:val="right"/>
              <w:ind w:right="1073"/>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00" w:type="dxa"/>
            <w:vAlign w:val="bottom"/>
          </w:tcPr>
          <w:p>
            <w:pPr>
              <w:spacing w:after="0"/>
              <w:rPr>
                <w:sz w:val="16"/>
                <w:szCs w:val="16"/>
                <w:color w:val="auto"/>
              </w:rPr>
            </w:pPr>
          </w:p>
        </w:tc>
        <w:tc>
          <w:tcPr>
            <w:tcW w:w="1820" w:type="dxa"/>
            <w:vAlign w:val="bottom"/>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5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920" w:type="dxa"/>
            <w:vAlign w:val="bottom"/>
            <w:gridSpan w:val="2"/>
          </w:tcPr>
          <w:p>
            <w:pPr>
              <w:spacing w:after="0"/>
              <w:rPr>
                <w:sz w:val="2"/>
                <w:szCs w:val="2"/>
                <w:color w:val="auto"/>
              </w:rPr>
            </w:pPr>
          </w:p>
        </w:tc>
      </w:tr>
      <w:tr>
        <w:trPr>
          <w:trHeight w:val="190"/>
        </w:trPr>
        <w:tc>
          <w:tcPr>
            <w:tcW w:w="58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October 1, 2021</w:t>
            </w:r>
          </w:p>
        </w:tc>
        <w:tc>
          <w:tcPr>
            <w:tcW w:w="100" w:type="dxa"/>
            <w:vAlign w:val="bottom"/>
          </w:tcPr>
          <w:p>
            <w:pPr>
              <w:spacing w:after="0"/>
              <w:rPr>
                <w:sz w:val="16"/>
                <w:szCs w:val="16"/>
                <w:color w:val="auto"/>
              </w:rPr>
            </w:pPr>
          </w:p>
        </w:tc>
        <w:tc>
          <w:tcPr>
            <w:tcW w:w="1820" w:type="dxa"/>
            <w:vAlign w:val="bottom"/>
            <w:tcBorders>
              <w:top w:val="single" w:sz="8" w:color="auto"/>
            </w:tcBorders>
          </w:tcPr>
          <w:p>
            <w:pPr>
              <w:jc w:val="right"/>
              <w:ind w:right="76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5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&amp; Industry</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1,081.2</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695.7</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55.4 %</w:t>
            </w: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Education</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2,124.4</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48.8 %</w:t>
            </w: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Healthcare</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891.2</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38.7 %</w:t>
            </w:r>
          </w:p>
        </w:tc>
      </w:tr>
      <w:tr>
        <w:trPr>
          <w:trHeight w:val="23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Sports, Leisure &amp; Corrections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1,511.3</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80.1 %</w:t>
            </w: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Facilities &amp; Other</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1,586.7</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15.4 %</w:t>
            </w:r>
          </w:p>
        </w:tc>
      </w:tr>
      <w:tr>
        <w:trPr>
          <w:trHeight w:val="223"/>
        </w:trPr>
        <w:tc>
          <w:tcPr>
            <w:tcW w:w="58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10,030.8</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6,809.3</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47.3 %</w:t>
            </w:r>
          </w:p>
        </w:tc>
      </w:tr>
      <w:tr>
        <w:trPr>
          <w:trHeight w:val="20"/>
        </w:trPr>
        <w:tc>
          <w:tcPr>
            <w:tcW w:w="5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15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Healthcare sector had high-single digit operating income margins, consistent with prior year. The Facilities &amp; Other sector had high-single digit operating income margins, compared to mid-single digit operating income margins in the prior year. The Education and Sports, Leisure &amp; Corrections sectors had mid-single digit operating income margins, consistent with prior year. The Business &amp; Industry sector had negative low-single digit operating income margins, compared to negative mid-single digit operating income margins in the prior year. As described above, during the COVID-19 pandemic, and in following periods, operating income margins in the FSS United States sectors may differ from our otherwise historical patterns, particularly in the Business &amp; Industry sector.</w:t>
      </w:r>
    </w:p>
    <w:p>
      <w:pPr>
        <w:spacing w:after="0" w:line="66"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FSS United States segment revenue increased by approximately 47.3% during fiscal 2022 compared to the prior year period. The increase was primarily attributable to base business growth, including from operations re-opening across all sectors after COVID-19 restrictions lifted, net new business growth and pricing pass-throughs. The Sports, Leisure &amp; Corrections sector increased due to the acquisition of Union Supply, which contributed $82.5 million of revenue during fiscal 2022, and higher per capita customer spending in stadiums and arenas. In addition, the Next Level acquisition, that occurred in third quarter of fiscal 2021, contributed $277.3 million more of revenue during fiscal 2022 compared to fiscal 2021 to our Healthcare sector.</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income increased by $317.2 million during fiscal 2022 compared to the prior year period. The increase during fiscal 2022 was attributable to:</w:t>
      </w:r>
    </w:p>
    <w:p>
      <w:pPr>
        <w:spacing w:after="0" w:line="90" w:lineRule="exact"/>
        <w:rPr>
          <w:sz w:val="20"/>
          <w:szCs w:val="20"/>
          <w:color w:val="auto"/>
        </w:rPr>
      </w:pPr>
    </w:p>
    <w:p>
      <w:pPr>
        <w:ind w:left="660" w:right="50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base business, including from clients re-opening after COVID-19 restrictions lifted, effective cost management and higher vendor discounts from stabilizing supply chain disruptions with our suppliers;</w:t>
      </w:r>
    </w:p>
    <w:p>
      <w:pPr>
        <w:spacing w:after="0" w:line="40"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income related to the reduction of the contingent consideration liability related to the earn-out of the Next Level acquisition ($20.7 million);</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insurance expenses, mainly related to our medical program ($25.0 million);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personnel costs from incentive expenses related to the annual bonus.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increases in operating income during fiscal 2022 more than offset the following:</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inflationary costs in food and labor;</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expenses incurred related to new business when compared to the prior year period;</w:t>
      </w:r>
    </w:p>
    <w:p>
      <w:pPr>
        <w:spacing w:after="0" w:line="103" w:lineRule="exact"/>
        <w:rPr>
          <w:rFonts w:ascii="Times New Roman" w:cs="Times New Roman" w:eastAsia="Times New Roman" w:hAnsi="Times New Roman"/>
          <w:sz w:val="18"/>
          <w:szCs w:val="18"/>
          <w:color w:val="auto"/>
        </w:rPr>
      </w:pPr>
    </w:p>
    <w:p>
      <w:pPr>
        <w:ind w:left="660" w:right="84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income related to favorable loss experience in older insurance years under our general liability, automotive liability and workers' compensation liability program when compared to fiscal 2021 ($16.2 million); and</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severance between years ($6.2 million).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FSS International Segment</w:t>
      </w:r>
    </w:p>
    <w:p>
      <w:pPr>
        <w:spacing w:after="0" w:line="10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FSS International segment revenue increased by approximately 27.6% during fiscal 2022 compared to the prior year period. The increase was primarily attributable to base business growth, including from operations re-opening after COVID-19 restrictions lifted, net new business growth and pricing pass-throughs. The growth in revenue was partially offset by the negative impact of foreign currency translation (10.6%).</w:t>
      </w:r>
    </w:p>
    <w:p>
      <w:pPr>
        <w:spacing w:after="0" w:line="54" w:lineRule="exact"/>
        <w:rPr>
          <w:sz w:val="20"/>
          <w:szCs w:val="20"/>
          <w:color w:val="auto"/>
        </w:rPr>
      </w:pPr>
    </w:p>
    <w:p>
      <w:pPr>
        <w:jc w:val="both"/>
        <w:ind w:right="100"/>
        <w:spacing w:after="0" w:line="312" w:lineRule="auto"/>
        <w:rPr>
          <w:sz w:val="20"/>
          <w:szCs w:val="20"/>
          <w:color w:val="auto"/>
        </w:rPr>
      </w:pPr>
      <w:r>
        <w:rPr>
          <w:rFonts w:ascii="Times New Roman" w:cs="Times New Roman" w:eastAsia="Times New Roman" w:hAnsi="Times New Roman"/>
          <w:sz w:val="17"/>
          <w:szCs w:val="17"/>
          <w:color w:val="auto"/>
        </w:rPr>
        <w:t>Operating income increased by $54.3 million during fiscal 2022 compared to the prior year period. The increase was mainly attributable to growth in base business, including from clients re-opening after COVID-19 restrictions lifted, and the favorable impact related to a client contract dispute ($9.6 million).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increases in operating income during fiscal 2022 more than offset the following:</w:t>
      </w:r>
    </w:p>
    <w:p>
      <w:pPr>
        <w:spacing w:after="0" w:line="104" w:lineRule="exact"/>
        <w:rPr>
          <w:sz w:val="20"/>
          <w:szCs w:val="20"/>
          <w:color w:val="auto"/>
        </w:rPr>
      </w:pPr>
    </w:p>
    <w:p>
      <w:pPr>
        <w:ind w:left="660" w:right="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labor related tax credits provided from governmental assistance programs when compared to the prior year period (see Note 1 to the audited consolidated financial statements);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inflationary costs in food and labor;</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severance between years ($28.5 million);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negative impact of foreign currency translation (approximately $6.6 million).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Uniform Segment</w:t>
      </w:r>
    </w:p>
    <w:p>
      <w:pPr>
        <w:spacing w:after="0" w:line="9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Uniform segment revenue increased by approximately 9.0% during fiscal 2022 compared to the prior year period. The increase was primarily attributable to base business growth within our uniform rental business, including from clients re-opening after COVID-19 restrictions lifted, net increases in new business and improved pricing.</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Operating income increased by $97.3 million during fiscal 2022 compared to the prior year period. The increase was attributable to increased base business growth within the uniform rental business, including from client re-openings after COVID-19 restrictions lifted, net new business, improved pricing, lower rental merchandise in-service expense and lower costs as a result of the fiscal 2021 reduction in headcount. The increase in operating income was also attributable to:</w:t>
      </w:r>
    </w:p>
    <w:p>
      <w:pPr>
        <w:spacing w:after="0" w:line="58"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personnel costs from incentive expenses related to the annual bonus;</w:t>
      </w:r>
    </w:p>
    <w:p>
      <w:pPr>
        <w:spacing w:after="0" w:line="103" w:lineRule="exact"/>
        <w:rPr>
          <w:rFonts w:ascii="Times New Roman" w:cs="Times New Roman" w:eastAsia="Times New Roman" w:hAnsi="Times New Roman"/>
          <w:sz w:val="18"/>
          <w:szCs w:val="18"/>
          <w:color w:val="auto"/>
        </w:rPr>
      </w:pPr>
    </w:p>
    <w:p>
      <w:pPr>
        <w:ind w:left="660" w:right="200" w:hanging="328"/>
        <w:spacing w:after="0" w:line="271" w:lineRule="auto"/>
        <w:tabs>
          <w:tab w:leader="none" w:pos="648" w:val="left"/>
        </w:tabs>
        <w:numPr>
          <w:ilvl w:val="0"/>
          <w:numId w:val="19"/>
        </w:numPr>
        <w:rPr>
          <w:rFonts w:ascii="Times New Roman" w:cs="Times New Roman" w:eastAsia="Times New Roman" w:hAnsi="Times New Roman"/>
          <w:sz w:val="20"/>
          <w:szCs w:val="20"/>
          <w:b w:val="1"/>
          <w:bCs w:val="1"/>
          <w:i w:val="1"/>
          <w:iCs w:val="1"/>
          <w:color w:val="212529"/>
        </w:rPr>
      </w:pPr>
      <w:r>
        <w:rPr>
          <w:rFonts w:ascii="Times New Roman" w:cs="Times New Roman" w:eastAsia="Times New Roman" w:hAnsi="Times New Roman"/>
          <w:sz w:val="18"/>
          <w:szCs w:val="18"/>
          <w:color w:val="auto"/>
        </w:rPr>
        <w:t>prior year integration charges related to the AmeriPride acquisition that occurred in fiscal 2018 (see Note 2 to the audited consolidated financial statements); and</w:t>
      </w:r>
    </w:p>
    <w:p>
      <w:pPr>
        <w:spacing w:after="0" w:line="46" w:lineRule="exact"/>
        <w:rPr>
          <w:rFonts w:ascii="Times New Roman" w:cs="Times New Roman" w:eastAsia="Times New Roman" w:hAnsi="Times New Roman"/>
          <w:sz w:val="20"/>
          <w:szCs w:val="20"/>
          <w:b w:val="1"/>
          <w:bCs w:val="1"/>
          <w:i w:val="1"/>
          <w:iCs w:val="1"/>
          <w:color w:val="212529"/>
        </w:rPr>
      </w:pPr>
    </w:p>
    <w:p>
      <w:pPr>
        <w:ind w:left="640" w:hanging="308"/>
        <w:spacing w:after="0"/>
        <w:tabs>
          <w:tab w:leader="none" w:pos="640" w:val="left"/>
        </w:tabs>
        <w:numPr>
          <w:ilvl w:val="0"/>
          <w:numId w:val="19"/>
        </w:numPr>
        <w:rPr>
          <w:rFonts w:ascii="Times New Roman" w:cs="Times New Roman" w:eastAsia="Times New Roman" w:hAnsi="Times New Roman"/>
          <w:sz w:val="20"/>
          <w:szCs w:val="20"/>
          <w:b w:val="1"/>
          <w:bCs w:val="1"/>
          <w:i w:val="1"/>
          <w:iCs w:val="1"/>
          <w:color w:val="212529"/>
        </w:rPr>
      </w:pPr>
      <w:r>
        <w:rPr>
          <w:rFonts w:ascii="Times New Roman" w:cs="Times New Roman" w:eastAsia="Times New Roman" w:hAnsi="Times New Roman"/>
          <w:sz w:val="18"/>
          <w:szCs w:val="18"/>
          <w:color w:val="auto"/>
        </w:rPr>
        <w:t>favorable severance between years ($8.0 million).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increases in operating income during fiscal 2022 more than offset the following:</w:t>
      </w:r>
    </w:p>
    <w:p>
      <w:pPr>
        <w:spacing w:after="0" w:line="90" w:lineRule="exact"/>
        <w:rPr>
          <w:sz w:val="20"/>
          <w:szCs w:val="20"/>
          <w:color w:val="auto"/>
        </w:rPr>
      </w:pPr>
    </w:p>
    <w:p>
      <w:pPr>
        <w:ind w:left="660" w:right="3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labor related tax credits provided by government assistance programs in response to COVID-19 (see Note 1 to the audited consolidated financial statements);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inflationary costs in labor;</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insurance expenses when compared to the prior year period ($7.0 million);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expenses related to our intention to spin-off the Uniform segment ($4.1 million).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Corporate expenses, those administrative expenses not allocated to the business segments, increased by $31.8 million during fiscal 2022 compared to the prior year period. The increase was attributable to:</w:t>
      </w:r>
    </w:p>
    <w:p>
      <w:pPr>
        <w:spacing w:after="0" w:line="27"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share-based compensation expense (see Note 12 to the audited consolidated financial statements);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unfavorable change in fair value of certain gasoline and diesel agreements ($12.2 million);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and legal fees related to our intention to spin-off the Uniform segment ($5.2 million).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increases in corporate expenses during fiscal 2022 more than offset lower personnel costs from incentive expenses related to the annual bonus.</w:t>
      </w:r>
    </w:p>
    <w:p>
      <w:pPr>
        <w:sectPr>
          <w:pgSz w:w="11900" w:h="16838" w:orient="portrait"/>
          <w:cols w:equalWidth="0" w:num="1">
            <w:col w:w="11200"/>
          </w:cols>
          <w:pgMar w:left="320" w:top="175" w:right="379" w:bottom="1440" w:gutter="0" w:footer="0" w:header="0"/>
        </w:sectPr>
      </w:pP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08"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Our principal sources of liquidity are cash generated from operating activities, funds from borrowings, investments in marketable securities and existing cash on hand. As of September 30, 2022, we had $329.5 million of cash and cash equivalents, $1,105.6 million of availability under our senior secured revolving credit facility and $395.1 million of availability under the Receivables Facility. A significant portion of our cash and cash equivalents are held in mature, liquid geographies where we have operations. As of September 30, 2022, there were $748.5 million of outstanding foreign currency borrowings.</w:t>
      </w:r>
    </w:p>
    <w:p>
      <w:pPr>
        <w:spacing w:after="0" w:line="4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believe that our cash and cash equivalents, marketable securities and availability under our revolving credit facility and Receivables Facility will be adequate to meet anticipated cash requirements for the foreseeable future to fund working capital, capital spending, debt service obligations, refinancings, dividends and other cash needs. We have no significant debt maturities due until 2025. We also have flexibility to optimize working capital and defer certain capital expenditures as appropriate without a material impact to the business. We believe that our assumptions used to estimate our liquidity and working capital requirements are reasonable. For additional information regarding the risks associated with our liquidity and capital resources, see Part I, Item 1A, "Risk Factors."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cash activity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40" w:type="dxa"/>
            <w:vAlign w:val="bottom"/>
            <w:gridSpan w:val="4"/>
          </w:tcPr>
          <w:p>
            <w:pPr>
              <w:jc w:val="right"/>
              <w:ind w:right="1115"/>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23"/>
        </w:trPr>
        <w:tc>
          <w:tcPr>
            <w:tcW w:w="7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0"/>
        </w:trPr>
        <w:tc>
          <w:tcPr>
            <w:tcW w:w="7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40" w:type="dxa"/>
            <w:vAlign w:val="bottom"/>
          </w:tcPr>
          <w:p>
            <w:pPr>
              <w:spacing w:after="0"/>
              <w:rPr>
                <w:sz w:val="16"/>
                <w:szCs w:val="16"/>
                <w:color w:val="auto"/>
              </w:rPr>
            </w:pPr>
          </w:p>
        </w:tc>
        <w:tc>
          <w:tcPr>
            <w:tcW w:w="14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October 1, 2021</w:t>
            </w:r>
          </w:p>
        </w:tc>
      </w:tr>
      <w:tr>
        <w:trPr>
          <w:trHeight w:val="229"/>
        </w:trPr>
        <w:tc>
          <w:tcPr>
            <w:tcW w:w="7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657.1</w:t>
            </w: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(634.4)</w:t>
            </w: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(2,005.3)</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to the audited Consolidated Statements of Cash Flows will facilitate understanding of the discussion that follows.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Operating Activities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Cash provided by operating activities increased by $37.4 million during fiscal 2022 compared to fiscal 2021. The change was driven by net income in fiscal 2022 of $194.2 million compared to a net loss in fiscal 2021 of $92.2 million, as discussed in "Results of Operations" above, and favorable non-cash adjustments to net income (loss) between fiscal years of $141.0 million. The change in net income (loss) and non-cash adjustments to net income (loss) was partially offset by the change in cash from operating assets and liabilities of $426.2 million, which was due to the recovery of our businesses after COVID-19 restrictions lifted. The change in operating assets and liabilities compared to the prior year period was primarily due to:</w:t>
      </w:r>
    </w:p>
    <w:p>
      <w:pPr>
        <w:spacing w:after="0" w:line="48" w:lineRule="exact"/>
        <w:rPr>
          <w:sz w:val="20"/>
          <w:szCs w:val="20"/>
          <w:color w:val="auto"/>
        </w:rPr>
      </w:pPr>
    </w:p>
    <w:p>
      <w:pPr>
        <w:ind w:left="660" w:right="60" w:hanging="328"/>
        <w:spacing w:after="0" w:line="258"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expenses by $253.6 million, generating a lower source of cash during fiscal 2022 compared to fiscal 2021 primarily due to the following: higher payments related to the annual bonus; payment of social security taxes in the current year whereas payment was previously deferred in the prior year as permitted under the CARES Act (see Note 1 to the audited consolidated financial statements); impact of client advances within our Higher Education business from operations returning; and higher commission payments in our Sports business in the current year compared to the prior year from the return of operations;</w:t>
      </w:r>
    </w:p>
    <w:p>
      <w:pPr>
        <w:spacing w:after="0" w:line="6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by $172.5 million, generating a greater use of cash during fiscal 2022 compared to fiscal 2021 as operations returned following the lifting of COVID-19 restrictions, new business and timing of collections;</w:t>
      </w:r>
    </w:p>
    <w:p>
      <w:pPr>
        <w:spacing w:after="0" w:line="40" w:lineRule="exact"/>
        <w:rPr>
          <w:rFonts w:ascii="Times New Roman" w:cs="Times New Roman" w:eastAsia="Times New Roman" w:hAnsi="Times New Roman"/>
          <w:sz w:val="18"/>
          <w:szCs w:val="18"/>
          <w:color w:val="auto"/>
        </w:rPr>
      </w:pPr>
    </w:p>
    <w:p>
      <w:pPr>
        <w:ind w:left="660" w:right="200" w:hanging="328"/>
        <w:spacing w:after="0" w:line="312" w:lineRule="auto"/>
        <w:tabs>
          <w:tab w:leader="none" w:pos="65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Prepayment and Other Current Assets by $105.7 million, generating a use of cash during fiscal 2022 compared to a source of cash in fiscal 2021 mainly from proceeds received in the second quarter of fiscal 2021 related to the fiscal 2020 federal income tax return ($93.6 million); and</w:t>
      </w:r>
    </w:p>
    <w:p>
      <w:pPr>
        <w:spacing w:after="0" w:line="4" w:lineRule="exact"/>
        <w:rPr>
          <w:rFonts w:ascii="Times New Roman" w:cs="Times New Roman" w:eastAsia="Times New Roman" w:hAnsi="Times New Roman"/>
          <w:sz w:val="17"/>
          <w:szCs w:val="17"/>
          <w:color w:val="auto"/>
        </w:rPr>
      </w:pPr>
    </w:p>
    <w:p>
      <w:pPr>
        <w:ind w:left="660" w:right="34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by $64.0 million, generating a greater use of cash during fiscal 2022 compared to fiscal 2021 primarily due to operations returning after COVID-19 restrictions lifted, the impact of inflation and increased purchasing from new business.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changes in operating assets and liabilities more than offset:</w:t>
      </w:r>
    </w:p>
    <w:p>
      <w:pPr>
        <w:spacing w:after="0" w:line="104" w:lineRule="exact"/>
        <w:rPr>
          <w:sz w:val="20"/>
          <w:szCs w:val="20"/>
          <w:color w:val="auto"/>
        </w:rPr>
      </w:pPr>
    </w:p>
    <w:p>
      <w:pPr>
        <w:ind w:left="660" w:right="6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by $169.6 million, generating a greater source of cash during fiscal 2022 compared to fiscal 2021 as operations returned following the lifting of COVID-19 restrictions, new business and timing of disbursements.</w:t>
      </w:r>
    </w:p>
    <w:p>
      <w:pPr>
        <w:spacing w:after="0" w:line="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Fiscal 2022 and fiscal 2021 include $57.7 million and $159.1 million, respectively, of proceeds associated with labor related tax credits from many foreign jurisdictions in which we operate as a form of relief from COVID-19 (see Note 1 to the audited consolidated financial statements). During fiscal 2022 and fiscal 2021, we received proceeds of $1.9 million and $17.0 million, respectively, related to favorable loss experience in older insurance years under our general liability, automobile liability and</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workers' compensation programs. "Payments made to clients on contracts" generated a lower use of cash during fiscal 2022 compared to fiscal 2021 primarily due to timing. The "Changes in other assets" caption was driven by an increase to in-service rental merchandise from operations returning after COVID-19 restrictions lifted, which more than offset higher cash distributions received from our 50% ownership interest in AIM Services Co., Ltd. in fiscal 2022 compared to fiscal 2021. The "Other operating activities" caption reflects mainly adjustments to net income (loss) in the current year and prior year periods related to certain non-cash gains and losses and adjustments to non-operating cash gains and losses.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net cash flows used in investing activities were higher during fiscal 2022 compared to fiscal 2021 due to a higher level of acquisitions of certain businesses, new equity method investments and purchases of marketable securities in fiscal 2022. During fiscal 2022, we acquired Union Supply for $199.6 million (see Note 2 to the audited consolidated financial statements) and made other acquisitions ($140.4 million). During fiscal 2021, we acquired Next Level for $226.1 million (see Note 2 to the audited consolidated financial statements) and made other acquisitions ($39.7 million). The "Other investing activities" caption includes $19.0 million and $10.0 million of proceeds received during fiscal 2022 and 2021, respectively, relating to the recovery of our investment (possessory interest) at one of the National Park Service sites within our Sports, Leisure &amp; Corrections sector.</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Financing Activities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2022, cash used in financing activities was impacted by the following:</w:t>
      </w:r>
    </w:p>
    <w:p>
      <w:pPr>
        <w:spacing w:after="0" w:line="104"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payment of dividends ($113.1 million);</w:t>
      </w:r>
    </w:p>
    <w:p>
      <w:pPr>
        <w:spacing w:after="0" w:line="103"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 under the Receivables Facility ($104.9 million); and</w:t>
      </w:r>
    </w:p>
    <w:p>
      <w:pPr>
        <w:spacing w:after="0" w:line="90" w:lineRule="exact"/>
        <w:rPr>
          <w:rFonts w:ascii="Times New Roman" w:cs="Times New Roman" w:eastAsia="Times New Roman" w:hAnsi="Times New Roman"/>
          <w:sz w:val="18"/>
          <w:szCs w:val="18"/>
          <w:color w:val="auto"/>
        </w:rPr>
      </w:pPr>
    </w:p>
    <w:p>
      <w:pPr>
        <w:ind w:right="4540" w:firstLine="332"/>
        <w:spacing w:after="0" w:line="360" w:lineRule="auto"/>
        <w:tabs>
          <w:tab w:leader="none" w:pos="64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repayment of 5.000% 2025 Senior Notes and foreign term loans ($66.7 million). During fiscal 2021, cash used in financing activities was impacted by the following:</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repayment of borrowings under the United States revolving credit facility ($780.0 million);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the aggregate principal amount of the 2026 Notes ($500.0 million);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repayments under the Receivables Facility ($315.6 million);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repayments of term loan borrowings ($244.2 million);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dividends ($112.0 million); and</w:t>
      </w:r>
    </w:p>
    <w:p>
      <w:pPr>
        <w:spacing w:after="0" w:line="103"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fees and expenses related to refinancing activities, which is included in "Other financing activities," including debt issuance costs ($17.5 million) and the call premium ($11.9 million) from the repayment of the 2026 Notes.</w:t>
      </w:r>
    </w:p>
    <w:p>
      <w:pPr>
        <w:spacing w:after="0" w:line="40"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"Other financing activities" caption also reflects a use of cash during fiscal 2022 and fiscal 2021, primarily related to taxes paid by us when we withhold shares upon an employee's exercise or vesting of equity awards to cover income taxes.</w:t>
      </w:r>
    </w:p>
    <w:p>
      <w:pPr>
        <w:spacing w:after="0" w:line="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intend to continue to pay cash dividends on our common stock, subject to our compliance with applicable law, and depending on, among other things, our results of operations, financial condition, level of indebtedness, capital requirements, contractual restrictions, restrictions in our debt agreements, business prospects and other factors that our Board of Directors may deem relevant. However, the payment of any future dividends will be at the discretion of our Board of Directors and our Board of Directors may, at any time, determine not to continue to declare quarterly dividends.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 Compliance</w:t>
      </w:r>
    </w:p>
    <w:p>
      <w:pPr>
        <w:spacing w:after="0" w:line="9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Credit Agreement contains a number of covenants that, among other things, restrict, subject to certain exceptions, our ability and the ability of our subsidiaries to: incur additional indebtedness; issue preferred stock or provide guarantees; create liens on assets; engage in mergers or consolidations; sell assets; pay dividends, make distributions or repurchase our capital stock; make investments, loans or advances; repay or repurchase any subordinated debt, except as scheduled or at maturity; create restrictions on the payment of dividends or other amounts to us from our restricted subsidiaries; make certain acquisitions; engage in certain transactions with affiliates; amend material agreements governing our subordinated debt (or any indebtedness that refinances our subordinated debt); and fundamentally change our business. The indentures governing our senior notes contain similar provisions. As of September 30, 2022, we were in compliance with these covenants.</w:t>
      </w:r>
    </w:p>
    <w:p>
      <w:pPr>
        <w:spacing w:after="0" w:line="67"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As stated above, the Credit Agreement and the indentures governing our senior notes contain provisions that restrict our ability to pay dividends and repurchase stock (collectively, "Restricted Payments"). In addition to customary exceptions, the Credit Agreement and indentures permit Restricted Payments in the aggregate up to an amount that increases quarterly by 50% of our</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Net Income, as such term is defined in these debt agreements, subject to being in compliance with the interest coverage ratio described below.</w:t>
      </w:r>
    </w:p>
    <w:p>
      <w:pPr>
        <w:spacing w:after="0" w:line="9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Under the Credit Agreement, we are required to satisfy and maintain specified financial ratios and other financial condition tests and covenants. The indentures governing our senior notes also require us to comply with certain financial ratios in order to take certain actions. Our continued ability to meet those financial ratios, tests and covenants can be affected by events beyond our control, and there can be no assurance that we will meet those ratios, tests and covenants.</w:t>
      </w:r>
    </w:p>
    <w:p>
      <w:pPr>
        <w:spacing w:after="0" w:line="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financial ratios, tests and covenants involve the calculation of certain measures that we refer to in this discussion as "Covenant Adjusted EBITDA." Covenant Adjusted EBITDA is not a measurement of financial performance under U.S. GAAP. Covenant Adjusted EBITDA is defined as net income (loss) of Aramark Services, Inc. ("ASI") and its restricted subsidiaries plus interest and other financing costs, net, provision (benefit) for income taxes, and depreciation and amortization, further adjusted to give effect to adjustments required in calculating covenant ratios and compliance under our Credit Agreement and the indentures governing our senior notes.</w:t>
      </w:r>
    </w:p>
    <w:p>
      <w:pPr>
        <w:spacing w:after="0" w:line="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presentation of these measures has limitations as an analytical tool, and should not be considered in isolation or as a substitute for analysis of our results as reported under U.S. GAAP. You should not consider these measures as alternatives to net income or operating income determined in accordance with U.S. GAAP. Covenant Adjusted EBITDA, as presented by us, may not be comparable to other similarly titled measures of other companies because not all companies use identical calculations.</w:t>
      </w:r>
    </w:p>
    <w:p>
      <w:pPr>
        <w:spacing w:after="0" w:line="4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following is a reconciliation of Net income (loss) attributable to ASI stockholder, which is a U.S. GAAP measure of ASI''s operating results, to Covenant Adjusted EBITDA as defined in our debt agreements. The terms and related calculations are defined in the Credit Agreement and the indentures governing our senior notes. Covenant Adjusted EBITDA is a measure of ASI and its restricted subsidiaries only and does not include the results of Aramark.</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4"/>
          </w:tcPr>
          <w:p>
            <w:pPr>
              <w:jc w:val="right"/>
              <w:ind w:right="1052"/>
              <w:spacing w:after="0"/>
              <w:rPr>
                <w:sz w:val="20"/>
                <w:szCs w:val="20"/>
                <w:color w:val="auto"/>
              </w:rPr>
            </w:pPr>
            <w:r>
              <w:rPr>
                <w:rFonts w:ascii="Times New Roman" w:cs="Times New Roman" w:eastAsia="Times New Roman" w:hAnsi="Times New Roman"/>
                <w:sz w:val="13"/>
                <w:szCs w:val="13"/>
                <w:b w:val="1"/>
                <w:bCs w:val="1"/>
                <w:color w:val="auto"/>
              </w:rPr>
              <w:t>Twelve Months Ended</w:t>
            </w:r>
          </w:p>
        </w:tc>
      </w:tr>
      <w:tr>
        <w:trPr>
          <w:trHeight w:val="183"/>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5"/>
                <w:szCs w:val="15"/>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September 30, 2022</w:t>
            </w:r>
          </w:p>
        </w:tc>
        <w:tc>
          <w:tcPr>
            <w:tcW w:w="260" w:type="dxa"/>
            <w:vAlign w:val="bottom"/>
          </w:tcPr>
          <w:p>
            <w:pPr>
              <w:spacing w:after="0"/>
              <w:rPr>
                <w:sz w:val="15"/>
                <w:szCs w:val="15"/>
                <w:color w:val="auto"/>
              </w:rPr>
            </w:pPr>
          </w:p>
        </w:tc>
        <w:tc>
          <w:tcPr>
            <w:tcW w:w="1440" w:type="dxa"/>
            <w:vAlign w:val="bottom"/>
          </w:tcPr>
          <w:p>
            <w:pPr>
              <w:jc w:val="right"/>
              <w:ind w:right="332"/>
              <w:spacing w:after="0"/>
              <w:rPr>
                <w:sz w:val="20"/>
                <w:szCs w:val="20"/>
                <w:color w:val="auto"/>
              </w:rPr>
            </w:pPr>
            <w:r>
              <w:rPr>
                <w:rFonts w:ascii="Times New Roman" w:cs="Times New Roman" w:eastAsia="Times New Roman" w:hAnsi="Times New Roman"/>
                <w:sz w:val="13"/>
                <w:szCs w:val="13"/>
                <w:b w:val="1"/>
                <w:bCs w:val="1"/>
                <w:color w:val="auto"/>
              </w:rPr>
              <w:t>October 1, 2021</w:t>
            </w:r>
          </w:p>
        </w:tc>
      </w:tr>
      <w:tr>
        <w:trPr>
          <w:trHeight w:val="230"/>
        </w:trPr>
        <w:tc>
          <w:tcPr>
            <w:tcW w:w="7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ASI stockholders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financing costs, net</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w:t>
            </w: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550.7</w:t>
            </w:r>
          </w:p>
        </w:tc>
      </w:tr>
      <w:tr>
        <w:trPr>
          <w:trHeight w:val="243"/>
        </w:trPr>
        <w:tc>
          <w:tcPr>
            <w:tcW w:w="774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Share-based compensation expense</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r>
      <w:tr>
        <w:trPr>
          <w:trHeight w:val="229"/>
        </w:trPr>
        <w:tc>
          <w:tcPr>
            <w:tcW w:w="7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Unusual or non-recurring (gains) and losses</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r>
      <w:tr>
        <w:trPr>
          <w:trHeight w:val="230"/>
        </w:trPr>
        <w:tc>
          <w:tcPr>
            <w:tcW w:w="7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Pro forma EBITDA for equity method investees</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0"/>
        </w:trPr>
        <w:tc>
          <w:tcPr>
            <w:tcW w:w="7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Pro forma EBITDA for certain transactions</w:t>
            </w:r>
            <w:r>
              <w:rPr>
                <w:rFonts w:ascii="Times New Roman" w:cs="Times New Roman" w:eastAsia="Times New Roman" w:hAnsi="Times New Roman"/>
                <w:sz w:val="23"/>
                <w:szCs w:val="23"/>
                <w:color w:val="auto"/>
                <w:vertAlign w:val="superscript"/>
              </w:rPr>
              <w:t>(4)</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30"/>
        </w:trPr>
        <w:tc>
          <w:tcPr>
            <w:tcW w:w="7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26"/>
                <w:szCs w:val="26"/>
                <w:color w:val="auto"/>
                <w:vertAlign w:val="subscript"/>
              </w:rPr>
              <w:t>Other</w:t>
            </w:r>
            <w:r>
              <w:rPr>
                <w:rFonts w:ascii="Times New Roman" w:cs="Times New Roman" w:eastAsia="Times New Roman" w:hAnsi="Times New Roman"/>
                <w:sz w:val="10"/>
                <w:szCs w:val="10"/>
                <w:color w:val="auto"/>
              </w:rPr>
              <w:t>(5)(6)</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Covenant Adjusted EBITDA</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938.6</w:t>
            </w:r>
          </w:p>
        </w:tc>
      </w:tr>
      <w:tr>
        <w:trPr>
          <w:trHeight w:val="20"/>
        </w:trPr>
        <w:tc>
          <w:tcPr>
            <w:tcW w:w="7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500" w:right="20" w:hanging="492"/>
        <w:spacing w:after="0" w:line="282" w:lineRule="auto"/>
        <w:tabs>
          <w:tab w:leader="none" w:pos="40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share-based compensation expense resulting from the application of accounting for stock options, restricted stock units, performance stock units, deferred stock units awards and employee stock purchases (see Note 12 to the audited consolidated financial statements).</w:t>
      </w:r>
    </w:p>
    <w:p>
      <w:pPr>
        <w:spacing w:after="0" w:line="40" w:lineRule="exact"/>
        <w:rPr>
          <w:rFonts w:ascii="Times New Roman" w:cs="Times New Roman" w:eastAsia="Times New Roman" w:hAnsi="Times New Roman"/>
          <w:sz w:val="18"/>
          <w:szCs w:val="18"/>
          <w:color w:val="auto"/>
        </w:rPr>
      </w:pPr>
    </w:p>
    <w:p>
      <w:pPr>
        <w:ind w:left="500" w:right="80" w:hanging="492"/>
        <w:spacing w:after="0" w:line="282" w:lineRule="auto"/>
        <w:tabs>
          <w:tab w:leader="none" w:pos="40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fiscal 2021 non-cash gain from an observable price change on an equity investment ($137.9 million) and the fiscal 2021 non-cash loss from the termination of certain defined benefit pension plans ($60.9 million).</w:t>
      </w:r>
    </w:p>
    <w:p>
      <w:pPr>
        <w:spacing w:after="0" w:line="40" w:lineRule="exact"/>
        <w:rPr>
          <w:rFonts w:ascii="Times New Roman" w:cs="Times New Roman" w:eastAsia="Times New Roman" w:hAnsi="Times New Roman"/>
          <w:sz w:val="18"/>
          <w:szCs w:val="18"/>
          <w:color w:val="auto"/>
        </w:rPr>
      </w:pPr>
    </w:p>
    <w:p>
      <w:pPr>
        <w:ind w:left="500" w:right="280" w:hanging="492"/>
        <w:spacing w:after="0" w:line="266" w:lineRule="auto"/>
        <w:tabs>
          <w:tab w:leader="none" w:pos="40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our estimated share of EBITDA, primarily from our AIM Services Co., Ltd. equity method investment, not already reflected in our Net Income (Loss) attributable to ASI stockholders. EBITDA for this equity method investee is calculated in a manner consistent with consolidated Covenant Adjusted EBITDA but does not represent cash distributions received from this investee.</w:t>
      </w:r>
    </w:p>
    <w:p>
      <w:pPr>
        <w:spacing w:after="0" w:line="40"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annualizing of net EBITDA from acquisitions made during the period.</w:t>
      </w:r>
    </w:p>
    <w:p>
      <w:pPr>
        <w:spacing w:after="0" w:line="49" w:lineRule="exact"/>
        <w:rPr>
          <w:rFonts w:ascii="Times New Roman" w:cs="Times New Roman" w:eastAsia="Times New Roman" w:hAnsi="Times New Roman"/>
          <w:sz w:val="18"/>
          <w:szCs w:val="18"/>
          <w:color w:val="auto"/>
        </w:rPr>
      </w:pPr>
    </w:p>
    <w:p>
      <w:pPr>
        <w:ind w:left="500" w:right="20" w:hanging="492"/>
        <w:spacing w:after="0" w:line="233" w:lineRule="auto"/>
        <w:tabs>
          <w:tab w:leader="none" w:pos="40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for the twelve months ended September 30, 2022 includes adjustments to remove the impact attributable to the adoption of certain accounting standards that are made to the calculation in accordance with the Credit Agreement and indentures ($34.8 million), the reversal of a contingent consideration liability related to an acquisition earn out ($20.7 million), non-cash charges for inventory write-downs to net realizable value and fixed asset write-offs related to personal protective equipment ($20.5 million), severance charges ($19.6 million), United States and non-United States governmental labor related tax credits resulting from the COVID-19 pandemic ($17.3 million), favorable impact related to a client contract dispute ($9.6 million), charges related to the Company's intention to spin-off the Uniform segment</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00" w:right="40"/>
        <w:spacing w:after="0" w:line="232" w:lineRule="auto"/>
        <w:rPr>
          <w:sz w:val="20"/>
          <w:szCs w:val="20"/>
          <w:color w:val="auto"/>
        </w:rPr>
      </w:pPr>
      <w:r>
        <w:rPr>
          <w:rFonts w:ascii="Times New Roman" w:cs="Times New Roman" w:eastAsia="Times New Roman" w:hAnsi="Times New Roman"/>
          <w:sz w:val="18"/>
          <w:szCs w:val="18"/>
          <w:color w:val="auto"/>
        </w:rPr>
        <w:t>($9.3 million), gain from a funding agreement related to a legal matter ($6.5 million), the loss from the change in fair value related to certain gasoline and diesel agreements ($6.4 million), compensation expense related to an acquisition earn out contingent on employees staying until the performance period ends ($5.6 million), the gain from the insurance proceeds received related to property damage from a tornado in Nashville ($4.0 million), the impact of hyperinflation in Argentina ($3.5 million), due diligence charges related to acquisitions ($2.5 million) and other miscellaneous expenses.</w:t>
      </w:r>
    </w:p>
    <w:p>
      <w:pPr>
        <w:spacing w:after="0" w:line="66" w:lineRule="exact"/>
        <w:rPr>
          <w:sz w:val="20"/>
          <w:szCs w:val="20"/>
          <w:color w:val="auto"/>
        </w:rPr>
      </w:pPr>
    </w:p>
    <w:p>
      <w:pPr>
        <w:ind w:left="500" w:hanging="492"/>
        <w:spacing w:after="0" w:line="253" w:lineRule="auto"/>
        <w:tabs>
          <w:tab w:leader="none" w:pos="40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for the twelve months ended October 1, 2021 includes non-cash charges for inventory write-downs to net realizable value and for excess inventory related to personal protective equipment ($36.0 million), labor charges, incremental expenses and other expenses associated with closed or partially closed client locations resulting from the COVID-19 pandemic, net of United States and non-United States governmental labor related tax credits ($28.4 million), adjustments to remove the impact attributable to the adoption of certain accounting standards that are made to the calculation in accordance with the Credit Agreement and indentures ($25.3 million), expenses related to merger and integration related charges ($22.2 million), gain from a funding agreement related to a legal matter ($10.0 million), reversal of severance charges ($8.2 million), the gain from the change in fair value related to certain gasoline and diesel agreements ($5.9 million), a favorable settlement of a legal matter ($4.7 million), non-cash impairment charges related to various assets ($3.8 million), charges related to a client contract dispute ($2.6 million), expenses related to the impact of the ice storm in Texas ($2.5 million), a non-cash charge related to an environmental matter ($2.5 million), non-cash charges related to information technology assets ($2.2 million), the impact of hyperinflation in Argentina ($1.8 million) and other miscellaneous expenses.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covenant requirements and actual ratios for the twelve months ended September 30, 2022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Covenant</w:t>
            </w: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Actual</w:t>
            </w:r>
          </w:p>
        </w:tc>
      </w:tr>
      <w:tr>
        <w:trPr>
          <w:trHeight w:val="195"/>
        </w:trPr>
        <w:tc>
          <w:tcPr>
            <w:tcW w:w="6520" w:type="dxa"/>
            <w:vAlign w:val="bottom"/>
          </w:tcPr>
          <w:p>
            <w:pPr>
              <w:spacing w:after="0"/>
              <w:rPr>
                <w:sz w:val="16"/>
                <w:szCs w:val="16"/>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Requirements</w:t>
            </w: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Ratios</w:t>
            </w:r>
          </w:p>
        </w:tc>
      </w:tr>
      <w:tr>
        <w:trPr>
          <w:trHeight w:val="228"/>
        </w:trPr>
        <w:tc>
          <w:tcPr>
            <w:tcW w:w="6520" w:type="dxa"/>
            <w:vAlign w:val="bottom"/>
            <w:tcBorders>
              <w:top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Consolidated Secured Debt Ratio</w:t>
            </w:r>
            <w:r>
              <w:rPr>
                <w:rFonts w:ascii="Times New Roman" w:cs="Times New Roman" w:eastAsia="Times New Roman" w:hAnsi="Times New Roman"/>
                <w:sz w:val="23"/>
                <w:szCs w:val="23"/>
                <w:color w:val="auto"/>
                <w:vertAlign w:val="superscript"/>
              </w:rPr>
              <w:t>(1)</w:t>
            </w:r>
          </w:p>
        </w:tc>
        <w:tc>
          <w:tcPr>
            <w:tcW w:w="1980" w:type="dxa"/>
            <w:vAlign w:val="bottom"/>
            <w:tcBorders>
              <w:top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 5.125x</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w w:val="98"/>
              </w:rPr>
              <w:t>2.73x</w:t>
            </w:r>
          </w:p>
        </w:tc>
      </w:tr>
      <w:tr>
        <w:trPr>
          <w:trHeight w:val="312"/>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Coverage Ratio (Fixed Charge Coverage Ratio)</w:t>
            </w:r>
            <w:r>
              <w:rPr>
                <w:rFonts w:ascii="Times New Roman" w:cs="Times New Roman" w:eastAsia="Times New Roman" w:hAnsi="Times New Roman"/>
                <w:sz w:val="23"/>
                <w:szCs w:val="23"/>
                <w:color w:val="auto"/>
                <w:vertAlign w:val="superscript"/>
              </w:rPr>
              <w:t>(2)</w:t>
            </w:r>
          </w:p>
        </w:tc>
        <w:tc>
          <w:tcPr>
            <w:tcW w:w="208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 2.000x</w:t>
            </w:r>
          </w:p>
        </w:tc>
        <w:tc>
          <w:tcPr>
            <w:tcW w:w="198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8"/>
              </w:rPr>
              <w:t>3.55x</w:t>
            </w:r>
          </w:p>
        </w:tc>
      </w:tr>
    </w:tbl>
    <w:p>
      <w:pPr>
        <w:spacing w:after="0" w:line="88" w:lineRule="exact"/>
        <w:rPr>
          <w:sz w:val="20"/>
          <w:szCs w:val="20"/>
          <w:color w:val="auto"/>
        </w:rPr>
      </w:pPr>
    </w:p>
    <w:p>
      <w:pPr>
        <w:ind w:left="500" w:hanging="492"/>
        <w:spacing w:after="0" w:line="254" w:lineRule="auto"/>
        <w:tabs>
          <w:tab w:leader="none" w:pos="4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Agreement requires ASI to maintain a maximum Consolidated Secured Debt Ratio, defined as consolidated total indebtedness secured by a lien to Covenant Adjusted EBITDA, not to exceed 5.125x. Consolidated total indebtedness secured by a lien is defined in the Credit Agreement as total indebtedness consisting of debt for borrowed money, finance leases, debt in respect of sales-leaseback transactions, disqualified and preferred stock and advances under the Receivables Facility secured by a lien reduced by the amount of cash and cash equivalents on the consolidated balance sheet that is free and clear of any lien. Non-compliance with the maximum Consolidated Secured Debt Ratio could result in the requirement to immediately repay all amounts outstanding under the Credit Agreement, which, if ASI's lenders under our Credit Agreement (other than the lenders in respect of ASI's United States Term B Loans, which lenders do not benefit from the maximum Consolidated Debt Ratio covenant) failed to waive any such default, would also constitute a default under the indentures governing our senior notes.</w:t>
      </w:r>
    </w:p>
    <w:p>
      <w:pPr>
        <w:spacing w:after="0" w:line="56" w:lineRule="exact"/>
        <w:rPr>
          <w:rFonts w:ascii="Times New Roman" w:cs="Times New Roman" w:eastAsia="Times New Roman" w:hAnsi="Times New Roman"/>
          <w:sz w:val="18"/>
          <w:szCs w:val="18"/>
          <w:color w:val="auto"/>
        </w:rPr>
      </w:pPr>
    </w:p>
    <w:p>
      <w:pPr>
        <w:ind w:left="500" w:right="40" w:hanging="492"/>
        <w:spacing w:after="0" w:line="253" w:lineRule="auto"/>
        <w:tabs>
          <w:tab w:leader="none" w:pos="40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Credit Agreement establishes an incurrence-based minimum Interest Coverage Ratio, defined as Covenant Adjusted EBITDA to consolidated interest expense, the achievement of which is a condition for us to incur additional indebtedness and to make certain restricted payments and does not result in a default under the Credit Agreement or the indentures governing the senior notes. If we do not maintain this minimum Interest Coverage Ratio calculated on a pro forma basis for any such additional indebtedness or restricted payments, we could be prohibited from being able to (1) incur additional indebtedness, other than the incremental capacity provided for under the Credit Agreement and pursuant to specified exceptions, and (2) make certain restricted payments, other than pursuant to certain exceptions. However, any failure to maintain the minimum Interest Coverage Ratio would not result in a default or an event of default under either the Credit Agreement or the indentures governing the senior notes. The minimum Interest Coverage Ratio is at least 2.000x for the term of the Credit Agreement. Consolidated interest expense is defined in the Credit Agreement as consolidated interest expense excluding interest income, adjusted for acquisitions and dispositions, further adjusted for certain non-cash or nonrecurring interest expense and our estimated share of interest expense from one equity method investee. The indentures governing our senior notes include a similar requirement which is referred to as a Fixed Charge Coverage Ratio.</w:t>
      </w:r>
    </w:p>
    <w:p>
      <w:pPr>
        <w:spacing w:after="0" w:line="7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and our subsidiaries and affiliates may from time to time, in our sole discretion, purchase, repay, redeem or retire any of our outstanding debt securities (including any publicly issued debt securities), in privately negotiated or open market transactions, by tender offer or otherwise, or extend or refinance any of our outstanding indebtedness.</w:t>
      </w: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future obligations for debt repayments, finance leases, estimated interest payments, future minimum rental and similar commitments under noncancelable operating leases as well as contingent obligations related to outstanding letters of credit and guarantees as of September 30, 2022 (dollars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6"/>
          </w:tcPr>
          <w:p>
            <w:pPr>
              <w:jc w:val="center"/>
              <w:ind w:left="518"/>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Contractual Obligations as of September 30, 2022</w:t>
            </w:r>
          </w:p>
        </w:tc>
        <w:tc>
          <w:tcPr>
            <w:tcW w:w="200" w:type="dxa"/>
            <w:vAlign w:val="bottom"/>
          </w:tcPr>
          <w:p>
            <w:pPr>
              <w:spacing w:after="0"/>
              <w:rPr>
                <w:sz w:val="11"/>
                <w:szCs w:val="11"/>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00" w:type="dxa"/>
            <w:vAlign w:val="bottom"/>
          </w:tcPr>
          <w:p>
            <w:pPr>
              <w:spacing w:after="0"/>
              <w:rPr>
                <w:sz w:val="11"/>
                <w:szCs w:val="11"/>
                <w:color w:val="auto"/>
              </w:rPr>
            </w:pPr>
          </w:p>
        </w:tc>
        <w:tc>
          <w:tcPr>
            <w:tcW w:w="102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00" w:type="dxa"/>
            <w:vAlign w:val="bottom"/>
          </w:tcPr>
          <w:p>
            <w:pPr>
              <w:spacing w:after="0"/>
              <w:rPr>
                <w:sz w:val="11"/>
                <w:szCs w:val="11"/>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00" w:type="dxa"/>
            <w:vAlign w:val="bottom"/>
          </w:tcPr>
          <w:p>
            <w:pPr>
              <w:spacing w:after="0"/>
              <w:rPr>
                <w:sz w:val="11"/>
                <w:szCs w:val="11"/>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80" w:type="dxa"/>
            <w:vAlign w:val="bottom"/>
          </w:tcPr>
          <w:p>
            <w:pPr>
              <w:spacing w:after="0"/>
              <w:rPr>
                <w:sz w:val="11"/>
                <w:szCs w:val="11"/>
                <w:color w:val="auto"/>
              </w:rPr>
            </w:pPr>
          </w:p>
        </w:tc>
        <w:tc>
          <w:tcPr>
            <w:tcW w:w="960" w:type="dxa"/>
            <w:vAlign w:val="bottom"/>
          </w:tcPr>
          <w:p>
            <w:pPr>
              <w:jc w:val="center"/>
              <w:ind w:right="96"/>
              <w:spacing w:after="0" w:line="131"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95"/>
        </w:trPr>
        <w:tc>
          <w:tcPr>
            <w:tcW w:w="5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28"/>
        </w:trPr>
        <w:tc>
          <w:tcPr>
            <w:tcW w:w="4960" w:type="dxa"/>
            <w:vAlign w:val="bottom"/>
            <w:tcBorders>
              <w:top w:val="single" w:sz="8" w:color="auto"/>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Long-term borrowings</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7,305,832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4,235,247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1,152,526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1,880,457</w:t>
            </w:r>
          </w:p>
        </w:tc>
        <w:tc>
          <w:tcPr>
            <w:tcW w:w="0" w:type="dxa"/>
            <w:vAlign w:val="bottom"/>
          </w:tcPr>
          <w:p>
            <w:pPr>
              <w:spacing w:after="0"/>
              <w:rPr>
                <w:sz w:val="1"/>
                <w:szCs w:val="1"/>
                <w:color w:val="auto"/>
              </w:rPr>
            </w:pPr>
          </w:p>
        </w:tc>
      </w:tr>
      <w:tr>
        <w:trPr>
          <w:trHeight w:val="23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46,712</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Estimated interest payments</w:t>
            </w:r>
            <w:r>
              <w:rPr>
                <w:rFonts w:ascii="Times New Roman" w:cs="Times New Roman" w:eastAsia="Times New Roman" w:hAnsi="Times New Roman"/>
                <w:sz w:val="23"/>
                <w:szCs w:val="23"/>
                <w:color w:val="auto"/>
                <w:vertAlign w:val="superscript"/>
              </w:rPr>
              <w:t>(2)</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927,800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467,400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25,800</w:t>
            </w:r>
          </w:p>
        </w:tc>
        <w:tc>
          <w:tcPr>
            <w:tcW w:w="0" w:type="dxa"/>
            <w:vAlign w:val="bottom"/>
          </w:tcPr>
          <w:p>
            <w:pPr>
              <w:spacing w:after="0"/>
              <w:rPr>
                <w:sz w:val="1"/>
                <w:szCs w:val="1"/>
                <w:color w:val="auto"/>
              </w:rPr>
            </w:pPr>
          </w:p>
        </w:tc>
      </w:tr>
      <w:tr>
        <w:trPr>
          <w:trHeight w:val="229"/>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leases and other noncancelable commitments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81,729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146,225</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23"/>
                <w:szCs w:val="23"/>
                <w:color w:val="auto"/>
                <w:vertAlign w:val="superscript"/>
              </w:rPr>
              <w:t>(3)</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665,221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267,049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85,555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171,808</w:t>
            </w:r>
          </w:p>
        </w:tc>
        <w:tc>
          <w:tcPr>
            <w:tcW w:w="0" w:type="dxa"/>
            <w:vAlign w:val="bottom"/>
          </w:tcPr>
          <w:p>
            <w:pPr>
              <w:spacing w:after="0"/>
              <w:rPr>
                <w:sz w:val="1"/>
                <w:szCs w:val="1"/>
                <w:color w:val="auto"/>
              </w:rPr>
            </w:pPr>
          </w:p>
        </w:tc>
      </w:tr>
      <w:tr>
        <w:trPr>
          <w:trHeight w:val="229"/>
        </w:trPr>
        <w:tc>
          <w:tcPr>
            <w:tcW w:w="506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liabilities</w:t>
            </w:r>
            <w:r>
              <w:rPr>
                <w:rFonts w:ascii="Times New Roman" w:cs="Times New Roman" w:eastAsia="Times New Roman" w:hAnsi="Times New Roman"/>
                <w:sz w:val="23"/>
                <w:szCs w:val="23"/>
                <w:color w:val="auto"/>
                <w:vertAlign w:val="superscript"/>
              </w:rPr>
              <w:t>(4)</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709,009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215,546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242,531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30,783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220,149</w:t>
            </w: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10,202,396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901,115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5,261,220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1,548,910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2,491,151</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80" w:type="dxa"/>
            <w:vAlign w:val="bottom"/>
            <w:gridSpan w:val="8"/>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Amount of Commitment Expiration by Period</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200" w:type="dxa"/>
            <w:vAlign w:val="bottom"/>
          </w:tcPr>
          <w:p>
            <w:pPr>
              <w:spacing w:after="0"/>
              <w:rPr>
                <w:sz w:val="11"/>
                <w:szCs w:val="11"/>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restart"/>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49"/>
        </w:trPr>
        <w:tc>
          <w:tcPr>
            <w:tcW w:w="5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Commercial Commitments as of September 30, 2022</w:t>
            </w:r>
          </w:p>
        </w:tc>
        <w:tc>
          <w:tcPr>
            <w:tcW w:w="2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Amounts</w:t>
            </w:r>
          </w:p>
        </w:tc>
        <w:tc>
          <w:tcPr>
            <w:tcW w:w="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0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Committed</w:t>
            </w:r>
          </w:p>
        </w:tc>
        <w:tc>
          <w:tcPr>
            <w:tcW w:w="20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28"/>
        </w:trPr>
        <w:tc>
          <w:tcPr>
            <w:tcW w:w="4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Letters of credit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87,517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76,445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500" w:right="440" w:hanging="492"/>
        <w:spacing w:after="0" w:line="282" w:lineRule="auto"/>
        <w:tabs>
          <w:tab w:leader="none" w:pos="49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the $41.6 million reduction to long-term borrowings from debt issuance costs, $0.7 million reduction from the discount on the United States Term B-4 Loans due 2027 and finance lease obligations.</w:t>
      </w:r>
    </w:p>
    <w:p>
      <w:pPr>
        <w:spacing w:after="0" w:line="26" w:lineRule="exact"/>
        <w:rPr>
          <w:rFonts w:ascii="Times New Roman" w:cs="Times New Roman" w:eastAsia="Times New Roman" w:hAnsi="Times New Roman"/>
          <w:sz w:val="18"/>
          <w:szCs w:val="18"/>
          <w:color w:val="auto"/>
        </w:rPr>
      </w:pPr>
    </w:p>
    <w:p>
      <w:pPr>
        <w:ind w:left="500" w:right="180" w:hanging="492"/>
        <w:spacing w:after="0" w:line="273" w:lineRule="auto"/>
        <w:tabs>
          <w:tab w:leader="none" w:pos="49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amounts represent future interest payments related to our existing debt obligations based on fixed and variable interest rates specified in the associated debt agreements and reflect any current hedging arrangements. Payments related to variable debt are based on applicable rates at September 30, 2022 plus the specified margin in the associated debt agreements for each period presented. The amounts provided relate only to existing debt obligations and do not assume the refinancing or replacement of such debt. The average debt balance for each fiscal year from 2023 through 2028 is $7,421.0 million, $7,327.5 million, $5,324.5 million, $2,941.4 million, $2,347.8 million and $791.8 million, respectively. The weighted average interest rate of our existing debt obligations for each fiscal year from 2023 through 2028 is 3.65%, 3.74%, 3.63%, 3.02%, 3.20% and 3.26%, respectively (see Note 5 to the audited consolidated financial statements for the terms and maturities of existing debt obligations).</w:t>
      </w:r>
    </w:p>
    <w:p>
      <w:pPr>
        <w:spacing w:after="0" w:line="49" w:lineRule="exact"/>
        <w:rPr>
          <w:rFonts w:ascii="Times New Roman" w:cs="Times New Roman" w:eastAsia="Times New Roman" w:hAnsi="Times New Roman"/>
          <w:sz w:val="17"/>
          <w:szCs w:val="17"/>
          <w:color w:val="auto"/>
        </w:rPr>
      </w:pPr>
    </w:p>
    <w:p>
      <w:pPr>
        <w:ind w:left="480" w:hanging="472"/>
        <w:spacing w:after="0"/>
        <w:tabs>
          <w:tab w:leader="none" w:pos="4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mainly the commitments for capital projects to help finance improvements or renovations at the facilities in which we operate.</w:t>
      </w:r>
    </w:p>
    <w:p>
      <w:pPr>
        <w:spacing w:after="0" w:line="103" w:lineRule="exact"/>
        <w:rPr>
          <w:rFonts w:ascii="Times New Roman" w:cs="Times New Roman" w:eastAsia="Times New Roman" w:hAnsi="Times New Roman"/>
          <w:sz w:val="18"/>
          <w:szCs w:val="18"/>
          <w:color w:val="auto"/>
        </w:rPr>
      </w:pPr>
    </w:p>
    <w:p>
      <w:pPr>
        <w:ind w:left="500" w:right="400" w:hanging="492"/>
        <w:spacing w:after="0" w:line="282" w:lineRule="auto"/>
        <w:tabs>
          <w:tab w:leader="none" w:pos="494" w:val="left"/>
        </w:tabs>
        <w:numPr>
          <w:ilvl w:val="0"/>
          <w:numId w:val="28"/>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auto"/>
        </w:rPr>
        <w:t>Includes certain unfunded employee retirement obligations, contingent consideration obligations related to acquisitions, deferred social security taxes, self-insurance obligations and other obligations.</w:t>
      </w:r>
    </w:p>
    <w:p>
      <w:pPr>
        <w:spacing w:after="0" w:line="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have excluded from the table above uncertain tax liabilities due to the uncertainty of the amount and period of payment. As of September 30, 2022, we have gross uncertain tax liabilities of $80.2 million (see Note 10 to the audited consolidated financial statements). During fiscal 2022, we made contributions totaling $5.7 million into our defined benefit pension plans. Estimated contributions to our defined benefit pension plans in fiscal 2023 are $2.8 million (see Note 9 to the audited consolidated financial statements).</w:t>
      </w:r>
    </w:p>
    <w:p>
      <w:pPr>
        <w:spacing w:after="0" w:line="5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a Receivables Facility agreement with three financial institutions where we sell on a continuous basis an undivided interest in all eligible accounts receivable, as defined in the Receivables Facility. The maximum amount available under the Receivables Facility as of September 30, 2022 is $500.0 million. During the third quarter of fiscal 2022, we increased the purchase limit available under the Receivables Facility from $400.0 million to $500.0 million and the additional seasonal tranche of $100.0 million has been eliminated. All other terms and conditions of the agreement remained largely unchanged. As of September 30, 2022, there are $104.9 million outstanding under the Receivables Facility. Amounts borrowed under the Receivables Facility fluctuate monthly based on our funding requirements and the level of qualified receivables available to collateralize the Receivables Facility.</w:t>
      </w:r>
    </w:p>
    <w:p>
      <w:pPr>
        <w:spacing w:after="0" w:line="66"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18"/>
          <w:szCs w:val="18"/>
          <w:color w:val="auto"/>
        </w:rPr>
        <w:t>Pursuant to the Receivables Facility, we formed ARAMARK Receivables, LLC, a wholly-owned, consolidated, bankruptcy-remote subsidiary. ARAMARK Receivables, LLC was formed for the sole purpose of buying and selling receivables generated by certain of our subsidiaries. Under the Receivables Facility, we and certain of our subsidiaries transfer without recourse all of our accounts receivable to ARAMARK Receivables, LLC. As collections reduce previously transferred interests, interests in new, eligible receivables are transferred to ARAMARK Receivables, LLC, subject to meeting certain conditions.</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Consolidating Information</w:t>
      </w:r>
    </w:p>
    <w:p>
      <w:pPr>
        <w:spacing w:after="0" w:line="94"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Pursuant to Regulation S-X Rule 13-01, which simplified certain disclosure requirements for guarantors and issuers of guaranteed securities, we are no longer required to provide condensed consolidating financial statements for Aramark and its subsidiaries, including the guarantors and non-guarantors under our Credit Agreement and the indentures governing our senior notes. ASI, the borrower under our Credit Agreement and the indentures governing our senior notes, and its restricted subsidiaries together comprise substantially all of our assets, liabilities and operations, and there are no material differences between the consolidating information related to Aramark and Aramark Intermediate Holdco Corporation, the direct parent of ASI and a guarantor under our Credit Agreement, on the one hand, and ASI and its restricted subsidiaries on a standalone basis, on the other hand.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business activities do not include the use of unconsolidated special purpose entities and there are no significant business transactions that have not been reflected in the accompanying audited consolidated financial statements. We insure portions of our risk in general liability, automobile liability, workers’ compensation liability and property liability through a wholly owned captive insurance subsidiary (the "Captive") to enhance our risk financing strategies. The Captive is subject to the regulations within its domicile of Bermuda, including regulations established by the Bermuda Monetary Authority (the "BMA") relating to levels of liquidity and solvency as such concepts are defined by the BMA. The Captive was in compliance with these regulations as of September 30, 2022. These regulations may have the effect of limiting our ability to access certain cash and cash equivalents held by the Captive for uses other than for the payment of our general liability, automobile liability, workers’ compensation liability, property liability and related Captive costs. As of September 30, 2022 and October 1, 2021, cash and cash equivalents at the Captive were $23.1 million and $194.3 million, respectively. During fiscal 2022, the Captive began investing a portion of its cash and cash equivalents in United States Treasury securities to improve returns on the Captive's assets. The amount of this investment as of September 30, 2022 was $78.2 million and recorded in "Prepayments and other current assets" on the Consolidated Balance Sheets.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significant accounting policies are described in the notes to the audited consolidated financial statements included in this Annual Report.</w:t>
      </w:r>
    </w:p>
    <w:p>
      <w:pPr>
        <w:spacing w:after="0" w:line="10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preparing our financial statements, management is required to make estimates and assumptions that, among other things, affect the reported amounts of assets, liabilities, revenue and expenses. These estimates and assumptions are most significant where they involve levels of subjectivity and judgment necessary to account for highly uncertain matters or matters susceptible to change, and where they can have a material impact on our financial condition and operating performance. If actual results were to differ materially from the estimates made, the reported results could be materially affected.</w:t>
      </w:r>
    </w:p>
    <w:p>
      <w:pPr>
        <w:spacing w:after="0" w:line="4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Critical accounting estimates and the related assumptions are evaluated periodically as conditions warrant, and changes to such estimates are recorded as new information or changed conditions require.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Impairment Determinations</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Indefinite lived intangible assets that are not amortized are subject to an impairment test that we conduct annually or more frequently if a change in circumstances or the occurrence of events indicates that potential impairment exists. For goodwill, the impairment test may first consider qualitative factors to determine whether it is more likely than not that the fair value of a reporting unit is less than its carrying amount. Examples of qualitative factors include, macroeconomic conditions, industry and market considerations, cost factors, overall financial performance, entity-specific events, events affecting reporting units and sustained changes in our stock price. If results of the qualitative assessment indicate a more likely than not determination or if a qualitative assessment is not performed, a quantitative test is performed by comparing the estimated fair value using a discounted cash flow method or market method for each reporting unit with its estimated net book value.</w:t>
      </w:r>
    </w:p>
    <w:p>
      <w:pPr>
        <w:spacing w:after="0" w:line="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perform the assessment of goodwill at the reporting unit level. Within our FSS International segment, each country or region is evaluated separately since they are relatively autonomous and separate goodwill balances have been recorded for each entity. During the fourth quarter of fiscal 2022, we performed the annual impairment test for goodwill for each of our reporting units using a quantitative testing approach. Based on the evaluation performed, we determined that the fair value of each of the reporting units significantly exceeded its respective carrying amount, and therefore, we determined that goodwill was not impaired.</w:t>
      </w:r>
    </w:p>
    <w:p>
      <w:pPr>
        <w:spacing w:after="0" w:line="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determination of fair value for each reporting unit includes assumptions, which are considered Level 3 inputs, that are subject to risk and uncertainty. The discounted cash flow calculations are dependent on several subjective factors including the timing of future cash flows, the underlying margin projection assumptions, future growth rates and the discount rate. The market based method is dependent on several subjective factors including the determination of market multiples and future cash</w:t>
      </w: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flows. If our assumptions or estimates in our fair value calculations change or if future cash flows, margin projections or future growth rates vary from what was expected, this may impact our impairment analysis and could reduce the underlying cash flows used to estimate fair values and result in a decline in fair value that may trigger future impairment charges.</w:t>
      </w:r>
    </w:p>
    <w:p>
      <w:pPr>
        <w:spacing w:after="0" w:line="4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With respect to our other long-lived assets, we are required to test for asset impairment whenever events or circumstances indicate that the carrying value of an asset may not be recoverable. If indicators of impairment are present, we compare the sum of the future expected cash flows from the asset, undiscounted and without interest charges, to the asset’s carrying value. If the sum of the future expected cash flows from the asset is less than the carrying value, an impairment would be recognized for the difference between the estimated fair value and the carrying value of the asset.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making future cash flow analyses of various assets, we make assumptions relating to the following:</w:t>
      </w:r>
    </w:p>
    <w:p>
      <w:pPr>
        <w:spacing w:after="0" w:line="104" w:lineRule="exact"/>
        <w:rPr>
          <w:sz w:val="20"/>
          <w:szCs w:val="20"/>
          <w:color w:val="auto"/>
        </w:rPr>
      </w:pPr>
    </w:p>
    <w:p>
      <w:pPr>
        <w:ind w:left="580" w:hanging="248"/>
        <w:spacing w:after="0"/>
        <w:tabs>
          <w:tab w:leader="none" w:pos="5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intended use of assets and the expected future cash flows resulting directly from such use;</w:t>
      </w:r>
    </w:p>
    <w:p>
      <w:pPr>
        <w:spacing w:after="0" w:line="90"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market valuations of businesses similar to Aramark's business segments;</w:t>
      </w:r>
    </w:p>
    <w:p>
      <w:pPr>
        <w:spacing w:after="0" w:line="10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specific economic conditions;</w:t>
      </w:r>
    </w:p>
    <w:p>
      <w:pPr>
        <w:spacing w:after="0" w:line="10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 activities and regulatory initiatives; and</w:t>
      </w:r>
    </w:p>
    <w:p>
      <w:pPr>
        <w:spacing w:after="0" w:line="90"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and customer preferences and behavior patterns.</w:t>
      </w:r>
    </w:p>
    <w:p>
      <w:pPr>
        <w:spacing w:after="0" w:line="104"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believe that an accounting estimate relating to asset impairment is a critical accounting estimate because the assumptions underlying future cash flow estimates are subject to change from time to time and the recognition of an impairment could have a significant impact on our Consolidated Statements of Income (Loss).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and Claims</w:t>
      </w:r>
    </w:p>
    <w:p>
      <w:pPr>
        <w:spacing w:after="0" w:line="9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From time to time, we and our subsidiaries are party to various legal actions, proceedings and investigations involving claims incidental to the conduct of our businesses, including those brought by clients, customers, employees, government entities and third parties under, among others, federal, state, international, national, provincial and local employment laws, wage and hour laws, discrimination laws, immigration laws, human health and safety laws, import and export controls and customs laws, environmental laws, false claims or whistleblower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 of contractual and other obligations. We consider the measurement of litigation reserves as a critical accounting estimate because of the significant uncertainty in some cases relating to the outcome of potential claims or litigation and the difficulty of predicting the likelihood and range of potential liability involved, coupled with the material impact on our results of operations that could result from litigation or other claims. In determining legal reserves, we consider, among other issues:</w:t>
      </w:r>
    </w:p>
    <w:p>
      <w:pPr>
        <w:spacing w:after="0" w:line="73" w:lineRule="exact"/>
        <w:rPr>
          <w:sz w:val="20"/>
          <w:szCs w:val="20"/>
          <w:color w:val="auto"/>
        </w:rPr>
      </w:pPr>
    </w:p>
    <w:p>
      <w:pPr>
        <w:ind w:left="580" w:hanging="248"/>
        <w:spacing w:after="0"/>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interpretation of contractual rights and obligations;</w:t>
      </w:r>
    </w:p>
    <w:p>
      <w:pPr>
        <w:spacing w:after="0" w:line="10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government regulatory initiatives, interpretations and investigations;</w:t>
      </w:r>
    </w:p>
    <w:p>
      <w:pPr>
        <w:spacing w:after="0" w:line="90"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settlement negotiations;</w:t>
      </w:r>
    </w:p>
    <w:p>
      <w:pPr>
        <w:spacing w:after="0" w:line="10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experience with similar types of claims;</w:t>
      </w:r>
    </w:p>
    <w:p>
      <w:pPr>
        <w:spacing w:after="0" w:line="10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there is available insurance; and</w:t>
      </w:r>
    </w:p>
    <w:p>
      <w:pPr>
        <w:spacing w:after="0" w:line="90"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advice of counsel.</w:t>
      </w:r>
    </w:p>
    <w:p>
      <w:pPr>
        <w:spacing w:after="0" w:line="10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were involved in a dispute with a client regarding our provision of services pursuant to a contract. During fiscal 2022, we resolved the matter by entering into a settlement agreement with the client whereby our obligations totaled $13.6 million, resulting in a reversal of previously reserved amounts of $5.7 million, which is included in "Cost of services provided (exclusive of depreciation and amortization)" on the Consolidated Statements of Income (Loss).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0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encounter credit loss risks associated with the collection of receivables. We analyze historical experience, current general and specific industry economic conditions, industry concentrations, such as exposure to small and medium-sized businesses, the non-profit healthcare sector, federal and local governments, and reasonable and supportable forecasts that affect the collectability of the reported amount in estimating credit losses. The accounting estimate related to the allowance for credit losses is a critical accounting estimate because the underlying assumptions used for the allowance can change from time to time and credit losses could potentially have a material impact on our results of operations. We adopted a new accounting standard related to the measurement of expected credit losses as of October 3, 2020 (the first day of fiscal 2021).</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900"/>
        <w:spacing w:after="0" w:line="352" w:lineRule="auto"/>
        <w:rPr>
          <w:sz w:val="20"/>
          <w:szCs w:val="20"/>
          <w:color w:val="auto"/>
        </w:rPr>
      </w:pPr>
      <w:r>
        <w:rPr>
          <w:rFonts w:ascii="Times New Roman" w:cs="Times New Roman" w:eastAsia="Times New Roman" w:hAnsi="Times New Roman"/>
          <w:sz w:val="18"/>
          <w:szCs w:val="18"/>
          <w:color w:val="auto"/>
        </w:rPr>
        <w:t xml:space="preserve">As of September 30, 2022 and October 1, 2021, our allowance for credit losses was $56.4 million and $79.6 million, respectively. </w:t>
      </w:r>
      <w:r>
        <w:rPr>
          <w:rFonts w:ascii="Times New Roman" w:cs="Times New Roman" w:eastAsia="Times New Roman" w:hAnsi="Times New Roman"/>
          <w:sz w:val="18"/>
          <w:szCs w:val="18"/>
          <w:b w:val="1"/>
          <w:bCs w:val="1"/>
          <w:i w:val="1"/>
          <w:iCs w:val="1"/>
          <w:color w:val="auto"/>
        </w:rPr>
        <w:t>Inventory Obsolescence</w:t>
      </w:r>
    </w:p>
    <w:p>
      <w:pPr>
        <w:ind w:right="200"/>
        <w:spacing w:after="0" w:line="258" w:lineRule="auto"/>
        <w:rPr>
          <w:sz w:val="20"/>
          <w:szCs w:val="20"/>
          <w:color w:val="auto"/>
        </w:rPr>
      </w:pPr>
      <w:r>
        <w:rPr>
          <w:rFonts w:ascii="Times New Roman" w:cs="Times New Roman" w:eastAsia="Times New Roman" w:hAnsi="Times New Roman"/>
          <w:sz w:val="18"/>
          <w:szCs w:val="18"/>
          <w:color w:val="auto"/>
        </w:rPr>
        <w:t>We record an inventory obsolescence reserve for obsolete, excess and slow-moving inventory, principally in the Uniform segment. In calculating our inventory obsolescence reserve, we analyze historical and projected data regarding customer demand within specific product categories and make assumptions regarding economic conditions within customer specific industries, as well as style and product changes. Our accounting estimate related to inventory obsolescence is a critical accounting estimate because customer demand in certain of our businesses can be variable and changes in our reserve for inventory obsolescence could materially affect our results of operations.</w:t>
      </w:r>
    </w:p>
    <w:p>
      <w:pPr>
        <w:spacing w:after="0" w:line="62" w:lineRule="exact"/>
        <w:rPr>
          <w:sz w:val="20"/>
          <w:szCs w:val="20"/>
          <w:color w:val="auto"/>
        </w:rPr>
      </w:pPr>
    </w:p>
    <w:p>
      <w:pPr>
        <w:ind w:right="1300"/>
        <w:spacing w:after="0" w:line="352" w:lineRule="auto"/>
        <w:rPr>
          <w:sz w:val="20"/>
          <w:szCs w:val="20"/>
          <w:color w:val="auto"/>
        </w:rPr>
      </w:pPr>
      <w:r>
        <w:rPr>
          <w:rFonts w:ascii="Times New Roman" w:cs="Times New Roman" w:eastAsia="Times New Roman" w:hAnsi="Times New Roman"/>
          <w:sz w:val="18"/>
          <w:szCs w:val="18"/>
          <w:color w:val="auto"/>
        </w:rPr>
        <w:t xml:space="preserve">As of September 30, 2022 and October 1, 2021, our reserve for inventory obsolescence was $51.3 million and $45.7 million, respectively. </w:t>
      </w:r>
      <w:r>
        <w:rPr>
          <w:rFonts w:ascii="Times New Roman" w:cs="Times New Roman" w:eastAsia="Times New Roman" w:hAnsi="Times New Roman"/>
          <w:sz w:val="18"/>
          <w:szCs w:val="18"/>
          <w:b w:val="1"/>
          <w:bCs w:val="1"/>
          <w:i w:val="1"/>
          <w:iCs w:val="1"/>
          <w:color w:val="auto"/>
        </w:rPr>
        <w:t>Self-Insurance Reserves</w:t>
      </w:r>
    </w:p>
    <w:p>
      <w:pPr>
        <w:ind w:right="200"/>
        <w:spacing w:after="0" w:line="253" w:lineRule="auto"/>
        <w:rPr>
          <w:sz w:val="20"/>
          <w:szCs w:val="20"/>
          <w:color w:val="auto"/>
        </w:rPr>
      </w:pPr>
      <w:r>
        <w:rPr>
          <w:rFonts w:ascii="Times New Roman" w:cs="Times New Roman" w:eastAsia="Times New Roman" w:hAnsi="Times New Roman"/>
          <w:sz w:val="18"/>
          <w:szCs w:val="18"/>
          <w:color w:val="auto"/>
        </w:rPr>
        <w:t>We self-insure for obligations related to certain risks that we retain under our casualty program, which includes general liability, automobile liability and workers’ compensation liability, as well as for property liability and employee healthcare benefit programs. The accounting estimates related to our self-insurance reserves are critical accounting estimates because changes in our claim experience, our ability to settle claims or other estimates and judgments we use could potentially have a material impact on our results of operations. Our reserves for retained costs associated with our casualty program are estimated through actuarial methods, with the assistance of third-party actuaries, using loss development assumptions based on our claims history. Our casualty program reserves take into account reported claims as well as incurred-but-not-reported losses using loss development factors based upon past experience. In order to determine the loss development factors, we make judgments relating to the nature, frequency, severity, and age of claims, and industry, regulatory and company-specific trends impacting the development of claims. The actual cost to settle our self-insured casualty claim liabilities can differ from our reserve estimates because of a number of uncertainties, including the inherent difficulty in estimating the severity of a claim and the potential amount to defend and settle a claim.</w:t>
      </w:r>
    </w:p>
    <w:p>
      <w:pPr>
        <w:spacing w:after="0" w:line="73" w:lineRule="exact"/>
        <w:rPr>
          <w:sz w:val="20"/>
          <w:szCs w:val="20"/>
          <w:color w:val="auto"/>
        </w:rPr>
      </w:pPr>
    </w:p>
    <w:p>
      <w:pPr>
        <w:ind w:right="1920"/>
        <w:spacing w:after="0" w:line="352" w:lineRule="auto"/>
        <w:rPr>
          <w:sz w:val="20"/>
          <w:szCs w:val="20"/>
          <w:color w:val="auto"/>
        </w:rPr>
      </w:pPr>
      <w:r>
        <w:rPr>
          <w:rFonts w:ascii="Times New Roman" w:cs="Times New Roman" w:eastAsia="Times New Roman" w:hAnsi="Times New Roman"/>
          <w:sz w:val="18"/>
          <w:szCs w:val="18"/>
          <w:color w:val="auto"/>
        </w:rPr>
        <w:t xml:space="preserve">As of September 30, 2022 and October 1, 2021, our self-insurance reserves were $254.4 million and $235.7 million, respectively. </w:t>
      </w:r>
      <w:r>
        <w:rPr>
          <w:rFonts w:ascii="Times New Roman" w:cs="Times New Roman" w:eastAsia="Times New Roman" w:hAnsi="Times New Roman"/>
          <w:sz w:val="18"/>
          <w:szCs w:val="18"/>
          <w:b w:val="1"/>
          <w:bCs w:val="1"/>
          <w:i w:val="1"/>
          <w:iCs w:val="1"/>
          <w:color w:val="auto"/>
        </w:rPr>
        <w:t>Income Taxes</w:t>
      </w:r>
    </w:p>
    <w:p>
      <w:pPr>
        <w:ind w:right="20"/>
        <w:spacing w:after="0" w:line="254" w:lineRule="auto"/>
        <w:rPr>
          <w:sz w:val="20"/>
          <w:szCs w:val="20"/>
          <w:color w:val="auto"/>
        </w:rPr>
      </w:pPr>
      <w:r>
        <w:rPr>
          <w:rFonts w:ascii="Times New Roman" w:cs="Times New Roman" w:eastAsia="Times New Roman" w:hAnsi="Times New Roman"/>
          <w:sz w:val="18"/>
          <w:szCs w:val="18"/>
          <w:color w:val="auto"/>
        </w:rPr>
        <w:t>We use the asset and liability method of accounting for income taxes. Under this method, income tax expense is recognized for the amount of taxes payable or refundable for the current year and for deferred tax liabilities and assets for the future tax consequences of events that have been recognized in our consolidated financial statements or tax returns. We make assumptions, judgments and estimates to determine the current income tax provision (benefit), deferred tax asset and liabilities and valuation allowance recorded against a deferred tax asset. The assumptions, judgments and estimates relative to the current income tax provision (benefit) take into account current tax laws, their interpretation and possible results of foreign and domestic tax audits. Changes in tax law, their interpretation and resolution of tax audits could significantly impact the income taxes provided in our consolidated financial statements. Assumptions, judgments and estimates relative to the amount of deferred income taxes take into account future taxable income. Any of the assumptions, judgments and estimates mentioned above could cause the actual income tax obligations to differ from our estimates.</w:t>
      </w:r>
    </w:p>
    <w:p>
      <w:pPr>
        <w:spacing w:after="0" w:line="7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September 30, 2022 and October 1, 2021, our valuation allowance reserves recorded against deferred tax assets were $83.8 million and $97.5 million, respectively (see Note 10 to the audited consolidated financial statements).</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 Updates</w:t>
      </w:r>
    </w:p>
    <w:p>
      <w:pPr>
        <w:spacing w:after="0" w:line="9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See Note 1 to the audited consolidated financial statements for a full description of recent accounting standards updates, including the expected dates of adoption.</w:t>
      </w:r>
    </w:p>
    <w:p>
      <w:pPr>
        <w:spacing w:after="0" w:line="15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 About Market Risk</w:t>
      </w:r>
    </w:p>
    <w:p>
      <w:pPr>
        <w:spacing w:after="0" w:line="10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are exposed to the impact of interest rate changes and manage this exposure through the use of variable-rate and fixed-rate debt and by utilizing interest rate swaps. We do not enter into contracts for trading purposes and do not use leveraged instruments. The information below summarizes our market risks associated with debt obligations and other significant financial instruments as of September 30, 2022 (see Notes 5 and 6 to the audited consolidated financial statements). Fair values were computed using market quotes, if available, or based on discounted cash flows using market interest rates as of the end of the respective periods. For debt obligations, the table presents principal cash flows and related interest rates by contractual fiscal year of maturity. Variable interest rates disclosed represent the weighted-average rates of the portfolio at September 30, 2022. For interest rate swaps, the table presents the notional amounts and related weighted-average interest rates by fiscal year of maturity. The variable rates presented are the average forward rates for the term of each contract.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(US$ equivalent in millions)</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3"/>
        </w:trPr>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7"/>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0"/>
        </w:trPr>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7"/>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Expected Fiscal Year of Maturity</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196"/>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 2022</w:t>
            </w:r>
          </w:p>
        </w:tc>
        <w:tc>
          <w:tcPr>
            <w:tcW w:w="240" w:type="dxa"/>
            <w:vAlign w:val="bottom"/>
          </w:tcPr>
          <w:p>
            <w:pPr>
              <w:spacing w:after="0"/>
              <w:rPr>
                <w:sz w:val="17"/>
                <w:szCs w:val="17"/>
                <w:color w:val="auto"/>
              </w:rPr>
            </w:pPr>
          </w:p>
        </w:tc>
        <w:tc>
          <w:tcPr>
            <w:tcW w:w="78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40" w:type="dxa"/>
            <w:vAlign w:val="bottom"/>
          </w:tcPr>
          <w:p>
            <w:pPr>
              <w:spacing w:after="0"/>
              <w:rPr>
                <w:sz w:val="17"/>
                <w:szCs w:val="17"/>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9"/>
        </w:trPr>
        <w:tc>
          <w:tcPr>
            <w:tcW w:w="2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Debt: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r>
      <w:tr>
        <w:trPr>
          <w:trHeight w:val="22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rate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2,393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1,197</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3,679</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center"/>
              <w:ind w:left="135"/>
              <w:spacing w:after="0"/>
              <w:rPr>
                <w:sz w:val="20"/>
                <w:szCs w:val="20"/>
                <w:color w:val="auto"/>
              </w:rPr>
            </w:pPr>
            <w:r>
              <w:rPr>
                <w:rFonts w:ascii="Times New Roman" w:cs="Times New Roman" w:eastAsia="Times New Roman" w:hAnsi="Times New Roman"/>
                <w:sz w:val="18"/>
                <w:szCs w:val="18"/>
                <w:color w:val="auto"/>
                <w:w w:val="98"/>
              </w:rPr>
              <w:t>3,457</w:t>
            </w:r>
          </w:p>
        </w:tc>
      </w:tr>
      <w:tr>
        <w:trPr>
          <w:trHeight w:val="230"/>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interest rate</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Variable rate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1,716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839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3,785</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center"/>
              <w:ind w:left="135"/>
              <w:spacing w:after="0"/>
              <w:rPr>
                <w:sz w:val="20"/>
                <w:szCs w:val="20"/>
                <w:color w:val="auto"/>
              </w:rPr>
            </w:pPr>
            <w:r>
              <w:rPr>
                <w:rFonts w:ascii="Times New Roman" w:cs="Times New Roman" w:eastAsia="Times New Roman" w:hAnsi="Times New Roman"/>
                <w:sz w:val="18"/>
                <w:szCs w:val="18"/>
                <w:color w:val="auto"/>
                <w:w w:val="98"/>
              </w:rPr>
              <w:t>3,696</w:t>
            </w:r>
          </w:p>
        </w:tc>
      </w:tr>
      <w:tr>
        <w:trPr>
          <w:trHeight w:val="230"/>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interest rate</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Rate Swaps:</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Receive variable/pay fixed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800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3,550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center"/>
              <w:ind w:left="175"/>
              <w:spacing w:after="0"/>
              <w:rPr>
                <w:sz w:val="20"/>
                <w:szCs w:val="20"/>
                <w:color w:val="auto"/>
              </w:rPr>
            </w:pPr>
            <w:r>
              <w:rPr>
                <w:rFonts w:ascii="Times New Roman" w:cs="Times New Roman" w:eastAsia="Times New Roman" w:hAnsi="Times New Roman"/>
                <w:sz w:val="18"/>
                <w:szCs w:val="18"/>
                <w:color w:val="auto"/>
              </w:rPr>
              <w:t>155</w:t>
            </w:r>
          </w:p>
        </w:tc>
      </w:tr>
      <w:tr>
        <w:trPr>
          <w:trHeight w:val="23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Average pay rate</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receive rate</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bl>
    <w:p>
      <w:pPr>
        <w:spacing w:after="0" w:line="157"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We entered into a series of pay fixed/receive floating gasoline and diesel fuel agreements based on the Department of Energy weekly retail on-highway index in order to limit our exposure to price fluctuations for gasoline and diesel fuel. As of September 30, 2022, we had contracts for 9.4 million gallons outstanding through September of fiscal 2022. As of September 30, 2022, the fair value of our gasoline and diesel fuel hedge agreements is $2.6 million, which is included in "Accounts payable" on our Consolidated Balance Sheets.</w:t>
      </w:r>
    </w:p>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Financial Statements and Supplementary Data</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Financial Statements and Schedule beginning on page S-1.</w:t>
      </w:r>
    </w:p>
    <w:p>
      <w:pPr>
        <w:spacing w:after="0" w:line="221" w:lineRule="exact"/>
        <w:rPr>
          <w:sz w:val="20"/>
          <w:szCs w:val="20"/>
          <w:color w:val="auto"/>
        </w:rPr>
      </w:pPr>
    </w:p>
    <w:p>
      <w:pPr>
        <w:ind w:right="3660"/>
        <w:spacing w:after="0" w:line="380"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Not applicable.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Evaluation of Disclosure Controls and Procedures</w:t>
      </w:r>
    </w:p>
    <w:p>
      <w:pPr>
        <w:spacing w:after="0" w:line="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that term is defined in Rules 13a-15(e) and 15d-15(e) under the Securities Exchange Act of 1934, as amended) as of the end of the period covered by this report. Based on that evaluation, management, with the participation of our Chief Executive Officer and Chief Financial Officer, concluded that our disclosure controls and procedures, as of the end of the period covered by this report, are functioning effectively to provide reasonable assurance that the information required to be disclosed by us in reports filed under the Securities Exchange Act of 1934 is recorded, processed, summarized and reported within the time periods specified in the SEC’s rules and forms and is accumulated and communicated to our management, including our principal executive and principal financial officers, to allow timely decisions regarding required disclosures.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Management’s Annual Report on Internal Control Over Financial Reporting</w:t>
      </w:r>
    </w:p>
    <w:p>
      <w:pPr>
        <w:spacing w:after="0" w:line="10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of the Exchange Act. Under the supervision and with the participation of our management, including our Chief Executive Officer and Chief Financial Officer, we conducted an evaluation of the effectiveness of our internal control over financial reporting based upon criteria established in Internal Control – Integrated Framework (2013) by the Committee of Sponsoring Organizations of the Treadway Commission. Based on that evaluation, our management concluded that our internal control over financial reporting was effective as of September 30, 2022. The effectiveness of our internal control over financial reporting as of September 30, 2022 has been audited by Deloitte &amp; Touche LLP, our independent registered public accounting firm, as stated in their report that is included herein on the following page.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Change in Internal Control over Financial Reporting</w:t>
      </w:r>
    </w:p>
    <w:p>
      <w:pPr>
        <w:spacing w:after="0" w:line="10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occurred during our fourth quarter of fiscal 2022 that has materially affected, or is reasonably likely to materially affect, our internal control over financial reporting.</w:t>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Aramark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Aramark and subsidiaries (the "Company") as of September 30, 2022, based on criteria established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Arial" w:cs="Arial" w:eastAsia="Arial" w:hAnsi="Arial"/>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September 30, 2022, based on criteria established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Arial" w:cs="Arial" w:eastAsia="Arial" w:hAnsi="Arial"/>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 xml:space="preserve"> issued by COSO.</w:t>
      </w:r>
    </w:p>
    <w:p>
      <w:pPr>
        <w:spacing w:after="0" w:line="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September 30, 2022, of the Company and our report dated November 22, 2022, expressed an unqualified opinion on those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PA</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22, 2022</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right="4179"/>
        <w:spacing w:after="0" w:line="380"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15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75"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tab/>
        <w:t>Directors, Executive Officers and Corporate Governance</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Information about our directors and persons nominated to become directors required by Item 10 will be included under the caption "Proposal No. 1 - Election of Directors" in our Proxy Statement for the 2023 Annual Meeting of Stockholders and is incorporated herein by reference. Information about our executive officers is included under the caption “Information About Our Executive Officers” in Part I of this report and incorporated herein.</w:t>
      </w:r>
    </w:p>
    <w:p>
      <w:pPr>
        <w:spacing w:after="0" w:line="4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Information on beneficial ownership reporting required by Item 10, if any, will be included under the caption "Delinquent Section 16(a) Reports" in our Proxy Statement for the 2023 Annual Meeting of Stockholders and is incorporated herein by reference.</w:t>
      </w:r>
    </w:p>
    <w:p>
      <w:pPr>
        <w:spacing w:after="0" w:line="4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 Business Conduct Policy that applies to all of our directors, officers and employees, including our principal executive officer, principal financial officer and principal accounting officer, which is available on the Investor Relations section of our website at www.aramark.com. A copy of our Business Conduct Policy may be obtained free of charge by writing to Investor Relations, Aramark, 2400 Market Street, Philadelphia, PA 19103. Our Business Conduct Policy contains a "code of ethics," as defined in Item 406(b) of Regulation S-K. Please note that our website address is provided as an inactive textual reference only. We will make any legally required disclosures regarding amendments to, or waivers of, provisions of our code of ethics on our website.</w:t>
      </w:r>
    </w:p>
    <w:p>
      <w:pPr>
        <w:spacing w:after="0" w:line="6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remaining information required by Item 10 will be included under the caption "Board Committees and Meetings" in our Proxy Statement for the 2023 Annual Meeting of Stockholders and is incorporated herein by reference.</w:t>
      </w:r>
    </w:p>
    <w:p>
      <w:pPr>
        <w:spacing w:after="0" w:line="15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tab/>
        <w:t>Executive Compensation</w:t>
      </w:r>
    </w:p>
    <w:p>
      <w:pPr>
        <w:spacing w:after="0" w:line="9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Information required by Item 11 will be included under the caption "Compensation Matters" in our Proxy Statement for the 2023 Annual Meeting of Stockholders and is incorporated herein by reference.</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0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Information required by Item 12 will be included under the captions "Security Ownership of Certain Beneficial Owners and Management" and "Equity Compensation Plan Information" in our Proxy Statement for the 2023 Annual Meeting of Stockholders and is incorporated herein by reference.</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0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Information required by Item 13 will be included under the captions "Certain Relationships and Related Transactions" and "Director Independence and Independence Determinations" in our Proxy Statement for the 2023 Annual Meeting of Stockholders and is incorporated herein by reference.</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9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Information required by Item 14 will be included under the caption "Fees to Independent Registered Public Accounting Firm" in our Proxy Statement for the 2023 Annual Meeting of Stockholders and is incorporated herein by reference.</w:t>
      </w:r>
    </w:p>
    <w:p>
      <w:pPr>
        <w:spacing w:after="0" w:line="2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75" w:right="3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ind w:right="415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06" w:lineRule="exact"/>
        <w:rPr>
          <w:sz w:val="20"/>
          <w:szCs w:val="20"/>
          <w:color w:val="auto"/>
        </w:rPr>
      </w:pPr>
    </w:p>
    <w:p>
      <w:pPr>
        <w:ind w:left="260" w:hanging="252"/>
        <w:spacing w:after="0"/>
        <w:tabs>
          <w:tab w:leader="none" w:pos="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Index to Financial Statements and Schedule at page S-1 and the Exhibit Index.</w:t>
      </w:r>
    </w:p>
    <w:p>
      <w:pPr>
        <w:spacing w:after="0" w:line="102" w:lineRule="exact"/>
        <w:rPr>
          <w:sz w:val="20"/>
          <w:szCs w:val="20"/>
          <w:color w:val="auto"/>
        </w:rPr>
      </w:pPr>
    </w:p>
    <w:p>
      <w:pPr>
        <w:ind w:left="260" w:hanging="252"/>
        <w:spacing w:after="0"/>
        <w:tabs>
          <w:tab w:leader="none" w:pos="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 Required by Item 601 of Regulation S-K</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 Index which is incorporated herein by reference.</w:t>
      </w:r>
    </w:p>
    <w:p>
      <w:pPr>
        <w:spacing w:after="0" w:line="88" w:lineRule="exact"/>
        <w:rPr>
          <w:sz w:val="20"/>
          <w:szCs w:val="20"/>
          <w:color w:val="auto"/>
        </w:rPr>
      </w:pPr>
    </w:p>
    <w:p>
      <w:pPr>
        <w:ind w:left="260" w:hanging="252"/>
        <w:spacing w:after="0"/>
        <w:tabs>
          <w:tab w:leader="none" w:pos="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Index to Financial Statements and Schedule at page S-1.</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75" w:right="1440"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annual report to be signed on its behalf by the undersigned, thereunto duly authorized on November 22, 2022.</w:t>
      </w:r>
    </w:p>
    <w:p>
      <w:pPr>
        <w:spacing w:after="0" w:line="162" w:lineRule="exact"/>
        <w:rPr>
          <w:sz w:val="20"/>
          <w:szCs w:val="20"/>
          <w:color w:val="auto"/>
        </w:rPr>
      </w:pPr>
    </w:p>
    <w:tbl>
      <w:tblPr>
        <w:tblLayout w:type="fixed"/>
        <w:tblInd w:w="576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Aramark</w:t>
            </w:r>
          </w:p>
        </w:tc>
        <w:tc>
          <w:tcPr>
            <w:tcW w:w="4500" w:type="dxa"/>
            <w:vAlign w:val="bottom"/>
          </w:tcPr>
          <w:p>
            <w:pPr>
              <w:spacing w:after="0"/>
              <w:rPr>
                <w:sz w:val="20"/>
                <w:szCs w:val="20"/>
                <w:color w:val="auto"/>
              </w:rPr>
            </w:pPr>
          </w:p>
        </w:tc>
      </w:tr>
      <w:tr>
        <w:trPr>
          <w:trHeight w:val="39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CHRISTOPHER T. SCHILLING</w:t>
            </w:r>
          </w:p>
        </w:tc>
      </w:tr>
      <w:tr>
        <w:trPr>
          <w:trHeight w:val="184"/>
        </w:trPr>
        <w:tc>
          <w:tcPr>
            <w:tcW w:w="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Christopher T. Schilling</w:t>
            </w:r>
          </w:p>
        </w:tc>
      </w:tr>
      <w:tr>
        <w:trPr>
          <w:trHeight w:val="150"/>
        </w:trPr>
        <w:tc>
          <w:tcPr>
            <w:tcW w:w="9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Title:</w:t>
            </w:r>
          </w:p>
        </w:tc>
        <w:tc>
          <w:tcPr>
            <w:tcW w:w="4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Senior Vice President, Controller and Chief Accounting Officer</w:t>
            </w:r>
          </w:p>
        </w:tc>
      </w:tr>
      <w:tr>
        <w:trPr>
          <w:trHeight w:val="190"/>
        </w:trPr>
        <w:tc>
          <w:tcPr>
            <w:tcW w:w="980" w:type="dxa"/>
            <w:vAlign w:val="bottom"/>
          </w:tcPr>
          <w:p>
            <w:pPr>
              <w:spacing w:after="0"/>
              <w:rPr>
                <w:sz w:val="16"/>
                <w:szCs w:val="16"/>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(Authorized Signatory)</w:t>
            </w:r>
          </w:p>
        </w:tc>
      </w:tr>
    </w:tbl>
    <w:p>
      <w:pPr>
        <w:spacing w:after="0" w:line="19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has been signed below by the following persons on behalf of the registrant and in the capacities indicated on November 22, 2022.</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spacing w:after="0"/>
              <w:rPr>
                <w:sz w:val="16"/>
                <w:szCs w:val="16"/>
                <w:color w:val="auto"/>
              </w:rPr>
            </w:pPr>
          </w:p>
        </w:tc>
        <w:tc>
          <w:tcPr>
            <w:tcW w:w="7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Capacity</w:t>
            </w:r>
          </w:p>
        </w:tc>
      </w:tr>
      <w:tr>
        <w:trPr>
          <w:trHeight w:val="23"/>
        </w:trPr>
        <w:tc>
          <w:tcPr>
            <w:tcW w:w="3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180" w:type="dxa"/>
            <w:vAlign w:val="bottom"/>
            <w:tcBorders>
              <w:bottom w:val="single" w:sz="8" w:color="auto"/>
            </w:tcBorders>
          </w:tcPr>
          <w:p>
            <w:pPr>
              <w:spacing w:after="0"/>
              <w:rPr>
                <w:sz w:val="2"/>
                <w:szCs w:val="2"/>
                <w:color w:val="auto"/>
              </w:rPr>
            </w:pPr>
          </w:p>
        </w:tc>
      </w:tr>
      <w:tr>
        <w:trPr>
          <w:trHeight w:val="304"/>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J. ZILLMER</w:t>
            </w:r>
          </w:p>
        </w:tc>
        <w:tc>
          <w:tcPr>
            <w:tcW w:w="24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r>
      <w:tr>
        <w:trPr>
          <w:trHeight w:val="214"/>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John J. Zillmer</w:t>
            </w:r>
          </w:p>
        </w:tc>
        <w:tc>
          <w:tcPr>
            <w:tcW w:w="240" w:type="dxa"/>
            <w:vAlign w:val="bottom"/>
          </w:tcPr>
          <w:p>
            <w:pPr>
              <w:spacing w:after="0"/>
              <w:rPr>
                <w:sz w:val="18"/>
                <w:szCs w:val="18"/>
                <w:color w:val="auto"/>
              </w:rPr>
            </w:pPr>
          </w:p>
        </w:tc>
        <w:tc>
          <w:tcPr>
            <w:tcW w:w="7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19"/>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THOMAS G. ONDROF</w:t>
            </w:r>
          </w:p>
        </w:tc>
        <w:tc>
          <w:tcPr>
            <w:tcW w:w="24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14"/>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Thomas G. Ondrof</w:t>
            </w:r>
          </w:p>
        </w:tc>
        <w:tc>
          <w:tcPr>
            <w:tcW w:w="240" w:type="dxa"/>
            <w:vAlign w:val="bottom"/>
          </w:tcPr>
          <w:p>
            <w:pPr>
              <w:spacing w:after="0"/>
              <w:rPr>
                <w:sz w:val="18"/>
                <w:szCs w:val="18"/>
                <w:color w:val="auto"/>
              </w:rPr>
            </w:pPr>
          </w:p>
        </w:tc>
        <w:tc>
          <w:tcPr>
            <w:tcW w:w="7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319"/>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CHRISTOPHER T. SCHILLING</w:t>
            </w:r>
          </w:p>
        </w:tc>
        <w:tc>
          <w:tcPr>
            <w:tcW w:w="24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Senior Vice President, Controller and Chief Accounting Officer</w:t>
            </w:r>
          </w:p>
        </w:tc>
      </w:tr>
      <w:tr>
        <w:trPr>
          <w:trHeight w:val="214"/>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Christopher T. Schilling</w:t>
            </w:r>
          </w:p>
        </w:tc>
        <w:tc>
          <w:tcPr>
            <w:tcW w:w="240" w:type="dxa"/>
            <w:vAlign w:val="bottom"/>
          </w:tcPr>
          <w:p>
            <w:pPr>
              <w:spacing w:after="0"/>
              <w:rPr>
                <w:sz w:val="18"/>
                <w:szCs w:val="18"/>
                <w:color w:val="auto"/>
              </w:rPr>
            </w:pPr>
          </w:p>
        </w:tc>
        <w:tc>
          <w:tcPr>
            <w:tcW w:w="7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319"/>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SUSAN CAMERON</w:t>
            </w:r>
          </w:p>
        </w:tc>
        <w:tc>
          <w:tcPr>
            <w:tcW w:w="24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184"/>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Susan Cameron</w:t>
            </w:r>
          </w:p>
        </w:tc>
        <w:tc>
          <w:tcPr>
            <w:tcW w:w="240" w:type="dxa"/>
            <w:vAlign w:val="bottom"/>
          </w:tcPr>
          <w:p>
            <w:pPr>
              <w:spacing w:after="0"/>
              <w:rPr>
                <w:sz w:val="15"/>
                <w:szCs w:val="15"/>
                <w:color w:val="auto"/>
              </w:rPr>
            </w:pPr>
          </w:p>
        </w:tc>
        <w:tc>
          <w:tcPr>
            <w:tcW w:w="7180" w:type="dxa"/>
            <w:vAlign w:val="bottom"/>
          </w:tcPr>
          <w:p>
            <w:pPr>
              <w:spacing w:after="0"/>
              <w:rPr>
                <w:sz w:val="15"/>
                <w:szCs w:val="15"/>
                <w:color w:val="auto"/>
              </w:rPr>
            </w:pPr>
          </w:p>
        </w:tc>
      </w:tr>
      <w:tr>
        <w:trPr>
          <w:trHeight w:val="336"/>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GREG CREED</w:t>
            </w:r>
          </w:p>
        </w:tc>
        <w:tc>
          <w:tcPr>
            <w:tcW w:w="24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184"/>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Greg Creed</w:t>
            </w:r>
          </w:p>
        </w:tc>
        <w:tc>
          <w:tcPr>
            <w:tcW w:w="240" w:type="dxa"/>
            <w:vAlign w:val="bottom"/>
          </w:tcPr>
          <w:p>
            <w:pPr>
              <w:spacing w:after="0"/>
              <w:rPr>
                <w:sz w:val="15"/>
                <w:szCs w:val="15"/>
                <w:color w:val="auto"/>
              </w:rPr>
            </w:pPr>
          </w:p>
        </w:tc>
        <w:tc>
          <w:tcPr>
            <w:tcW w:w="7180" w:type="dxa"/>
            <w:vAlign w:val="bottom"/>
          </w:tcPr>
          <w:p>
            <w:pPr>
              <w:spacing w:after="0"/>
              <w:rPr>
                <w:sz w:val="15"/>
                <w:szCs w:val="15"/>
                <w:color w:val="auto"/>
              </w:rPr>
            </w:pPr>
          </w:p>
        </w:tc>
      </w:tr>
      <w:tr>
        <w:trPr>
          <w:trHeight w:val="336"/>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DANIEL J. HEINRICH</w:t>
            </w:r>
          </w:p>
        </w:tc>
        <w:tc>
          <w:tcPr>
            <w:tcW w:w="24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184"/>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Daniel J. Heinrich</w:t>
            </w:r>
          </w:p>
        </w:tc>
        <w:tc>
          <w:tcPr>
            <w:tcW w:w="240" w:type="dxa"/>
            <w:vAlign w:val="bottom"/>
          </w:tcPr>
          <w:p>
            <w:pPr>
              <w:spacing w:after="0"/>
              <w:rPr>
                <w:sz w:val="15"/>
                <w:szCs w:val="15"/>
                <w:color w:val="auto"/>
              </w:rPr>
            </w:pPr>
          </w:p>
        </w:tc>
        <w:tc>
          <w:tcPr>
            <w:tcW w:w="7180" w:type="dxa"/>
            <w:vAlign w:val="bottom"/>
          </w:tcPr>
          <w:p>
            <w:pPr>
              <w:spacing w:after="0"/>
              <w:rPr>
                <w:sz w:val="15"/>
                <w:szCs w:val="15"/>
                <w:color w:val="auto"/>
              </w:rPr>
            </w:pPr>
          </w:p>
        </w:tc>
      </w:tr>
      <w:tr>
        <w:trPr>
          <w:trHeight w:val="336"/>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BRIDGETTE P. HELLER</w:t>
            </w:r>
          </w:p>
        </w:tc>
        <w:tc>
          <w:tcPr>
            <w:tcW w:w="24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184"/>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Bridgette P. Heller</w:t>
            </w:r>
          </w:p>
        </w:tc>
        <w:tc>
          <w:tcPr>
            <w:tcW w:w="240" w:type="dxa"/>
            <w:vAlign w:val="bottom"/>
          </w:tcPr>
          <w:p>
            <w:pPr>
              <w:spacing w:after="0"/>
              <w:rPr>
                <w:sz w:val="15"/>
                <w:szCs w:val="15"/>
                <w:color w:val="auto"/>
              </w:rPr>
            </w:pPr>
          </w:p>
        </w:tc>
        <w:tc>
          <w:tcPr>
            <w:tcW w:w="7180" w:type="dxa"/>
            <w:vAlign w:val="bottom"/>
          </w:tcPr>
          <w:p>
            <w:pPr>
              <w:spacing w:after="0"/>
              <w:rPr>
                <w:sz w:val="15"/>
                <w:szCs w:val="15"/>
                <w:color w:val="auto"/>
              </w:rPr>
            </w:pPr>
          </w:p>
        </w:tc>
      </w:tr>
      <w:tr>
        <w:trPr>
          <w:trHeight w:val="336"/>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PAUL HILAL</w:t>
            </w:r>
          </w:p>
        </w:tc>
        <w:tc>
          <w:tcPr>
            <w:tcW w:w="24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Chairman, Director</w:t>
            </w:r>
          </w:p>
        </w:tc>
      </w:tr>
      <w:tr>
        <w:trPr>
          <w:trHeight w:val="184"/>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Paul Hilal</w:t>
            </w:r>
          </w:p>
        </w:tc>
        <w:tc>
          <w:tcPr>
            <w:tcW w:w="240" w:type="dxa"/>
            <w:vAlign w:val="bottom"/>
          </w:tcPr>
          <w:p>
            <w:pPr>
              <w:spacing w:after="0"/>
              <w:rPr>
                <w:sz w:val="15"/>
                <w:szCs w:val="15"/>
                <w:color w:val="auto"/>
              </w:rPr>
            </w:pPr>
          </w:p>
        </w:tc>
        <w:tc>
          <w:tcPr>
            <w:tcW w:w="7180" w:type="dxa"/>
            <w:vAlign w:val="bottom"/>
          </w:tcPr>
          <w:p>
            <w:pPr>
              <w:spacing w:after="0"/>
              <w:rPr>
                <w:sz w:val="15"/>
                <w:szCs w:val="15"/>
                <w:color w:val="auto"/>
              </w:rPr>
            </w:pPr>
          </w:p>
        </w:tc>
      </w:tr>
      <w:tr>
        <w:trPr>
          <w:trHeight w:val="336"/>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KENNETH M. KEVERIAN</w:t>
            </w:r>
          </w:p>
        </w:tc>
        <w:tc>
          <w:tcPr>
            <w:tcW w:w="24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184"/>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Kenneth M. Keverian</w:t>
            </w:r>
          </w:p>
        </w:tc>
        <w:tc>
          <w:tcPr>
            <w:tcW w:w="240" w:type="dxa"/>
            <w:vAlign w:val="bottom"/>
          </w:tcPr>
          <w:p>
            <w:pPr>
              <w:spacing w:after="0"/>
              <w:rPr>
                <w:sz w:val="15"/>
                <w:szCs w:val="15"/>
                <w:color w:val="auto"/>
              </w:rPr>
            </w:pPr>
          </w:p>
        </w:tc>
        <w:tc>
          <w:tcPr>
            <w:tcW w:w="7180" w:type="dxa"/>
            <w:vAlign w:val="bottom"/>
          </w:tcPr>
          <w:p>
            <w:pPr>
              <w:spacing w:after="0"/>
              <w:rPr>
                <w:sz w:val="15"/>
                <w:szCs w:val="15"/>
                <w:color w:val="auto"/>
              </w:rPr>
            </w:pPr>
          </w:p>
        </w:tc>
      </w:tr>
      <w:tr>
        <w:trPr>
          <w:trHeight w:val="336"/>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KAREN KING</w:t>
            </w:r>
          </w:p>
        </w:tc>
        <w:tc>
          <w:tcPr>
            <w:tcW w:w="24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184"/>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Karen King</w:t>
            </w:r>
          </w:p>
        </w:tc>
        <w:tc>
          <w:tcPr>
            <w:tcW w:w="240" w:type="dxa"/>
            <w:vAlign w:val="bottom"/>
          </w:tcPr>
          <w:p>
            <w:pPr>
              <w:spacing w:after="0"/>
              <w:rPr>
                <w:sz w:val="15"/>
                <w:szCs w:val="15"/>
                <w:color w:val="auto"/>
              </w:rPr>
            </w:pPr>
          </w:p>
        </w:tc>
        <w:tc>
          <w:tcPr>
            <w:tcW w:w="7180" w:type="dxa"/>
            <w:vAlign w:val="bottom"/>
          </w:tcPr>
          <w:p>
            <w:pPr>
              <w:spacing w:after="0"/>
              <w:rPr>
                <w:sz w:val="15"/>
                <w:szCs w:val="15"/>
                <w:color w:val="auto"/>
              </w:rPr>
            </w:pPr>
          </w:p>
        </w:tc>
      </w:tr>
      <w:tr>
        <w:trPr>
          <w:trHeight w:val="336"/>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PATRICIA E. LOPEZ</w:t>
            </w:r>
          </w:p>
        </w:tc>
        <w:tc>
          <w:tcPr>
            <w:tcW w:w="24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184"/>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Patricia E. Lopez</w:t>
            </w:r>
          </w:p>
        </w:tc>
        <w:tc>
          <w:tcPr>
            <w:tcW w:w="240" w:type="dxa"/>
            <w:vAlign w:val="bottom"/>
          </w:tcPr>
          <w:p>
            <w:pPr>
              <w:spacing w:after="0"/>
              <w:rPr>
                <w:sz w:val="15"/>
                <w:szCs w:val="15"/>
                <w:color w:val="auto"/>
              </w:rPr>
            </w:pPr>
          </w:p>
        </w:tc>
        <w:tc>
          <w:tcPr>
            <w:tcW w:w="7180" w:type="dxa"/>
            <w:vAlign w:val="bottom"/>
          </w:tcPr>
          <w:p>
            <w:pPr>
              <w:spacing w:after="0"/>
              <w:rPr>
                <w:sz w:val="15"/>
                <w:szCs w:val="15"/>
                <w:color w:val="auto"/>
              </w:rPr>
            </w:pPr>
          </w:p>
        </w:tc>
      </w:tr>
      <w:tr>
        <w:trPr>
          <w:trHeight w:val="336"/>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STEPHEN I. SADOVE</w:t>
            </w:r>
          </w:p>
        </w:tc>
        <w:tc>
          <w:tcPr>
            <w:tcW w:w="24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Director</w:t>
            </w:r>
          </w:p>
        </w:tc>
      </w:tr>
      <w:tr>
        <w:trPr>
          <w:trHeight w:val="184"/>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Stephen I. Sadove</w:t>
            </w:r>
          </w:p>
        </w:tc>
        <w:tc>
          <w:tcPr>
            <w:tcW w:w="240" w:type="dxa"/>
            <w:vAlign w:val="bottom"/>
          </w:tcPr>
          <w:p>
            <w:pPr>
              <w:spacing w:after="0"/>
              <w:rPr>
                <w:sz w:val="15"/>
                <w:szCs w:val="15"/>
                <w:color w:val="auto"/>
              </w:rPr>
            </w:pPr>
          </w:p>
        </w:tc>
        <w:tc>
          <w:tcPr>
            <w:tcW w:w="7180" w:type="dxa"/>
            <w:vAlign w:val="bottom"/>
          </w:tcPr>
          <w:p>
            <w:pPr>
              <w:spacing w:after="0"/>
              <w:rPr>
                <w:sz w:val="15"/>
                <w:szCs w:val="15"/>
                <w:color w:val="auto"/>
              </w:rPr>
            </w:pPr>
          </w:p>
        </w:tc>
      </w:tr>
      <w:tr>
        <w:trPr>
          <w:trHeight w:val="336"/>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ART WINKLEBLACK</w:t>
            </w:r>
          </w:p>
        </w:tc>
        <w:tc>
          <w:tcPr>
            <w:tcW w:w="24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184"/>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Art Winkleblack</w:t>
            </w:r>
          </w:p>
        </w:tc>
        <w:tc>
          <w:tcPr>
            <w:tcW w:w="240" w:type="dxa"/>
            <w:vAlign w:val="bottom"/>
          </w:tcPr>
          <w:p>
            <w:pPr>
              <w:spacing w:after="0"/>
              <w:rPr>
                <w:sz w:val="15"/>
                <w:szCs w:val="15"/>
                <w:color w:val="auto"/>
              </w:rPr>
            </w:pPr>
          </w:p>
        </w:tc>
        <w:tc>
          <w:tcPr>
            <w:tcW w:w="7180" w:type="dxa"/>
            <w:vAlign w:val="bottom"/>
          </w:tcPr>
          <w:p>
            <w:pPr>
              <w:spacing w:after="0"/>
              <w:rPr>
                <w:sz w:val="15"/>
                <w:szCs w:val="15"/>
                <w:color w:val="auto"/>
              </w:rPr>
            </w:pPr>
          </w:p>
        </w:tc>
      </w:tr>
      <w:tr>
        <w:trPr>
          <w:trHeight w:val="566"/>
        </w:trPr>
        <w:tc>
          <w:tcPr>
            <w:tcW w:w="3820" w:type="dxa"/>
            <w:vAlign w:val="bottom"/>
          </w:tcPr>
          <w:p>
            <w:pPr>
              <w:spacing w:after="0"/>
              <w:rPr>
                <w:sz w:val="24"/>
                <w:szCs w:val="24"/>
                <w:color w:val="auto"/>
              </w:rPr>
            </w:pPr>
          </w:p>
        </w:tc>
        <w:tc>
          <w:tcPr>
            <w:tcW w:w="7420" w:type="dxa"/>
            <w:vAlign w:val="bottom"/>
            <w:gridSpan w:val="2"/>
          </w:tcPr>
          <w:p>
            <w:pPr>
              <w:jc w:val="right"/>
              <w:ind w:right="5431"/>
              <w:spacing w:after="0"/>
              <w:rPr>
                <w:sz w:val="20"/>
                <w:szCs w:val="20"/>
                <w:color w:val="auto"/>
              </w:rPr>
            </w:pPr>
            <w:r>
              <w:rPr>
                <w:rFonts w:ascii="Times New Roman" w:cs="Times New Roman" w:eastAsia="Times New Roman" w:hAnsi="Times New Roman"/>
                <w:sz w:val="18"/>
                <w:szCs w:val="18"/>
                <w:color w:val="auto"/>
              </w:rPr>
              <w:t>50</w:t>
            </w:r>
          </w:p>
        </w:tc>
      </w:tr>
      <w:tr>
        <w:trPr>
          <w:trHeight w:val="466"/>
        </w:trPr>
        <w:tc>
          <w:tcPr>
            <w:tcW w:w="38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left="1660"/>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ind w:left="16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 AND SCHEDULE</w:t>
      </w:r>
    </w:p>
    <w:p>
      <w:pPr>
        <w:spacing w:after="0" w:line="337" w:lineRule="exact"/>
        <w:rPr>
          <w:sz w:val="20"/>
          <w:szCs w:val="20"/>
          <w:color w:val="auto"/>
        </w:rPr>
      </w:pPr>
    </w:p>
    <w:p>
      <w:pPr>
        <w:ind w:left="80" w:right="2280"/>
        <w:spacing w:after="0" w:line="273" w:lineRule="auto"/>
        <w:rPr>
          <w:sz w:val="20"/>
          <w:szCs w:val="20"/>
          <w:color w:val="auto"/>
        </w:rPr>
      </w:pPr>
      <w:r>
        <w:rPr>
          <w:rFonts w:ascii="Times New Roman" w:cs="Times New Roman" w:eastAsia="Times New Roman" w:hAnsi="Times New Roman"/>
          <w:sz w:val="18"/>
          <w:szCs w:val="18"/>
          <w:u w:val="single" w:color="auto"/>
          <w:color w:val="0000FF"/>
        </w:rPr>
        <w:t>Report of Deloitte &amp; Touche LLP, Independent Registered Public Accounting Firm (PCA</w:t>
      </w:r>
      <w:r>
        <w:rPr>
          <w:rFonts w:ascii="Times New Roman" w:cs="Times New Roman" w:eastAsia="Times New Roman" w:hAnsi="Times New Roman"/>
          <w:sz w:val="18"/>
          <w:szCs w:val="18"/>
          <w:u w:val="single" w:color="auto"/>
          <w:color w:val="0E32E1"/>
        </w:rPr>
        <w:t>OB ID 34)</w:t>
      </w:r>
      <w:r>
        <w:rPr>
          <w:rFonts w:ascii="Times New Roman" w:cs="Times New Roman" w:eastAsia="Times New Roman" w:hAnsi="Times New Roman"/>
          <w:sz w:val="18"/>
          <w:szCs w:val="18"/>
          <w:u w:val="single" w:color="auto"/>
          <w:color w:val="0000FF"/>
        </w:rPr>
        <w:t xml:space="preserve"> Report of KPMG LLP, Independent Registered Public Accounting Firm (PCA</w:t>
      </w:r>
      <w:r>
        <w:rPr>
          <w:rFonts w:ascii="Times New Roman" w:cs="Times New Roman" w:eastAsia="Times New Roman" w:hAnsi="Times New Roman"/>
          <w:sz w:val="18"/>
          <w:szCs w:val="18"/>
          <w:u w:val="single" w:color="auto"/>
          <w:color w:val="0E32E1"/>
        </w:rPr>
        <w:t>OB ID 185)</w:t>
      </w:r>
      <w:r>
        <w:rPr>
          <w:rFonts w:ascii="Times New Roman" w:cs="Times New Roman" w:eastAsia="Times New Roman" w:hAnsi="Times New Roman"/>
          <w:sz w:val="18"/>
          <w:szCs w:val="18"/>
          <w:u w:val="single" w:color="auto"/>
          <w:color w:val="0000FF"/>
        </w:rPr>
        <w:t xml:space="preserve"> Consolidated Balance Sheets as of September 30, 2022 and October 1, 2021</w:t>
      </w:r>
    </w:p>
    <w:p>
      <w:pPr>
        <w:spacing w:after="0" w:line="1" w:lineRule="exact"/>
        <w:rPr>
          <w:sz w:val="20"/>
          <w:szCs w:val="20"/>
          <w:color w:val="auto"/>
        </w:rPr>
      </w:pPr>
    </w:p>
    <w:p>
      <w:pPr>
        <w:ind w:left="80" w:right="720"/>
        <w:spacing w:after="0" w:line="234" w:lineRule="auto"/>
        <w:rPr>
          <w:sz w:val="20"/>
          <w:szCs w:val="20"/>
          <w:color w:val="auto"/>
        </w:rPr>
      </w:pPr>
      <w:r>
        <w:rPr>
          <w:rFonts w:ascii="Times New Roman" w:cs="Times New Roman" w:eastAsia="Times New Roman" w:hAnsi="Times New Roman"/>
          <w:sz w:val="18"/>
          <w:szCs w:val="18"/>
          <w:u w:val="single" w:color="auto"/>
          <w:color w:val="0000FF"/>
        </w:rPr>
        <w:t>Consolidated Statements of Income (Loss) for the fiscal years ended September 30, 2022, October 1, 2021 and October 2, 2020</w:t>
      </w:r>
    </w:p>
    <w:p>
      <w:pPr>
        <w:spacing w:after="0" w:line="10" w:lineRule="exact"/>
        <w:rPr>
          <w:sz w:val="20"/>
          <w:szCs w:val="20"/>
          <w:color w:val="auto"/>
        </w:rPr>
      </w:pPr>
    </w:p>
    <w:p>
      <w:pPr>
        <w:ind w:left="80" w:right="660"/>
        <w:spacing w:after="0" w:line="237" w:lineRule="auto"/>
        <w:rPr>
          <w:sz w:val="20"/>
          <w:szCs w:val="20"/>
          <w:color w:val="auto"/>
        </w:rPr>
      </w:pPr>
      <w:r>
        <w:rPr>
          <w:rFonts w:ascii="Times New Roman" w:cs="Times New Roman" w:eastAsia="Times New Roman" w:hAnsi="Times New Roman"/>
          <w:sz w:val="18"/>
          <w:szCs w:val="18"/>
          <w:u w:val="single" w:color="auto"/>
          <w:color w:val="0000FF"/>
        </w:rPr>
        <w:t>Consolidated Statements of Comprehensive Income (Loss) for the fiscal years ended September 30, 2022, October 1, 2021 and October 2, 2020</w:t>
      </w:r>
    </w:p>
    <w:p>
      <w:pPr>
        <w:spacing w:after="0" w:line="10" w:lineRule="exact"/>
        <w:rPr>
          <w:sz w:val="20"/>
          <w:szCs w:val="20"/>
          <w:color w:val="auto"/>
        </w:rPr>
      </w:pPr>
    </w:p>
    <w:p>
      <w:pPr>
        <w:ind w:left="80" w:right="920"/>
        <w:spacing w:after="0" w:line="237" w:lineRule="auto"/>
        <w:rPr>
          <w:sz w:val="20"/>
          <w:szCs w:val="20"/>
          <w:color w:val="auto"/>
        </w:rPr>
      </w:pPr>
      <w:r>
        <w:rPr>
          <w:rFonts w:ascii="Times New Roman" w:cs="Times New Roman" w:eastAsia="Times New Roman" w:hAnsi="Times New Roman"/>
          <w:sz w:val="18"/>
          <w:szCs w:val="18"/>
          <w:u w:val="single" w:color="auto"/>
          <w:color w:val="0000FF"/>
        </w:rPr>
        <w:t>Consolidated Statements of Cash Flows for the fiscal years ended September 30, 2022, October 1, 2021 and October 2, 2020</w:t>
      </w:r>
    </w:p>
    <w:p>
      <w:pPr>
        <w:spacing w:after="0" w:line="10" w:lineRule="exact"/>
        <w:rPr>
          <w:sz w:val="20"/>
          <w:szCs w:val="20"/>
          <w:color w:val="auto"/>
        </w:rPr>
      </w:pPr>
    </w:p>
    <w:p>
      <w:pPr>
        <w:ind w:left="80" w:right="1080"/>
        <w:spacing w:after="0" w:line="237" w:lineRule="auto"/>
        <w:rPr>
          <w:sz w:val="20"/>
          <w:szCs w:val="20"/>
          <w:color w:val="auto"/>
        </w:rPr>
      </w:pPr>
      <w:r>
        <w:rPr>
          <w:rFonts w:ascii="Times New Roman" w:cs="Times New Roman" w:eastAsia="Times New Roman" w:hAnsi="Times New Roman"/>
          <w:sz w:val="18"/>
          <w:szCs w:val="18"/>
          <w:u w:val="single" w:color="auto"/>
          <w:color w:val="0000FF"/>
        </w:rPr>
        <w:t>Consolidated Statements of Stockholders' Equity for the fiscal years ended September 30, 2022, October 1, 2021 and October 2, 2020</w:t>
      </w:r>
    </w:p>
    <w:p>
      <w:pPr>
        <w:spacing w:after="0" w:line="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Notes to Consolidated Financial Statements</w:t>
      </w:r>
    </w:p>
    <w:p>
      <w:pPr>
        <w:spacing w:after="0" w:line="27" w:lineRule="exact"/>
        <w:rPr>
          <w:sz w:val="20"/>
          <w:szCs w:val="20"/>
          <w:color w:val="auto"/>
        </w:rPr>
      </w:pPr>
    </w:p>
    <w:p>
      <w:pPr>
        <w:ind w:left="80" w:right="760"/>
        <w:spacing w:after="0" w:line="234" w:lineRule="auto"/>
        <w:rPr>
          <w:sz w:val="20"/>
          <w:szCs w:val="20"/>
          <w:color w:val="auto"/>
        </w:rPr>
      </w:pPr>
      <w:r>
        <w:rPr>
          <w:rFonts w:ascii="Times New Roman" w:cs="Times New Roman" w:eastAsia="Times New Roman" w:hAnsi="Times New Roman"/>
          <w:sz w:val="18"/>
          <w:szCs w:val="18"/>
          <w:u w:val="single" w:color="auto"/>
          <w:color w:val="0000FF"/>
        </w:rPr>
        <w:t>Schedule II—Valuation and Qualifying Accounts and Reserves for the fiscal years ended September 30, 2022, October 1, 2021 and October 2,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19685</wp:posOffset>
            </wp:positionV>
            <wp:extent cx="8915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S-2</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S-4</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S-5</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S-6</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S-7</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S-8</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S-9</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S-10</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u w:val="single" w:color="auto"/>
          <w:color w:val="0000FF"/>
        </w:rPr>
        <w:t>S-53</w:t>
      </w:r>
    </w:p>
    <w:p>
      <w:pPr>
        <w:spacing w:after="0" w:line="195" w:lineRule="exact"/>
        <w:rPr>
          <w:sz w:val="20"/>
          <w:szCs w:val="20"/>
          <w:color w:val="auto"/>
        </w:rPr>
      </w:pPr>
    </w:p>
    <w:p>
      <w:pPr>
        <w:sectPr>
          <w:pgSz w:w="11900" w:h="16838" w:orient="portrait"/>
          <w:cols w:equalWidth="0" w:num="2">
            <w:col w:w="9580" w:space="720"/>
            <w:col w:w="860"/>
          </w:cols>
          <w:pgMar w:left="320" w:top="175" w:right="419" w:bottom="1440" w:gutter="0" w:footer="0" w:header="0"/>
        </w:sect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All other schedules are omitted because they are not applicable, not required, or the information required to be set forth therein is included in the consolidated financial statements or in the notes thereto.</w:t>
      </w:r>
    </w:p>
    <w:p>
      <w:pPr>
        <w:spacing w:after="0" w:line="200" w:lineRule="exact"/>
        <w:rPr>
          <w:sz w:val="20"/>
          <w:szCs w:val="20"/>
          <w:color w:val="auto"/>
        </w:rPr>
      </w:pPr>
    </w:p>
    <w:p>
      <w:pPr>
        <w:spacing w:after="0" w:line="3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75" w:right="41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Aramark</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Aramark and subsidiaries (the "Company") as of September 30, 2022 and October 1, 2021, the related consolidated statements of income (loss), comprehensive income, cash flows, and stockholders’ equity for the years then ended, and the related notes and financial statement schedule II (collectively referred to as the "financial statements"). In our opinion, the financial statements present fairly, in all material respects, the financial position of the Company as of September 30, 2022 and October 1, 2021, and the results of its operations and its cash flows for the years then ended in conformity with accounting principles generally accepted in the United States of America.</w:t>
      </w:r>
    </w:p>
    <w:p>
      <w:pPr>
        <w:spacing w:after="0" w:line="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September 30, 2022, based on criteria established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November 22, 2022, expressed an unqualified opinion on the Company's internal control over financial reporting.</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0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44" w:lineRule="exact"/>
        <w:rPr>
          <w:sz w:val="20"/>
          <w:szCs w:val="20"/>
          <w:color w:val="auto"/>
        </w:rPr>
      </w:pPr>
    </w:p>
    <w:p>
      <w:pPr>
        <w:ind w:right="5220"/>
        <w:spacing w:after="0" w:line="354" w:lineRule="auto"/>
        <w:rPr>
          <w:sz w:val="20"/>
          <w:szCs w:val="20"/>
          <w:color w:val="auto"/>
        </w:rPr>
      </w:pPr>
      <w:r>
        <w:rPr>
          <w:rFonts w:ascii="Times New Roman" w:cs="Times New Roman" w:eastAsia="Times New Roman" w:hAnsi="Times New Roman"/>
          <w:sz w:val="18"/>
          <w:szCs w:val="18"/>
          <w:b w:val="1"/>
          <w:bCs w:val="1"/>
          <w:color w:val="auto"/>
        </w:rPr>
        <w:t xml:space="preserve">Goodwill - FSS US Reporting Unit - Refer to Note 4 to the financial statements </w:t>
      </w:r>
      <w:r>
        <w:rPr>
          <w:rFonts w:ascii="Times New Roman" w:cs="Times New Roman" w:eastAsia="Times New Roman" w:hAnsi="Times New Roman"/>
          <w:sz w:val="18"/>
          <w:szCs w:val="18"/>
          <w:i w:val="1"/>
          <w:iCs w:val="1"/>
          <w:color w:val="auto"/>
        </w:rPr>
        <w:t>Critical Audit Matter Description</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evaluation of goodwill for impairment involves the comparison of the estimated fair value of each reporting unit to its carrying amount annually in the fourth quarter of each year as of the end of the fiscal month of August or more frequently if a change in circumstances or the occurrence of events indicates that potential impairment exists. During the fourth quarter, the Company performed a quantitative test to determine the fair value of each reporting unit using discounted cash flow method or market method, which required management to make assumptions and estimates that are subject to risk and uncertainty related to future growth rates, margin projections, timing of future cash flows, the discount rate, and the determination of market multiples. Changes in these assumptions or estimates may impact the impairment analysis and could reduce the underlying cash flows used to estimate fair values and result in an impairment charge. The fair value of the FSS United States ("FSS US") reporting unit exceeded its carrying amount, and therefore, the Company determined that its goodwill was not impaired.</w:t>
      </w:r>
    </w:p>
    <w:p>
      <w:pPr>
        <w:spacing w:after="0" w:line="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identified the valuation of goodwill for the FSS US reporting unit as a critical audit matter because of the significant judgments made by management to estimate its fair value. Auditing the discounted cash flow calculations for this reporting unit involved a high degree of auditor judgment and an increased effort, which included the involvement of our fair value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specialists, as it related to evaluating management’s assumptions and estimates related to future growth rates, margin projections, timing of future cash flows, the discount rate and the determination of market multiples.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assumptions and estimates of future growth rates, margin projections, timing of future cash flows, the discount rate and the determination of market multiples used by management to estimate the fair value of the FSS US reporting unit included the following, among others:</w:t>
      </w:r>
    </w:p>
    <w:p>
      <w:pPr>
        <w:spacing w:after="0" w:line="40" w:lineRule="exact"/>
        <w:rPr>
          <w:sz w:val="20"/>
          <w:szCs w:val="20"/>
          <w:color w:val="auto"/>
        </w:rPr>
      </w:pPr>
    </w:p>
    <w:p>
      <w:pPr>
        <w:jc w:val="both"/>
        <w:ind w:left="900" w:hanging="568"/>
        <w:spacing w:after="0" w:line="266" w:lineRule="auto"/>
        <w:tabs>
          <w:tab w:leader="none" w:pos="8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internal controls over management’s goodwill impairment evaluation, including those over the determination of the fair value of the FSS US reporting unit, including controls related to management’s assumptions and estimates of future growth rates, margin projections, timing of future cash flows, the discount rate and the determination of market multiples.</w:t>
      </w:r>
    </w:p>
    <w:p>
      <w:pPr>
        <w:spacing w:after="0" w:line="40" w:lineRule="exact"/>
        <w:rPr>
          <w:rFonts w:ascii="Times New Roman" w:cs="Times New Roman" w:eastAsia="Times New Roman" w:hAnsi="Times New Roman"/>
          <w:sz w:val="18"/>
          <w:szCs w:val="18"/>
          <w:color w:val="auto"/>
        </w:rPr>
      </w:pPr>
    </w:p>
    <w:p>
      <w:pPr>
        <w:ind w:left="900" w:hanging="568"/>
        <w:spacing w:after="0" w:line="282" w:lineRule="auto"/>
        <w:tabs>
          <w:tab w:leader="none" w:pos="8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future FSS US reporting unit growth rates, margin projections and timing of future cash flows by comparing actual results to management’s historical forecasts.</w:t>
      </w:r>
    </w:p>
    <w:p>
      <w:pPr>
        <w:spacing w:after="0" w:line="40" w:lineRule="exact"/>
        <w:rPr>
          <w:rFonts w:ascii="Times New Roman" w:cs="Times New Roman" w:eastAsia="Times New Roman" w:hAnsi="Times New Roman"/>
          <w:sz w:val="18"/>
          <w:szCs w:val="18"/>
          <w:color w:val="auto"/>
        </w:rPr>
      </w:pPr>
    </w:p>
    <w:p>
      <w:pPr>
        <w:ind w:left="900" w:hanging="568"/>
        <w:spacing w:after="0" w:line="282" w:lineRule="auto"/>
        <w:tabs>
          <w:tab w:leader="none" w:pos="8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FSS US reporting unit growth rates, margin projections and timing of future cash flows by comparing the forecasts to:</w:t>
      </w:r>
    </w:p>
    <w:p>
      <w:pPr>
        <w:spacing w:after="0" w:line="40" w:lineRule="exact"/>
        <w:rPr>
          <w:rFonts w:ascii="Times New Roman" w:cs="Times New Roman" w:eastAsia="Times New Roman" w:hAnsi="Times New Roman"/>
          <w:sz w:val="18"/>
          <w:szCs w:val="18"/>
          <w:color w:val="auto"/>
        </w:rPr>
      </w:pPr>
    </w:p>
    <w:p>
      <w:pPr>
        <w:ind w:left="1540" w:hanging="560"/>
        <w:spacing w:after="0"/>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results.</w:t>
      </w:r>
    </w:p>
    <w:p>
      <w:pPr>
        <w:spacing w:after="0" w:line="90" w:lineRule="exact"/>
        <w:rPr>
          <w:rFonts w:ascii="Times New Roman" w:cs="Times New Roman" w:eastAsia="Times New Roman" w:hAnsi="Times New Roman"/>
          <w:sz w:val="18"/>
          <w:szCs w:val="18"/>
          <w:color w:val="auto"/>
        </w:rPr>
      </w:pPr>
    </w:p>
    <w:p>
      <w:pPr>
        <w:ind w:left="1540" w:hanging="560"/>
        <w:spacing w:after="0"/>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communications to management and the Board of Directors.</w:t>
      </w:r>
    </w:p>
    <w:p>
      <w:pPr>
        <w:spacing w:after="0" w:line="103" w:lineRule="exact"/>
        <w:rPr>
          <w:rFonts w:ascii="Times New Roman" w:cs="Times New Roman" w:eastAsia="Times New Roman" w:hAnsi="Times New Roman"/>
          <w:sz w:val="18"/>
          <w:szCs w:val="18"/>
          <w:color w:val="auto"/>
        </w:rPr>
      </w:pPr>
    </w:p>
    <w:p>
      <w:pPr>
        <w:ind w:left="1540" w:hanging="560"/>
        <w:spacing w:after="0"/>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Forecasted information included in analyst and industry reports for the Company and certain of its peer companies.</w:t>
      </w:r>
    </w:p>
    <w:p>
      <w:pPr>
        <w:spacing w:after="0" w:line="103" w:lineRule="exact"/>
        <w:rPr>
          <w:rFonts w:ascii="Times New Roman" w:cs="Times New Roman" w:eastAsia="Times New Roman" w:hAnsi="Times New Roman"/>
          <w:sz w:val="18"/>
          <w:szCs w:val="18"/>
          <w:color w:val="auto"/>
        </w:rPr>
      </w:pPr>
    </w:p>
    <w:p>
      <w:pPr>
        <w:jc w:val="both"/>
        <w:ind w:left="900" w:hanging="568"/>
        <w:spacing w:after="0" w:line="266" w:lineRule="auto"/>
        <w:tabs>
          <w:tab w:leader="none" w:pos="8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(1) the valuation methodology used and (2) the projections of future growth rates, the discount rate and the determination of market multiples by testing the underlying source information, and by developing a range of independent estimates and comparing those to the rate selected by management.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22, 2022</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loss, comprehensive loss, cash flows, and stockholders’ equity of Aramark and subsidiaries (the Company) for the fiscal year ended October 2, 2020 and the related notes and financial statement schedule II (collectively, the consolidated financial statements). In our opinion, the consolidated financial statements present fairly, in all material respects, the results of operations of the Company and its cash flows for the year ended October 2, 2020, in conformity with U.S. generally accepted accounting principles.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2002 to 2020.</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24,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 AND OCTOBER 1, 2021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20" w:type="dxa"/>
            <w:vAlign w:val="bottom"/>
          </w:tcPr>
          <w:p>
            <w:pPr>
              <w:spacing w:after="0"/>
              <w:rPr>
                <w:sz w:val="16"/>
                <w:szCs w:val="16"/>
                <w:color w:val="auto"/>
              </w:rPr>
            </w:pPr>
          </w:p>
        </w:tc>
        <w:tc>
          <w:tcPr>
            <w:tcW w:w="144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October 1, 2021</w:t>
            </w:r>
          </w:p>
        </w:tc>
      </w:tr>
      <w:tr>
        <w:trPr>
          <w:trHeight w:val="23"/>
        </w:trPr>
        <w:tc>
          <w:tcPr>
            <w:tcW w:w="7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0"/>
        </w:trPr>
        <w:tc>
          <w:tcPr>
            <w:tcW w:w="7820" w:type="dxa"/>
            <w:vAlign w:val="bottom"/>
            <w:shd w:val="clear" w:color="auto" w:fill="CCEEFF"/>
          </w:tcPr>
          <w:p>
            <w:pPr>
              <w:ind w:left="35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532,591</w:t>
            </w:r>
          </w:p>
        </w:tc>
      </w:tr>
      <w:tr>
        <w:trPr>
          <w:trHeight w:val="230"/>
        </w:trPr>
        <w:tc>
          <w:tcPr>
            <w:tcW w:w="7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Receivables (less allowances: $56,388 and $79,644)</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2,147,957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1,748,601</w:t>
            </w:r>
          </w:p>
        </w:tc>
      </w:tr>
      <w:tr>
        <w:trPr>
          <w:trHeight w:val="229"/>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552,386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412,676</w:t>
            </w:r>
          </w:p>
        </w:tc>
      </w:tr>
      <w:tr>
        <w:trPr>
          <w:trHeight w:val="229"/>
        </w:trPr>
        <w:tc>
          <w:tcPr>
            <w:tcW w:w="78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262,195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204,987</w:t>
            </w:r>
          </w:p>
        </w:tc>
      </w:tr>
      <w:tr>
        <w:trPr>
          <w:trHeight w:val="223"/>
        </w:trPr>
        <w:tc>
          <w:tcPr>
            <w:tcW w:w="78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3,291,990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2,898,855</w:t>
            </w:r>
          </w:p>
        </w:tc>
      </w:tr>
      <w:tr>
        <w:trPr>
          <w:trHeight w:val="20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Land, buildings and improvements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1,035,359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983,540</w:t>
            </w:r>
          </w:p>
        </w:tc>
      </w:tr>
      <w:tr>
        <w:trPr>
          <w:trHeight w:val="229"/>
        </w:trPr>
        <w:tc>
          <w:tcPr>
            <w:tcW w:w="78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Service equipment and fixtures</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4,481,711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4,355,699</w:t>
            </w:r>
          </w:p>
        </w:tc>
      </w:tr>
      <w:tr>
        <w:trPr>
          <w:trHeight w:val="223"/>
        </w:trPr>
        <w:tc>
          <w:tcPr>
            <w:tcW w:w="7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5,517,070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5,339,239</w:t>
            </w:r>
          </w:p>
        </w:tc>
      </w:tr>
      <w:tr>
        <w:trPr>
          <w:trHeight w:val="229"/>
        </w:trPr>
        <w:tc>
          <w:tcPr>
            <w:tcW w:w="78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Less - Accumulated depreciation</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(3,485,025)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(3,300,845)</w:t>
            </w:r>
          </w:p>
        </w:tc>
      </w:tr>
      <w:tr>
        <w:trPr>
          <w:trHeight w:val="223"/>
        </w:trPr>
        <w:tc>
          <w:tcPr>
            <w:tcW w:w="78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2,032,045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2,038,394</w:t>
            </w: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5,515,124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5,487,297</w:t>
            </w: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2,113,726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2,028,622</w:t>
            </w:r>
          </w:p>
        </w:tc>
      </w:tr>
      <w:tr>
        <w:trPr>
          <w:trHeight w:val="22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592,145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587,854</w:t>
            </w: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1,537,406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1,335,142</w:t>
            </w:r>
          </w:p>
        </w:tc>
      </w:tr>
      <w:tr>
        <w:trPr>
          <w:trHeight w:val="223"/>
        </w:trPr>
        <w:tc>
          <w:tcPr>
            <w:tcW w:w="78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15,082,436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14,376,164</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6"/>
        </w:trPr>
        <w:tc>
          <w:tcPr>
            <w:tcW w:w="7820" w:type="dxa"/>
            <w:vAlign w:val="bottom"/>
            <w:shd w:val="clear" w:color="auto" w:fill="CCEEFF"/>
          </w:tcPr>
          <w:p>
            <w:pPr>
              <w:ind w:left="196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Current maturities of long-term borrowings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58,850</w:t>
            </w:r>
          </w:p>
        </w:tc>
      </w:tr>
      <w:tr>
        <w:trPr>
          <w:trHeight w:val="230"/>
        </w:trPr>
        <w:tc>
          <w:tcPr>
            <w:tcW w:w="7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67,280</w:t>
            </w:r>
          </w:p>
        </w:tc>
      </w:tr>
      <w:tr>
        <w:trPr>
          <w:trHeight w:val="229"/>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1,322,936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919,090</w:t>
            </w:r>
          </w:p>
        </w:tc>
      </w:tr>
      <w:tr>
        <w:trPr>
          <w:trHeight w:val="230"/>
        </w:trPr>
        <w:tc>
          <w:tcPr>
            <w:tcW w:w="7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656,974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677,185</w:t>
            </w:r>
          </w:p>
        </w:tc>
      </w:tr>
      <w:tr>
        <w:trPr>
          <w:trHeight w:val="230"/>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1,172,071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1,135,028</w:t>
            </w:r>
          </w:p>
        </w:tc>
      </w:tr>
      <w:tr>
        <w:trPr>
          <w:trHeight w:val="223"/>
        </w:trPr>
        <w:tc>
          <w:tcPr>
            <w:tcW w:w="782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3,285,886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2,857,433</w:t>
            </w: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Borrowings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7,345,860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7,393,417</w:t>
            </w: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314,378</w:t>
            </w: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 and Other Noncurrent Liabilities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1,106,587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1,079,014</w:t>
            </w: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14)</w:t>
            </w: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9,050</w:t>
            </w: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198"/>
        </w:trPr>
        <w:tc>
          <w:tcPr>
            <w:tcW w:w="7820" w:type="dxa"/>
            <w:vAlign w:val="bottom"/>
            <w:shd w:val="clear" w:color="auto" w:fill="CCEEFF"/>
          </w:tcPr>
          <w:p>
            <w:pPr>
              <w:ind w:left="460"/>
              <w:spacing w:after="0" w:line="198" w:lineRule="exact"/>
              <w:rPr>
                <w:sz w:val="20"/>
                <w:szCs w:val="20"/>
                <w:color w:val="auto"/>
              </w:rPr>
            </w:pPr>
            <w:r>
              <w:rPr>
                <w:rFonts w:ascii="Times New Roman" w:cs="Times New Roman" w:eastAsia="Times New Roman" w:hAnsi="Times New Roman"/>
                <w:sz w:val="18"/>
                <w:szCs w:val="18"/>
                <w:color w:val="auto"/>
              </w:rPr>
              <w:t>Common stock, par value $0.01 (authorized: 600,000,000 shares; issued: 297,555,924 shares and</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48"/>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294,329,180 shares; and outstanding: 258,728,942 shares and 255,998,119 shares)</w:t>
            </w: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w:t>
            </w:r>
          </w:p>
        </w:tc>
      </w:tr>
      <w:tr>
        <w:trPr>
          <w:trHeight w:val="230"/>
        </w:trPr>
        <w:tc>
          <w:tcPr>
            <w:tcW w:w="7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Capital surplus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3,681,966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3,533,054</w:t>
            </w:r>
          </w:p>
        </w:tc>
      </w:tr>
      <w:tr>
        <w:trPr>
          <w:trHeight w:val="230"/>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406,784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327,557</w:t>
            </w:r>
          </w:p>
        </w:tc>
      </w:tr>
      <w:tr>
        <w:trPr>
          <w:trHeight w:val="229"/>
        </w:trPr>
        <w:tc>
          <w:tcPr>
            <w:tcW w:w="7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(208,011)</w:t>
            </w:r>
          </w:p>
        </w:tc>
      </w:tr>
      <w:tr>
        <w:trPr>
          <w:trHeight w:val="230"/>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Treasury stock (shares held in treasury: 38,826,982 shares and 38,331,061 shares)</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(950,515)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(932,671)</w:t>
            </w:r>
          </w:p>
        </w:tc>
      </w:tr>
      <w:tr>
        <w:trPr>
          <w:trHeight w:val="223"/>
        </w:trPr>
        <w:tc>
          <w:tcPr>
            <w:tcW w:w="782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3,029,640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2,722,872</w:t>
            </w:r>
          </w:p>
        </w:tc>
      </w:tr>
      <w:tr>
        <w:trPr>
          <w:trHeight w:val="248"/>
        </w:trPr>
        <w:tc>
          <w:tcPr>
            <w:tcW w:w="7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15,082,436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14,376,164</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w:t>
      </w:r>
      <w:r>
        <w:rPr>
          <w:rFonts w:ascii="Times New Roman" w:cs="Times New Roman" w:eastAsia="Times New Roman" w:hAnsi="Times New Roman"/>
          <w:sz w:val="17"/>
          <w:szCs w:val="17"/>
          <w:color w:val="auto"/>
        </w:rPr>
        <w:t>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(LOSS)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YEARS ENDED SEPTEMBER 30, 2022, OCTOBER 1, 2021 AND OCTOBER 2, 2020</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37"/>
        </w:trPr>
        <w:tc>
          <w:tcPr>
            <w:tcW w:w="60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190"/>
        </w:trPr>
        <w:tc>
          <w:tcPr>
            <w:tcW w:w="6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October 1, 2021</w:t>
            </w:r>
          </w:p>
        </w:tc>
        <w:tc>
          <w:tcPr>
            <w:tcW w:w="240" w:type="dxa"/>
            <w:vAlign w:val="bottom"/>
          </w:tcPr>
          <w:p>
            <w:pPr>
              <w:spacing w:after="0"/>
              <w:rPr>
                <w:sz w:val="16"/>
                <w:szCs w:val="16"/>
                <w:color w:val="auto"/>
              </w:rPr>
            </w:pPr>
          </w:p>
        </w:tc>
        <w:tc>
          <w:tcPr>
            <w:tcW w:w="144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October 2, 2020</w:t>
            </w:r>
          </w:p>
        </w:tc>
      </w:tr>
      <w:tr>
        <w:trPr>
          <w:trHeight w:val="216"/>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16,326,624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12,095,965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12,829,559</w:t>
            </w:r>
          </w:p>
        </w:tc>
      </w:tr>
      <w:tr>
        <w:trPr>
          <w:trHeight w:val="19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9"/>
        </w:trPr>
        <w:tc>
          <w:tcPr>
            <w:tcW w:w="6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Cost of services provided (exclusive of depreciation and amortization)</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14,767,570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11,007,080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11,993,667</w:t>
            </w:r>
          </w:p>
        </w:tc>
      </w:tr>
      <w:tr>
        <w:trPr>
          <w:trHeight w:val="213"/>
        </w:trPr>
        <w:tc>
          <w:tcPr>
            <w:tcW w:w="6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532,327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550,692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595,195</w:t>
            </w:r>
          </w:p>
        </w:tc>
      </w:tr>
      <w:tr>
        <w:trPr>
          <w:trHeight w:val="219"/>
        </w:trPr>
        <w:tc>
          <w:tcPr>
            <w:tcW w:w="6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Selling and general corporate expenses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398,362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346,749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307,016</w:t>
            </w:r>
          </w:p>
        </w:tc>
      </w:tr>
      <w:tr>
        <w:trPr>
          <w:trHeight w:val="213"/>
        </w:trPr>
        <w:tc>
          <w:tcPr>
            <w:tcW w:w="6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Goodwill impairment</w:t>
            </w: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198,600</w:t>
            </w:r>
          </w:p>
        </w:tc>
      </w:tr>
      <w:tr>
        <w:trPr>
          <w:trHeight w:val="212"/>
        </w:trPr>
        <w:tc>
          <w:tcPr>
            <w:tcW w:w="60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15,698,259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11,904,521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13,094,478</w:t>
            </w:r>
          </w:p>
        </w:tc>
      </w:tr>
      <w:tr>
        <w:trPr>
          <w:trHeight w:val="207"/>
        </w:trPr>
        <w:tc>
          <w:tcPr>
            <w:tcW w:w="6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Operating income (loss)</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628,365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191,444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(264,919)</w:t>
            </w:r>
          </w:p>
        </w:tc>
      </w:tr>
      <w:tr>
        <w:trPr>
          <w:trHeight w:val="21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Equity Investment</w:t>
            </w:r>
          </w:p>
        </w:tc>
        <w:tc>
          <w:tcPr>
            <w:tcW w:w="1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Defined Benefit Pension Plan Termination</w:t>
            </w: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Other Financing Costs, net</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372,727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401,366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382,800</w:t>
            </w:r>
          </w:p>
        </w:tc>
      </w:tr>
      <w:tr>
        <w:trPr>
          <w:trHeight w:val="207"/>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255,638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(132,852)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(647,719)</w:t>
            </w:r>
          </w:p>
        </w:tc>
      </w:tr>
      <w:tr>
        <w:trPr>
          <w:trHeight w:val="21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61,461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(40,633)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(186,284)</w:t>
            </w:r>
          </w:p>
        </w:tc>
      </w:tr>
      <w:tr>
        <w:trPr>
          <w:trHeight w:val="207"/>
        </w:trPr>
        <w:tc>
          <w:tcPr>
            <w:tcW w:w="6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194,177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(92,219)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(461,435)</w:t>
            </w:r>
          </w:p>
        </w:tc>
      </w:tr>
      <w:tr>
        <w:trPr>
          <w:trHeight w:val="219"/>
        </w:trPr>
        <w:tc>
          <w:tcPr>
            <w:tcW w:w="6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Less: Net (loss) income attributable to 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07"/>
        </w:trPr>
        <w:tc>
          <w:tcPr>
            <w:tcW w:w="602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Net income (loss) attributable to Aramark stockholders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194,484</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(90,833)</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(461,529)</w:t>
            </w: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6"/>
        </w:trPr>
        <w:tc>
          <w:tcPr>
            <w:tcW w:w="6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(Loss) per share attributable to Aramark stockholders:</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6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r>
      <w:tr>
        <w:trPr>
          <w:trHeight w:val="213"/>
        </w:trPr>
        <w:tc>
          <w:tcPr>
            <w:tcW w:w="6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r>
      <w:tr>
        <w:trPr>
          <w:trHeight w:val="21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3"/>
        </w:trPr>
        <w:tc>
          <w:tcPr>
            <w:tcW w:w="6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257,314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254,748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251,828</w:t>
            </w:r>
          </w:p>
        </w:tc>
      </w:tr>
      <w:tr>
        <w:trPr>
          <w:trHeight w:val="219"/>
        </w:trPr>
        <w:tc>
          <w:tcPr>
            <w:tcW w:w="6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259,074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254,748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251,828</w:t>
            </w: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YEARS ENDED SEPTEMBER 30, 2022, OCTOBER 1, 2021 AND OCTOBER 2, 2020</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37"/>
        </w:trPr>
        <w:tc>
          <w:tcPr>
            <w:tcW w:w="60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190"/>
        </w:trPr>
        <w:tc>
          <w:tcPr>
            <w:tcW w:w="6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0" w:type="dxa"/>
            <w:vAlign w:val="bottom"/>
          </w:tcPr>
          <w:p>
            <w:pPr>
              <w:spacing w:after="0"/>
              <w:rPr>
                <w:sz w:val="16"/>
                <w:szCs w:val="16"/>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October 1, 2021</w:t>
            </w:r>
          </w:p>
        </w:tc>
        <w:tc>
          <w:tcPr>
            <w:tcW w:w="240" w:type="dxa"/>
            <w:vAlign w:val="bottom"/>
          </w:tcPr>
          <w:p>
            <w:pPr>
              <w:spacing w:after="0"/>
              <w:rPr>
                <w:sz w:val="16"/>
                <w:szCs w:val="16"/>
                <w:color w:val="auto"/>
              </w:rPr>
            </w:pPr>
          </w:p>
        </w:tc>
        <w:tc>
          <w:tcPr>
            <w:tcW w:w="14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October 2, 2020</w:t>
            </w:r>
          </w:p>
        </w:tc>
      </w:tr>
      <w:tr>
        <w:trPr>
          <w:trHeight w:val="229"/>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194,177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(92,219)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(461,435)</w:t>
            </w: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6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Pension plan adjustments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(25,669)</w:t>
            </w:r>
          </w:p>
        </w:tc>
      </w:tr>
      <w:tr>
        <w:trPr>
          <w:trHeight w:val="229"/>
        </w:trPr>
        <w:tc>
          <w:tcPr>
            <w:tcW w:w="6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(7,818)</w:t>
            </w:r>
          </w:p>
        </w:tc>
      </w:tr>
      <w:tr>
        <w:trPr>
          <w:trHeight w:val="229"/>
        </w:trPr>
        <w:tc>
          <w:tcPr>
            <w:tcW w:w="6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Cash flow hedges: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60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Unrealized gains (losses) arising during the period</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(82,005)</w:t>
            </w:r>
          </w:p>
        </w:tc>
      </w:tr>
      <w:tr>
        <w:trPr>
          <w:trHeight w:val="229"/>
        </w:trPr>
        <w:tc>
          <w:tcPr>
            <w:tcW w:w="60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25,463</w:t>
            </w:r>
          </w:p>
        </w:tc>
      </w:tr>
      <w:tr>
        <w:trPr>
          <w:trHeight w:val="229"/>
        </w:trPr>
        <w:tc>
          <w:tcPr>
            <w:tcW w:w="60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Share of equity investee's comprehensive income (loss)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96,440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99,247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(90,293)</w:t>
            </w: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(551,728)</w:t>
            </w: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income attributable to 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Aramark stockholders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290,924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(551,822)</w:t>
            </w:r>
          </w:p>
        </w:tc>
      </w:tr>
      <w:tr>
        <w:trPr>
          <w:trHeight w:val="20"/>
        </w:trPr>
        <w:tc>
          <w:tcPr>
            <w:tcW w:w="6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YEARS ENDED SEPTEMBER 30, 2022, OCTOBER 1, 2021 AND OCTOBER 2, 2020</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3"/>
        </w:trPr>
        <w:tc>
          <w:tcPr>
            <w:tcW w:w="6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0"/>
        </w:trPr>
        <w:tc>
          <w:tcPr>
            <w:tcW w:w="6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October 1, 2021</w:t>
            </w:r>
          </w:p>
        </w:tc>
        <w:tc>
          <w:tcPr>
            <w:tcW w:w="220" w:type="dxa"/>
            <w:vAlign w:val="bottom"/>
          </w:tcPr>
          <w:p>
            <w:pPr>
              <w:spacing w:after="0"/>
              <w:rPr>
                <w:sz w:val="16"/>
                <w:szCs w:val="16"/>
                <w:color w:val="auto"/>
              </w:rPr>
            </w:pPr>
          </w:p>
        </w:tc>
        <w:tc>
          <w:tcPr>
            <w:tcW w:w="14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October 2, 2020</w:t>
            </w:r>
          </w:p>
        </w:tc>
      </w:tr>
      <w:tr>
        <w:trPr>
          <w:trHeight w:val="189"/>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16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r>
      <w:tr>
        <w:trPr>
          <w:trHeight w:val="195"/>
        </w:trPr>
        <w:tc>
          <w:tcPr>
            <w:tcW w:w="60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Net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194,177</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(92,219)</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(461,435)</w:t>
            </w:r>
          </w:p>
        </w:tc>
      </w:tr>
      <w:tr>
        <w:trPr>
          <w:trHeight w:val="210"/>
        </w:trPr>
        <w:tc>
          <w:tcPr>
            <w:tcW w:w="6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195"/>
        </w:trPr>
        <w:tc>
          <w:tcPr>
            <w:tcW w:w="60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532,327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550,692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595,195</w:t>
            </w:r>
          </w:p>
        </w:tc>
      </w:tr>
      <w:tr>
        <w:trPr>
          <w:trHeight w:val="210"/>
        </w:trPr>
        <w:tc>
          <w:tcPr>
            <w:tcW w:w="60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Goodwill impairment and asset write-downs</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283,743</w:t>
            </w:r>
          </w:p>
        </w:tc>
      </w:tr>
      <w:tr>
        <w:trPr>
          <w:trHeight w:val="195"/>
        </w:trPr>
        <w:tc>
          <w:tcPr>
            <w:tcW w:w="60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Gain on equity investment</w:t>
            </w:r>
          </w:p>
        </w:tc>
        <w:tc>
          <w:tcPr>
            <w:tcW w:w="160" w:type="dxa"/>
            <w:vAlign w:val="bottom"/>
          </w:tcPr>
          <w:p>
            <w:pPr>
              <w:spacing w:after="0"/>
              <w:rPr>
                <w:sz w:val="16"/>
                <w:szCs w:val="16"/>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(137,934)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0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Loss on defined benefit pension plan termination</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60,864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60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Reduction of contingent consideration liability (see Note 16)</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(20,749)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0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Deferred income taxes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(134,048)</w:t>
            </w:r>
          </w:p>
        </w:tc>
      </w:tr>
      <w:tr>
        <w:trPr>
          <w:trHeight w:val="195"/>
        </w:trPr>
        <w:tc>
          <w:tcPr>
            <w:tcW w:w="60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95,487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71,053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30,339</w:t>
            </w:r>
          </w:p>
        </w:tc>
      </w:tr>
      <w:tr>
        <w:trPr>
          <w:trHeight w:val="210"/>
        </w:trPr>
        <w:tc>
          <w:tcPr>
            <w:tcW w:w="6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195"/>
        </w:trPr>
        <w:tc>
          <w:tcPr>
            <w:tcW w:w="60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Accounts Receivable</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(462,685)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(290,214)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362,708</w:t>
            </w:r>
          </w:p>
        </w:tc>
      </w:tr>
      <w:tr>
        <w:trPr>
          <w:trHeight w:val="210"/>
        </w:trPr>
        <w:tc>
          <w:tcPr>
            <w:tcW w:w="60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Inventories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(25,675)</w:t>
            </w:r>
          </w:p>
        </w:tc>
      </w:tr>
      <w:tr>
        <w:trPr>
          <w:trHeight w:val="195"/>
        </w:trPr>
        <w:tc>
          <w:tcPr>
            <w:tcW w:w="60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Prepayments and Other Current Assets</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101,939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(86,444)</w:t>
            </w:r>
          </w:p>
        </w:tc>
      </w:tr>
      <w:tr>
        <w:trPr>
          <w:trHeight w:val="210"/>
        </w:trPr>
        <w:tc>
          <w:tcPr>
            <w:tcW w:w="60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421,763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252,158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(342,069)</w:t>
            </w:r>
          </w:p>
        </w:tc>
      </w:tr>
      <w:tr>
        <w:trPr>
          <w:trHeight w:val="195"/>
        </w:trPr>
        <w:tc>
          <w:tcPr>
            <w:tcW w:w="60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Accrued Expenses</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261,154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(143,640)</w:t>
            </w:r>
          </w:p>
        </w:tc>
      </w:tr>
      <w:tr>
        <w:trPr>
          <w:trHeight w:val="210"/>
        </w:trPr>
        <w:tc>
          <w:tcPr>
            <w:tcW w:w="6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Payments made to clients on contracts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(56,865)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(100,918)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(69,575)</w:t>
            </w:r>
          </w:p>
        </w:tc>
      </w:tr>
      <w:tr>
        <w:trPr>
          <w:trHeight w:val="195"/>
        </w:trPr>
        <w:tc>
          <w:tcPr>
            <w:tcW w:w="60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Changes in other noncurrent liabilities</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14,914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92,782</w:t>
            </w:r>
          </w:p>
        </w:tc>
      </w:tr>
      <w:tr>
        <w:trPr>
          <w:trHeight w:val="210"/>
        </w:trPr>
        <w:tc>
          <w:tcPr>
            <w:tcW w:w="6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Changes in other assets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66,650</w:t>
            </w:r>
          </w:p>
        </w:tc>
      </w:tr>
      <w:tr>
        <w:trPr>
          <w:trHeight w:val="196"/>
        </w:trPr>
        <w:tc>
          <w:tcPr>
            <w:tcW w:w="60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Other operating activities</w:t>
            </w: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15,333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8,151</w:t>
            </w:r>
          </w:p>
        </w:tc>
      </w:tr>
      <w:tr>
        <w:trPr>
          <w:trHeight w:val="20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694,499</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657,079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176,682</w:t>
            </w:r>
          </w:p>
        </w:tc>
      </w:tr>
      <w:tr>
        <w:trPr>
          <w:trHeight w:val="175"/>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10"/>
        </w:trPr>
        <w:tc>
          <w:tcPr>
            <w:tcW w:w="6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Purchases of property and equipment and other</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(388,397)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(407,818)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(418,508)</w:t>
            </w:r>
          </w:p>
        </w:tc>
      </w:tr>
      <w:tr>
        <w:trPr>
          <w:trHeight w:val="195"/>
        </w:trPr>
        <w:tc>
          <w:tcPr>
            <w:tcW w:w="60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Disposals of property and equipment</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23,642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32,474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54,074</w:t>
            </w:r>
          </w:p>
        </w:tc>
      </w:tr>
      <w:tr>
        <w:trPr>
          <w:trHeight w:val="210"/>
        </w:trPr>
        <w:tc>
          <w:tcPr>
            <w:tcW w:w="6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(78,220)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60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Acquisition of certain businesses, net of cash acquired</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(340,022)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(265,766)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(22,201)</w:t>
            </w:r>
          </w:p>
        </w:tc>
      </w:tr>
      <w:tr>
        <w:trPr>
          <w:trHeight w:val="210"/>
        </w:trPr>
        <w:tc>
          <w:tcPr>
            <w:tcW w:w="6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Acquisition of certain equity method investments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60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15,710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25,515</w:t>
            </w:r>
          </w:p>
        </w:tc>
      </w:tr>
      <w:tr>
        <w:trPr>
          <w:trHeight w:val="20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(831,287)</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(634,386)</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(361,120)</w:t>
            </w:r>
          </w:p>
        </w:tc>
      </w:tr>
      <w:tr>
        <w:trPr>
          <w:trHeight w:val="175"/>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10"/>
        </w:trPr>
        <w:tc>
          <w:tcPr>
            <w:tcW w:w="6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Proceeds from long-term borrowings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100,051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893,993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3,239,772</w:t>
            </w:r>
          </w:p>
        </w:tc>
      </w:tr>
      <w:tr>
        <w:trPr>
          <w:trHeight w:val="195"/>
        </w:trPr>
        <w:tc>
          <w:tcPr>
            <w:tcW w:w="60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Payments of long-term borrowings</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(152,338)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(2,453,571)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(1,000,463)</w:t>
            </w:r>
          </w:p>
        </w:tc>
      </w:tr>
      <w:tr>
        <w:trPr>
          <w:trHeight w:val="210"/>
        </w:trPr>
        <w:tc>
          <w:tcPr>
            <w:tcW w:w="6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Net change in funding under the Receivables Facility</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104,935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(315,600)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315,600</w:t>
            </w:r>
          </w:p>
        </w:tc>
      </w:tr>
      <w:tr>
        <w:trPr>
          <w:trHeight w:val="195"/>
        </w:trPr>
        <w:tc>
          <w:tcPr>
            <w:tcW w:w="60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Payments of dividends</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(113,120)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(110,893)</w:t>
            </w:r>
          </w:p>
        </w:tc>
      </w:tr>
      <w:tr>
        <w:trPr>
          <w:trHeight w:val="210"/>
        </w:trPr>
        <w:tc>
          <w:tcPr>
            <w:tcW w:w="6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90,022</w:t>
            </w:r>
          </w:p>
        </w:tc>
      </w:tr>
      <w:tr>
        <w:trPr>
          <w:trHeight w:val="195"/>
        </w:trPr>
        <w:tc>
          <w:tcPr>
            <w:tcW w:w="60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60" w:type="dxa"/>
            <w:vAlign w:val="bottom"/>
          </w:tcPr>
          <w:p>
            <w:pPr>
              <w:spacing w:after="0"/>
              <w:rPr>
                <w:sz w:val="16"/>
                <w:szCs w:val="16"/>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(6,540)</w:t>
            </w:r>
          </w:p>
        </w:tc>
      </w:tr>
      <w:tr>
        <w:trPr>
          <w:trHeight w:val="210"/>
        </w:trPr>
        <w:tc>
          <w:tcPr>
            <w:tcW w:w="6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(26,544)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(59,738)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(89,976)</w:t>
            </w:r>
          </w:p>
        </w:tc>
      </w:tr>
      <w:tr>
        <w:trPr>
          <w:trHeight w:val="190"/>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(37,694)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(2,005,339)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2,437,522</w:t>
            </w:r>
          </w:p>
        </w:tc>
      </w:tr>
      <w:tr>
        <w:trPr>
          <w:trHeight w:val="20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foreign exchange rates on cash and cash equivalents</w:t>
            </w: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(28,657)</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9,461</w:t>
            </w:r>
          </w:p>
        </w:tc>
      </w:tr>
      <w:tr>
        <w:trPr>
          <w:trHeight w:val="189"/>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(Decrease) increase in cash and cash equivalents</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(203,139)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(1,976,597)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2,262,545</w:t>
            </w:r>
          </w:p>
        </w:tc>
      </w:tr>
      <w:tr>
        <w:trPr>
          <w:trHeight w:val="21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532,591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2,509,188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246,643</w:t>
            </w:r>
          </w:p>
        </w:tc>
      </w:tr>
      <w:tr>
        <w:trPr>
          <w:trHeight w:val="190"/>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329,452</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532,591</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2,509,188</w:t>
            </w:r>
          </w:p>
        </w:tc>
      </w:tr>
      <w:tr>
        <w:trPr>
          <w:trHeight w:val="27"/>
        </w:trPr>
        <w:tc>
          <w:tcPr>
            <w:tcW w:w="6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YEARS ENDED SEPTEMBER 30, 2022, OCTOBER 1, 2021 AND OCTOBER 2, 2020</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3"/>
                <w:szCs w:val="13"/>
                <w:color w:val="auto"/>
              </w:rPr>
            </w:pPr>
          </w:p>
        </w:tc>
        <w:tc>
          <w:tcPr>
            <w:tcW w:w="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3"/>
                <w:szCs w:val="13"/>
                <w:color w:val="auto"/>
              </w:rPr>
            </w:pPr>
          </w:p>
        </w:tc>
        <w:tc>
          <w:tcPr>
            <w:tcW w:w="10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3"/>
                <w:szCs w:val="13"/>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13"/>
                <w:szCs w:val="13"/>
                <w:color w:val="auto"/>
              </w:rPr>
            </w:pPr>
          </w:p>
        </w:tc>
        <w:tc>
          <w:tcPr>
            <w:tcW w:w="86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4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20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6"/>
                <w:szCs w:val="16"/>
                <w:color w:val="auto"/>
              </w:rPr>
            </w:pPr>
          </w:p>
        </w:tc>
        <w:tc>
          <w:tcPr>
            <w:tcW w:w="8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226"/>
        </w:trPr>
        <w:tc>
          <w:tcPr>
            <w:tcW w:w="3840" w:type="dxa"/>
            <w:vAlign w:val="bottom"/>
            <w:tcBorders>
              <w:top w:val="single" w:sz="8" w:color="CCEEFF"/>
              <w:bottom w:val="single" w:sz="8" w:color="CCEEFF"/>
            </w:tcBorders>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Balance, September 27, 2019</w:t>
            </w:r>
          </w:p>
        </w:tc>
        <w:tc>
          <w:tcPr>
            <w:tcW w:w="16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3,320,047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2,829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line="201"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3,236,450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1,107,029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(216,965)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(809,296)</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bottom w:val="single" w:sz="8" w:color="CCEEFF"/>
            </w:tcBorders>
            <w:vMerge w:val="restart"/>
          </w:tcPr>
          <w:p>
            <w:pPr>
              <w:ind w:left="460"/>
              <w:spacing w:after="0"/>
              <w:rPr>
                <w:sz w:val="20"/>
                <w:szCs w:val="20"/>
                <w:color w:val="auto"/>
              </w:rPr>
            </w:pPr>
            <w:r>
              <w:rPr>
                <w:rFonts w:ascii="Times New Roman" w:cs="Times New Roman" w:eastAsia="Times New Roman" w:hAnsi="Times New Roman"/>
                <w:sz w:val="18"/>
                <w:szCs w:val="18"/>
                <w:color w:val="auto"/>
              </w:rPr>
              <w:t>Net loss attributable to Aramark stockholders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(461,529)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(461,529)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84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Capital contributions from issuance of</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134,529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Capital contributions from stockholder</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(98,876)</w:t>
            </w:r>
          </w:p>
        </w:tc>
        <w:tc>
          <w:tcPr>
            <w:tcW w:w="0" w:type="dxa"/>
            <w:vAlign w:val="bottom"/>
          </w:tcPr>
          <w:p>
            <w:pPr>
              <w:spacing w:after="0"/>
              <w:rPr>
                <w:sz w:val="1"/>
                <w:szCs w:val="1"/>
                <w:color w:val="auto"/>
              </w:rPr>
            </w:pPr>
          </w:p>
        </w:tc>
      </w:tr>
      <w:tr>
        <w:trPr>
          <w:trHeight w:val="230"/>
        </w:trPr>
        <w:tc>
          <w:tcPr>
            <w:tcW w:w="38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Payments of dividends ($0.44 per share)</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(113,121)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October 2, 2020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2,735,988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3,416,132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(908,172)</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bottom w:val="single" w:sz="8" w:color="CCEEFF"/>
            </w:tcBorders>
            <w:vMerge w:val="restart"/>
          </w:tcPr>
          <w:p>
            <w:pPr>
              <w:ind w:left="460"/>
              <w:spacing w:after="0"/>
              <w:rPr>
                <w:sz w:val="20"/>
                <w:szCs w:val="20"/>
                <w:color w:val="auto"/>
              </w:rPr>
            </w:pPr>
            <w:r>
              <w:rPr>
                <w:rFonts w:ascii="Times New Roman" w:cs="Times New Roman" w:eastAsia="Times New Roman" w:hAnsi="Times New Roman"/>
                <w:sz w:val="18"/>
                <w:szCs w:val="18"/>
                <w:color w:val="auto"/>
              </w:rPr>
              <w:t>Net loss attributable to Aramark stockholders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(90,833)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(90,833)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84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Capital contributions from issuance of</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45,869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(24,499)</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Payments of dividends ($0.44 per share)</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(113,989)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(113,989)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October 1, 2021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2,722,872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3,533,054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327,557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(208,011)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(932,671)</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840" w:type="dxa"/>
            <w:vAlign w:val="bottom"/>
            <w:shd w:val="clear" w:color="auto" w:fill="CCEEFF"/>
          </w:tcPr>
          <w:p>
            <w:pPr>
              <w:ind w:left="460"/>
              <w:spacing w:after="0" w:line="151" w:lineRule="exact"/>
              <w:rPr>
                <w:sz w:val="20"/>
                <w:szCs w:val="20"/>
                <w:color w:val="auto"/>
              </w:rPr>
            </w:pPr>
            <w:r>
              <w:rPr>
                <w:rFonts w:ascii="Times New Roman" w:cs="Times New Roman" w:eastAsia="Times New Roman" w:hAnsi="Times New Roman"/>
                <w:sz w:val="17"/>
                <w:szCs w:val="17"/>
                <w:color w:val="auto"/>
              </w:rPr>
              <w:t>Net income attributable to Aramark</w:t>
            </w: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3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stockholders</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194,484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194,484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840" w:type="dxa"/>
            <w:vAlign w:val="bottom"/>
            <w:shd w:val="clear" w:color="auto" w:fill="CCEEFF"/>
          </w:tcPr>
          <w:p>
            <w:pPr>
              <w:ind w:left="460"/>
              <w:spacing w:after="0" w:line="184" w:lineRule="exact"/>
              <w:rPr>
                <w:sz w:val="20"/>
                <w:szCs w:val="20"/>
                <w:color w:val="auto"/>
              </w:rPr>
            </w:pPr>
            <w:r>
              <w:rPr>
                <w:rFonts w:ascii="Times New Roman" w:cs="Times New Roman" w:eastAsia="Times New Roman" w:hAnsi="Times New Roman"/>
                <w:sz w:val="18"/>
                <w:szCs w:val="18"/>
                <w:color w:val="auto"/>
              </w:rPr>
              <w:t>Capital contributions from issuance of</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53,425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(17,844)</w:t>
            </w:r>
          </w:p>
        </w:tc>
        <w:tc>
          <w:tcPr>
            <w:tcW w:w="0" w:type="dxa"/>
            <w:vAlign w:val="bottom"/>
          </w:tcPr>
          <w:p>
            <w:pPr>
              <w:spacing w:after="0"/>
              <w:rPr>
                <w:sz w:val="1"/>
                <w:szCs w:val="1"/>
                <w:color w:val="auto"/>
              </w:rPr>
            </w:pPr>
          </w:p>
        </w:tc>
      </w:tr>
      <w:tr>
        <w:trPr>
          <w:trHeight w:val="230"/>
        </w:trPr>
        <w:tc>
          <w:tcPr>
            <w:tcW w:w="38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Payments of dividends ($0.44 per share)</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(115,257)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(115,257)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30, 2022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3,029,640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3,681,966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406,784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(950,515)</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BASIS OF PRESENTATION AND SUMMARY OF SIGNIFICANT ACCOUNTING POLICIES:</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Aramark (the "Company") is a leading global provider of food, facilities and uniform services to education, healthcare, business &amp; industry, and sports, leisure &amp; corrections clients. The Company's core market is the United States, which is supplemented by an additional 18-country footprint. The Company operates its business in three reportable segments that share many of the same operating characteristics:</w:t>
      </w:r>
    </w:p>
    <w:p>
      <w:pPr>
        <w:spacing w:after="0" w:line="54" w:lineRule="exact"/>
        <w:rPr>
          <w:sz w:val="20"/>
          <w:szCs w:val="20"/>
          <w:color w:val="auto"/>
        </w:rPr>
      </w:pPr>
    </w:p>
    <w:p>
      <w:pPr>
        <w:ind w:left="660" w:right="24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and Support Services United States ("FSS United States") - Food, refreshment, specialized dietary and support services, including facility maintenance and housekeeping, provided to business, educational and healthcare institutions and in sports, leisure and other facilities.</w:t>
      </w:r>
    </w:p>
    <w:p>
      <w:pPr>
        <w:spacing w:after="0" w:line="26"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and Support Services International ("FSS International") - Food, refreshment, specialized dietary and support services, including facility maintenance and housekeeping, provided to business, educational and healthcare institutions and in sports, leisure and other facilities.</w:t>
      </w:r>
    </w:p>
    <w:p>
      <w:pPr>
        <w:spacing w:after="0" w:line="40" w:lineRule="exact"/>
        <w:rPr>
          <w:rFonts w:ascii="Times New Roman" w:cs="Times New Roman" w:eastAsia="Times New Roman" w:hAnsi="Times New Roman"/>
          <w:sz w:val="18"/>
          <w:szCs w:val="18"/>
          <w:color w:val="auto"/>
        </w:rPr>
      </w:pPr>
    </w:p>
    <w:p>
      <w:pPr>
        <w:ind w:left="660" w:hanging="328"/>
        <w:spacing w:after="0" w:line="279" w:lineRule="auto"/>
        <w:tabs>
          <w:tab w:leader="none" w:pos="653" w:val="left"/>
        </w:tabs>
        <w:numPr>
          <w:ilvl w:val="0"/>
          <w:numId w:val="35"/>
        </w:numPr>
        <w:rPr>
          <w:rFonts w:ascii="Calibri" w:cs="Calibri" w:eastAsia="Calibri" w:hAnsi="Calibri"/>
          <w:sz w:val="19"/>
          <w:szCs w:val="19"/>
          <w:color w:val="auto"/>
        </w:rPr>
      </w:pPr>
      <w:r>
        <w:rPr>
          <w:rFonts w:ascii="Times New Roman" w:cs="Times New Roman" w:eastAsia="Times New Roman" w:hAnsi="Times New Roman"/>
          <w:sz w:val="17"/>
          <w:szCs w:val="17"/>
          <w:color w:val="auto"/>
        </w:rPr>
        <w:t>Uniform and Career Apparel ("Uniform") - Provides a full-service employee uniform solution, resulting in a contracted and recurring revenue model. The customer base is serviced by a leading geographic footprint in the United States and Canada with programs focused on uniforms, floor mats, towels, linens, managed restroom and first aid services. Customers operate in a wide range of industries in the United States and Canada.</w:t>
      </w:r>
    </w:p>
    <w:p>
      <w:pPr>
        <w:spacing w:after="0" w:line="3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all of its subsidiaries in which a controlling financial interest is maintained in accordance with generally accepted accounting principles in the United States ("U.S. GAAP"). All significant intercompany transactions and accounts have been eliminated.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10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Company's fiscal year is the fifty-two or fifty-three week period which ends on the Friday nearest September 30th. The fiscal years ended September 30, 2022 and October 1, 2021 were each fifty-two week periods and the fiscal year ended October 2, 2020 was a fifty-three week period.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 Updates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Adopted Standards (from most to least recent date of issuance)</w:t>
      </w:r>
    </w:p>
    <w:p>
      <w:pPr>
        <w:spacing w:after="0" w:line="9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In March 2022, the Financial Accounting Standards Board ("FASB") issued an accounting standards update ("ASU") which eliminated the accounting guidance for troubled debt restructuring for creditors in Accounting Standards Codification 310-40, </w:t>
      </w:r>
      <w:r>
        <w:rPr>
          <w:rFonts w:ascii="Times New Roman" w:cs="Times New Roman" w:eastAsia="Times New Roman" w:hAnsi="Times New Roman"/>
          <w:sz w:val="18"/>
          <w:szCs w:val="18"/>
          <w:i w:val="1"/>
          <w:iCs w:val="1"/>
          <w:color w:val="auto"/>
        </w:rPr>
        <w:t>Receivables - Troubled Debt Restructurings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Creditors</w:t>
      </w:r>
      <w:r>
        <w:rPr>
          <w:rFonts w:ascii="Times New Roman" w:cs="Times New Roman" w:eastAsia="Times New Roman" w:hAnsi="Times New Roman"/>
          <w:sz w:val="18"/>
          <w:szCs w:val="18"/>
          <w:color w:val="auto"/>
        </w:rPr>
        <w:t>, while enhancing disclosure requirements for certain loan refinancings and restructurings by creditors when a borrower is experiencing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difficulty. In addition, the ASU requires an entity to disclose current-period gross write-offs by year of origination for financing receivables and net investments in leases. The Company early adopted the ASU during the third quarter of fiscal 2022, which did not have a material impact on the consolidated financial statements.</w:t>
      </w:r>
    </w:p>
    <w:p>
      <w:pPr>
        <w:spacing w:after="0" w:line="6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March 2022, the FASB issued an ASU which expanded the scope of existing guidance to allow entities to apply the portfolio layer method to portfolios of all financial assets, including both pre-payable and non-pre-payable financial assets. The Company early adopted the ASU during the third quarter of fiscal 2022, which did not have a material impact on the consolidated financial statements.</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January 2020, the FASB issued an ASU which provided clarification and improvements to existing guidance related to accounting for certain equity securities upon the application or discontinuation of equity method accounting and the measurement of forward contracts and purchased options on certain securities. The guidance was effective for the Company in the first quarter of fiscal 2022. The adoption of this guidance did not have a material impact on the consolidated financial statements.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Standards Not Yet Adopted (from most to least recent date of issuance)</w:t>
      </w:r>
    </w:p>
    <w:p>
      <w:pPr>
        <w:spacing w:after="0" w:line="10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September 2022, the FASB issued an ASU to enhance the transparency of supplier finance programs, which may be referred to as reverse factoring, payables finance or structured payables arrangements. The guidance will require that a buyer in a supplier finance program disclose the program's nature, activity and potential magnitude. The guidance is effective for the Company in the first quarter of fiscal 2024 and early adoption is permitted. The Company is currently evaluating the impact of this standard.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November 2021, the FASB issued an ASU which required that an entity provide certain annual disclosures when they have received government assistance. The guidance is effective for the Company in the first quarter of fiscal 2023 and early adoption is permitted. The adoption of this guidance is not expected to have a material impact on the consolidated financial statements.</w:t>
      </w:r>
    </w:p>
    <w:p>
      <w:pPr>
        <w:spacing w:after="0" w:line="4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In October 2021, the FASB issued an ASU which required that an entity (acquirer) recognize and measure contract assets and contract liabilities acquired in a business combination in accordance with Accounting Standards Codification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as if it had originated the contracts. The guidance is effective for the Company in the first quarter of fiscal 2024 and early adoption is permitted. The Company is currently evaluating the impact of this standard.</w:t>
      </w:r>
    </w:p>
    <w:p>
      <w:pPr>
        <w:spacing w:after="0" w:line="5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January 2021, the FASB issued an ASU which clarified certain optional expedients and exceptions for contract modifications and hedge accounting that may apply to derivatives that are affected by the discontinuance of LIBOR and the reference rate reform standard. The Company may adopt this guidance through December 31, 2022, which generally can be applied to applicable contract modifications through December 31, 2022. The Company does not anticipate adopting additional optional expedients related to this standard.</w:t>
      </w:r>
    </w:p>
    <w:p>
      <w:pPr>
        <w:spacing w:after="0" w:line="5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March 2020, the FASB issued an ASU which provided optional expedients that may be adopted and applied through December 31, 2022 to assist with the discontinuance of LIBOR. The expedients allow companies to ease the potential accounting burden when modifying contracts and hedging relationships that use LIBOR as a reference rate, if certain criteria are met. During fiscal 2020, the Company adopted the optional expedient to assert probability of forecasted hedged transactions occurring on its interest rate swap derivative contracts regardless of any expected contract modifications related to reference rate reform. The Company may adopt the remaining amendments of this standard through December 31, 2022, which generally can be applied to applicable contract modifications through December 31, 2022. The Company does not anticipate adopting additional optional expedients related to this standard.</w:t>
      </w:r>
    </w:p>
    <w:p>
      <w:pPr>
        <w:spacing w:after="0" w:line="54"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Other new accounting pronouncements recently issued or newly effective were not applicable to the Company, did not have a material impact on the consolidated financial statements or are not expected to have a material impact on the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0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recognizes revenue when its performance obligation is satisfied upon the transfer of control of the promised product or service to customers in an amount that reflects the consideration the Company expects to be entitled to in exchange for those goods and services. In each of the Company's operating segments, revenue is recognized over time in the period in which services are provided pursuant to the terms of the Company's contractual relationships with its clients. The Company generally records revenue on Food and Support Services contracts (both profit and loss contracts and client interest contracts) on a gross basis as the Company is the primary obligor and service provider. See Note 7 for additional information on revenue recognition.</w:t>
      </w:r>
    </w:p>
    <w:p>
      <w:pPr>
        <w:spacing w:after="0" w:line="5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Certain profit and loss contracts include payments to the client, typically calculated as a fixed or variable percentage of various categories of revenue and income. In some cases these contracts require minimum guaranteed payments that are contingent on certain future events. These expenses are currently recorded in "Cost of services provided (exclusive of depreciation and amortization)."</w:t>
      </w:r>
    </w:p>
    <w:p>
      <w:pPr>
        <w:spacing w:after="0" w:line="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Revenue from client interest contracts is generally comprised of amounts billed to clients for food, labor and other costs that the Company incurs, controls and pays for. Revenue from these contracts also includes any associated management fees, client subsidies or incentive fees based upon the Company's performance under the contract. Revenue from direct marketing activities is recognized at a point in time upon shipment. All revenue related taxes are presented on a net basis.</w:t>
      </w:r>
    </w:p>
    <w:p>
      <w:pPr>
        <w:spacing w:after="0" w:line="5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timing of revenue recognition may differ from the timing of invoicing to customers. The Company records an accounts receivable balance when revenue is recognized prior to or at the time of invoicing the customer. The majority of the Company’s receivables balances are based on contracts with customers.</w:t>
      </w:r>
    </w:p>
    <w:p>
      <w:pPr>
        <w:spacing w:after="0" w:line="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estimates and reserves for its credit loss exposure based on historical experience, current conditions and reasonable and supportable forecasts that affect the collectability of the reported amount in estimating credit losses. Credit loss expense is classified within "Cost of services provided (exclusive of depreciation and amortization)."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Vendor Consideration</w:t>
      </w:r>
    </w:p>
    <w:p>
      <w:pPr>
        <w:spacing w:after="0" w:line="10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Consideration received from vendors includes rebates, allowances and volume discounts and are accounted for as an adjustment to the cost of the vendors' products or services and are reported as a reduction of "Cost of services provided (exclusive of depreciation and amortization)," "Inventory," or "Property and equipment, net." Income from rebates, allowances and volume discounts is recognized based on actual purchases in the fiscal period relative to total actual purchases to be made for the contractual rebate period agreed to with the vendor. Rebates, allowances and volume discounts related to “Inventory” held at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balance sheet date are deducted from the carrying value of these inventories. Rebates, allowances and volume discounts related to "Property and equipment, net" are deducted from the costs capitalized.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0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materially differ from those estimates.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p>
      <w:pPr>
        <w:spacing w:after="0" w:line="9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Comprehensive income (loss) includes all changes to stockholders' equity during a period, except those resulting from investments by and distributions to stockholders. Components of comprehensive income (loss) include net income (loss), changes in foreign currency translation adjustments (net of tax), pension plan adjustments (net of tax), changes in the fair value of cash flow hedges (net of tax) and changes to the share of any equity investees' comprehensive income (loss) (net of tax).</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summary of the components of comprehensive income (loss) is as follows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Fiscal Year Ended</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320" w:type="dxa"/>
            <w:vAlign w:val="bottom"/>
          </w:tcPr>
          <w:p>
            <w:pPr>
              <w:spacing w:after="0"/>
              <w:rPr>
                <w:sz w:val="18"/>
                <w:szCs w:val="18"/>
                <w:color w:val="auto"/>
              </w:rPr>
            </w:pPr>
          </w:p>
        </w:tc>
        <w:tc>
          <w:tcPr>
            <w:tcW w:w="296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9"/>
              </w:rPr>
              <w:t>October 1, 2021</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9"/>
              </w:rPr>
              <w:t>October 2, 2020</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320" w:type="dxa"/>
            <w:vAlign w:val="bottom"/>
          </w:tcPr>
          <w:p>
            <w:pPr>
              <w:spacing w:after="0"/>
              <w:rPr>
                <w:sz w:val="13"/>
                <w:szCs w:val="13"/>
                <w:color w:val="auto"/>
              </w:rPr>
            </w:pPr>
          </w:p>
        </w:tc>
        <w:tc>
          <w:tcPr>
            <w:tcW w:w="1020" w:type="dxa"/>
            <w:vAlign w:val="bottom"/>
          </w:tcPr>
          <w:p>
            <w:pPr>
              <w:jc w:val="right"/>
              <w:ind w:right="159"/>
              <w:spacing w:after="0" w:line="158" w:lineRule="exact"/>
              <w:rPr>
                <w:sz w:val="20"/>
                <w:szCs w:val="20"/>
                <w:color w:val="auto"/>
              </w:rPr>
            </w:pPr>
            <w:r>
              <w:rPr>
                <w:rFonts w:ascii="Times New Roman" w:cs="Times New Roman" w:eastAsia="Times New Roman" w:hAnsi="Times New Roman"/>
                <w:sz w:val="16"/>
                <w:szCs w:val="16"/>
                <w:b w:val="1"/>
                <w:bCs w:val="1"/>
                <w:color w:val="auto"/>
              </w:rPr>
              <w:t>Pre-Tax</w:t>
            </w:r>
          </w:p>
        </w:tc>
        <w:tc>
          <w:tcPr>
            <w:tcW w:w="10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Tax Effect</w:t>
            </w:r>
          </w:p>
        </w:tc>
        <w:tc>
          <w:tcPr>
            <w:tcW w:w="920" w:type="dxa"/>
            <w:vAlign w:val="bottom"/>
          </w:tcPr>
          <w:p>
            <w:pPr>
              <w:jc w:val="right"/>
              <w:ind w:right="119"/>
              <w:spacing w:after="0" w:line="158" w:lineRule="exact"/>
              <w:rPr>
                <w:sz w:val="20"/>
                <w:szCs w:val="20"/>
                <w:color w:val="auto"/>
              </w:rPr>
            </w:pPr>
            <w:r>
              <w:rPr>
                <w:rFonts w:ascii="Times New Roman" w:cs="Times New Roman" w:eastAsia="Times New Roman" w:hAnsi="Times New Roman"/>
                <w:sz w:val="16"/>
                <w:szCs w:val="16"/>
                <w:b w:val="1"/>
                <w:bCs w:val="1"/>
                <w:color w:val="auto"/>
              </w:rPr>
              <w:t>After-Tax</w:t>
            </w:r>
          </w:p>
        </w:tc>
        <w:tc>
          <w:tcPr>
            <w:tcW w:w="100" w:type="dxa"/>
            <w:vAlign w:val="bottom"/>
          </w:tcPr>
          <w:p>
            <w:pPr>
              <w:spacing w:after="0"/>
              <w:rPr>
                <w:sz w:val="13"/>
                <w:szCs w:val="13"/>
                <w:color w:val="auto"/>
              </w:rPr>
            </w:pPr>
          </w:p>
        </w:tc>
        <w:tc>
          <w:tcPr>
            <w:tcW w:w="860" w:type="dxa"/>
            <w:vAlign w:val="bottom"/>
          </w:tcPr>
          <w:p>
            <w:pPr>
              <w:jc w:val="right"/>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Pre-Tax</w:t>
            </w: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Tax Effect</w:t>
            </w:r>
          </w:p>
        </w:tc>
        <w:tc>
          <w:tcPr>
            <w:tcW w:w="840" w:type="dxa"/>
            <w:vAlign w:val="bottom"/>
          </w:tcPr>
          <w:p>
            <w:pPr>
              <w:jc w:val="right"/>
              <w:ind w:right="79"/>
              <w:spacing w:after="0" w:line="158" w:lineRule="exact"/>
              <w:rPr>
                <w:sz w:val="20"/>
                <w:szCs w:val="20"/>
                <w:color w:val="auto"/>
              </w:rPr>
            </w:pPr>
            <w:r>
              <w:rPr>
                <w:rFonts w:ascii="Times New Roman" w:cs="Times New Roman" w:eastAsia="Times New Roman" w:hAnsi="Times New Roman"/>
                <w:sz w:val="16"/>
                <w:szCs w:val="16"/>
                <w:b w:val="1"/>
                <w:bCs w:val="1"/>
                <w:color w:val="auto"/>
                <w:w w:val="96"/>
              </w:rPr>
              <w:t>After-Tax</w:t>
            </w:r>
          </w:p>
        </w:tc>
        <w:tc>
          <w:tcPr>
            <w:tcW w:w="120" w:type="dxa"/>
            <w:vAlign w:val="bottom"/>
          </w:tcPr>
          <w:p>
            <w:pPr>
              <w:spacing w:after="0"/>
              <w:rPr>
                <w:sz w:val="13"/>
                <w:szCs w:val="13"/>
                <w:color w:val="auto"/>
              </w:rPr>
            </w:pPr>
          </w:p>
        </w:tc>
        <w:tc>
          <w:tcPr>
            <w:tcW w:w="900" w:type="dxa"/>
            <w:vAlign w:val="bottom"/>
          </w:tcPr>
          <w:p>
            <w:pPr>
              <w:jc w:val="right"/>
              <w:ind w:right="79"/>
              <w:spacing w:after="0" w:line="158" w:lineRule="exact"/>
              <w:rPr>
                <w:sz w:val="20"/>
                <w:szCs w:val="20"/>
                <w:color w:val="auto"/>
              </w:rPr>
            </w:pPr>
            <w:r>
              <w:rPr>
                <w:rFonts w:ascii="Times New Roman" w:cs="Times New Roman" w:eastAsia="Times New Roman" w:hAnsi="Times New Roman"/>
                <w:sz w:val="16"/>
                <w:szCs w:val="16"/>
                <w:b w:val="1"/>
                <w:bCs w:val="1"/>
                <w:color w:val="auto"/>
              </w:rPr>
              <w:t>Pre-Tax</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Tax Effect</w:t>
            </w:r>
          </w:p>
        </w:tc>
        <w:tc>
          <w:tcPr>
            <w:tcW w:w="900" w:type="dxa"/>
            <w:vAlign w:val="bottom"/>
          </w:tcPr>
          <w:p>
            <w:pPr>
              <w:jc w:val="right"/>
              <w:ind w:right="119"/>
              <w:spacing w:after="0" w:line="158" w:lineRule="exact"/>
              <w:rPr>
                <w:sz w:val="20"/>
                <w:szCs w:val="20"/>
                <w:color w:val="auto"/>
              </w:rPr>
            </w:pPr>
            <w:r>
              <w:rPr>
                <w:rFonts w:ascii="Times New Roman" w:cs="Times New Roman" w:eastAsia="Times New Roman" w:hAnsi="Times New Roman"/>
                <w:sz w:val="16"/>
                <w:szCs w:val="16"/>
                <w:b w:val="1"/>
                <w:bCs w:val="1"/>
                <w:color w:val="auto"/>
                <w:w w:val="99"/>
              </w:rPr>
              <w:t>After-Tax</w:t>
            </w:r>
          </w:p>
        </w:tc>
        <w:tc>
          <w:tcPr>
            <w:tcW w:w="0" w:type="dxa"/>
            <w:vAlign w:val="bottom"/>
          </w:tcPr>
          <w:p>
            <w:pPr>
              <w:spacing w:after="0"/>
              <w:rPr>
                <w:sz w:val="1"/>
                <w:szCs w:val="1"/>
                <w:color w:val="auto"/>
              </w:rPr>
            </w:pPr>
          </w:p>
        </w:tc>
      </w:tr>
      <w:tr>
        <w:trPr>
          <w:trHeight w:val="214"/>
        </w:trPr>
        <w:tc>
          <w:tcPr>
            <w:tcW w:w="23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20" w:type="dxa"/>
            <w:vAlign w:val="bottom"/>
            <w:tcBorders>
              <w:bottom w:val="single" w:sz="8" w:color="auto"/>
            </w:tcBorders>
            <w:gridSpan w:val="2"/>
            <w:vMerge w:val="continue"/>
          </w:tcPr>
          <w:p>
            <w:pPr>
              <w:spacing w:after="0"/>
              <w:rPr>
                <w:sz w:val="18"/>
                <w:szCs w:val="18"/>
                <w:color w:val="auto"/>
              </w:rPr>
            </w:pPr>
          </w:p>
        </w:tc>
        <w:tc>
          <w:tcPr>
            <w:tcW w:w="9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20" w:type="dxa"/>
            <w:vAlign w:val="bottom"/>
            <w:tcBorders>
              <w:bottom w:val="single" w:sz="8" w:color="auto"/>
            </w:tcBorders>
            <w:gridSpan w:val="2"/>
            <w:vMerge w:val="continue"/>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20" w:type="dxa"/>
            <w:vAlign w:val="bottom"/>
            <w:tcBorders>
              <w:bottom w:val="single" w:sz="8" w:color="auto"/>
            </w:tcBorders>
            <w:gridSpan w:val="2"/>
            <w:vMerge w:val="continue"/>
          </w:tcPr>
          <w:p>
            <w:pPr>
              <w:spacing w:after="0"/>
              <w:rPr>
                <w:sz w:val="18"/>
                <w:szCs w:val="18"/>
                <w:color w:val="auto"/>
              </w:rPr>
            </w:pPr>
          </w:p>
        </w:tc>
        <w:tc>
          <w:tcPr>
            <w:tcW w:w="9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11"/>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194,177</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(92,219)</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(461,435)</w:t>
            </w:r>
          </w:p>
        </w:tc>
        <w:tc>
          <w:tcPr>
            <w:tcW w:w="0" w:type="dxa"/>
            <w:vAlign w:val="bottom"/>
          </w:tcPr>
          <w:p>
            <w:pPr>
              <w:spacing w:after="0"/>
              <w:rPr>
                <w:sz w:val="1"/>
                <w:szCs w:val="1"/>
                <w:color w:val="auto"/>
              </w:rPr>
            </w:pPr>
          </w:p>
        </w:tc>
      </w:tr>
      <w:tr>
        <w:trPr>
          <w:trHeight w:val="207"/>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 plan adjustments</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26,184</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(9,071)</w:t>
            </w: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17,113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63,959</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(15,391)</w:t>
            </w: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48,568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(33,831)</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8,162</w:t>
            </w: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(25,669)</w:t>
            </w:r>
          </w:p>
        </w:tc>
        <w:tc>
          <w:tcPr>
            <w:tcW w:w="0" w:type="dxa"/>
            <w:vAlign w:val="bottom"/>
          </w:tcPr>
          <w:p>
            <w:pPr>
              <w:spacing w:after="0"/>
              <w:rPr>
                <w:sz w:val="1"/>
                <w:szCs w:val="1"/>
                <w:color w:val="auto"/>
              </w:rPr>
            </w:pPr>
          </w:p>
        </w:tc>
      </w:tr>
      <w:tr>
        <w:trPr>
          <w:trHeight w:val="165"/>
        </w:trPr>
        <w:tc>
          <w:tcPr>
            <w:tcW w:w="23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Foreign currency translation</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(96,783)</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10,407</w:t>
            </w: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(86,376)</w:t>
            </w: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7,383</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w:t>
            </w: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8,925</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(6,348)</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w:t>
            </w: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(7,818)</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02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 hedges:</w:t>
            </w: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320" w:type="dxa"/>
            <w:vAlign w:val="bottom"/>
            <w:shd w:val="clear" w:color="auto" w:fill="CCEEFF"/>
          </w:tcPr>
          <w:p>
            <w:pPr>
              <w:ind w:left="260"/>
              <w:spacing w:after="0" w:line="165" w:lineRule="exact"/>
              <w:rPr>
                <w:sz w:val="20"/>
                <w:szCs w:val="20"/>
                <w:color w:val="auto"/>
              </w:rPr>
            </w:pPr>
            <w:r>
              <w:rPr>
                <w:rFonts w:ascii="Times New Roman" w:cs="Times New Roman" w:eastAsia="Times New Roman" w:hAnsi="Times New Roman"/>
                <w:sz w:val="16"/>
                <w:szCs w:val="16"/>
                <w:color w:val="auto"/>
              </w:rPr>
              <w:t>Unrealized gains (losses)</w:t>
            </w:r>
          </w:p>
        </w:tc>
        <w:tc>
          <w:tcPr>
            <w:tcW w:w="102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193,616</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(50,340)</w:t>
            </w: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143,276</w:t>
            </w: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(110,817)</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28,812</w:t>
            </w: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(82,005)</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arising during the period</w:t>
            </w:r>
          </w:p>
        </w:tc>
        <w:tc>
          <w:tcPr>
            <w:tcW w:w="102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Reclassification adjustments</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27,970</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(7,272)</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20,698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50,595</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(13,155)</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37,440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34,409</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(8,946)</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25,463</w:t>
            </w:r>
          </w:p>
        </w:tc>
        <w:tc>
          <w:tcPr>
            <w:tcW w:w="0" w:type="dxa"/>
            <w:vAlign w:val="bottom"/>
          </w:tcPr>
          <w:p>
            <w:pPr>
              <w:spacing w:after="0"/>
              <w:rPr>
                <w:sz w:val="1"/>
                <w:szCs w:val="1"/>
                <w:color w:val="auto"/>
              </w:rPr>
            </w:pPr>
          </w:p>
        </w:tc>
      </w:tr>
      <w:tr>
        <w:trPr>
          <w:trHeight w:val="165"/>
        </w:trPr>
        <w:tc>
          <w:tcPr>
            <w:tcW w:w="23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Share of equity investee's</w:t>
            </w:r>
          </w:p>
        </w:tc>
        <w:tc>
          <w:tcPr>
            <w:tcW w:w="102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1,729</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w:t>
            </w:r>
          </w:p>
        </w:tc>
        <w:tc>
          <w:tcPr>
            <w:tcW w:w="100" w:type="dxa"/>
            <w:vAlign w:val="bottom"/>
            <w:vMerge w:val="restart"/>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3,405</w:t>
            </w: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3,405</w:t>
            </w:r>
          </w:p>
        </w:tc>
        <w:tc>
          <w:tcPr>
            <w:tcW w:w="120" w:type="dxa"/>
            <w:vAlign w:val="bottom"/>
            <w:vMerge w:val="restart"/>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221"/>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gridSpan w:val="2"/>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gridSpan w:val="2"/>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gridSpan w:val="2"/>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32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Other comprehensive income</w:t>
            </w:r>
          </w:p>
        </w:tc>
        <w:tc>
          <w:tcPr>
            <w:tcW w:w="102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152,716</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(56,276)</w:t>
            </w:r>
          </w:p>
        </w:tc>
        <w:tc>
          <w:tcPr>
            <w:tcW w:w="1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96,440</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126,570</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(27,323)</w:t>
            </w:r>
          </w:p>
        </w:tc>
        <w:tc>
          <w:tcPr>
            <w:tcW w:w="1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99,247</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(116,851)</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26,558</w:t>
            </w:r>
          </w:p>
        </w:tc>
        <w:tc>
          <w:tcPr>
            <w:tcW w:w="1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(90,293)</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w:t>
            </w:r>
          </w:p>
        </w:tc>
        <w:tc>
          <w:tcPr>
            <w:tcW w:w="102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0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290,617</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7,028</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(551,728)</w:t>
            </w:r>
          </w:p>
        </w:tc>
        <w:tc>
          <w:tcPr>
            <w:tcW w:w="0" w:type="dxa"/>
            <w:vAlign w:val="bottom"/>
          </w:tcPr>
          <w:p>
            <w:pPr>
              <w:spacing w:after="0"/>
              <w:rPr>
                <w:sz w:val="1"/>
                <w:szCs w:val="1"/>
                <w:color w:val="auto"/>
              </w:rPr>
            </w:pPr>
          </w:p>
        </w:tc>
      </w:tr>
      <w:tr>
        <w:trPr>
          <w:trHeight w:val="162"/>
        </w:trPr>
        <w:tc>
          <w:tcPr>
            <w:tcW w:w="23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Less: Net (loss) income</w:t>
            </w: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attributable to noncontrolling</w:t>
            </w: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(1,386)</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13"/>
        </w:trPr>
        <w:tc>
          <w:tcPr>
            <w:tcW w:w="2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10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3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Comprehensive income (loss)</w:t>
            </w:r>
          </w:p>
        </w:tc>
        <w:tc>
          <w:tcPr>
            <w:tcW w:w="10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attributable to Aramark</w:t>
            </w:r>
          </w:p>
        </w:tc>
        <w:tc>
          <w:tcPr>
            <w:tcW w:w="10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290,924</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8,414</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(551,822)</w:t>
            </w:r>
          </w:p>
        </w:tc>
        <w:tc>
          <w:tcPr>
            <w:tcW w:w="0" w:type="dxa"/>
            <w:vAlign w:val="bottom"/>
          </w:tcPr>
          <w:p>
            <w:pPr>
              <w:spacing w:after="0"/>
              <w:rPr>
                <w:sz w:val="1"/>
                <w:szCs w:val="1"/>
                <w:color w:val="auto"/>
              </w:rPr>
            </w:pPr>
          </w:p>
        </w:tc>
      </w:tr>
      <w:tr>
        <w:trPr>
          <w:trHeight w:val="20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w:t>
            </w:r>
          </w:p>
        </w:tc>
        <w:tc>
          <w:tcPr>
            <w:tcW w:w="10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other comprehensive loss consists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40" w:type="dxa"/>
            <w:vAlign w:val="bottom"/>
          </w:tcPr>
          <w:p>
            <w:pPr>
              <w:spacing w:after="0"/>
              <w:rPr>
                <w:sz w:val="16"/>
                <w:szCs w:val="16"/>
                <w:color w:val="auto"/>
              </w:rPr>
            </w:pPr>
          </w:p>
        </w:tc>
        <w:tc>
          <w:tcPr>
            <w:tcW w:w="14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October 1, 2021</w:t>
            </w:r>
          </w:p>
        </w:tc>
      </w:tr>
      <w:tr>
        <w:trPr>
          <w:trHeight w:val="23"/>
        </w:trPr>
        <w:tc>
          <w:tcPr>
            <w:tcW w:w="7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plan adjustments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(24,323)</w:t>
            </w:r>
          </w:p>
        </w:tc>
      </w:tr>
      <w:tr>
        <w:trPr>
          <w:trHeight w:val="229"/>
        </w:trPr>
        <w:tc>
          <w:tcPr>
            <w:tcW w:w="7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Foreign currency translation adjustments</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(127,012)</w:t>
            </w:r>
          </w:p>
        </w:tc>
      </w:tr>
      <w:tr>
        <w:trPr>
          <w:trHeight w:val="230"/>
        </w:trPr>
        <w:tc>
          <w:tcPr>
            <w:tcW w:w="7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Cash flow hedges</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(49,249)</w:t>
            </w:r>
          </w:p>
        </w:tc>
      </w:tr>
      <w:tr>
        <w:trPr>
          <w:trHeight w:val="229"/>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 of equity investee's accumulated other comprehensive loss</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(7,427)</w:t>
            </w:r>
          </w:p>
        </w:tc>
      </w:tr>
      <w:tr>
        <w:trPr>
          <w:trHeight w:val="248"/>
        </w:trPr>
        <w:tc>
          <w:tcPr>
            <w:tcW w:w="7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(208,011)</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60" w:hanging="334"/>
        <w:spacing w:after="0"/>
        <w:tabs>
          <w:tab w:leader="none" w:pos="36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Significant change in foreign currency translation adjustment in fiscal 2022 due to the strengthening of the United States dollar against the local currencies of the countries that Aramark operates in.</w:t>
      </w:r>
    </w:p>
    <w:p>
      <w:pPr>
        <w:spacing w:after="0" w:line="26" w:lineRule="exact"/>
        <w:rPr>
          <w:rFonts w:ascii="Times New Roman" w:cs="Times New Roman" w:eastAsia="Times New Roman" w:hAnsi="Times New Roman"/>
          <w:sz w:val="13"/>
          <w:szCs w:val="13"/>
          <w:color w:val="auto"/>
        </w:rPr>
      </w:pPr>
    </w:p>
    <w:p>
      <w:pPr>
        <w:ind w:left="360" w:hanging="334"/>
        <w:spacing w:after="0"/>
        <w:tabs>
          <w:tab w:leader="none" w:pos="36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Significant change in cash flow hedges impacted by changes in forward interest rates.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Translation</w:t>
      </w:r>
    </w:p>
    <w:p>
      <w:pPr>
        <w:spacing w:after="0" w:line="9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Gains and losses resulting from the translation of financial statements of non-United States subsidiaries are reflected as a component of accumulated other comprehensive loss in stockholders' equity. Beginning in fiscal 2018, Argentina was determined to have a highly inflationary economy. As a result, the Company remeasures the financial statements of Argentina's operations in accordance with the accounting guidance for highly inflationary economies. The impact of the remeasurements was a foreign currency transaction loss of $3.5 million, $1.8 million and $2.5 million during fiscal 2022, fiscal 2021 and fiscal 2020, respectively, to the Consolidated Statements of Income (Loss). The impact of foreign currency transaction gains and losses exclusive of Argentina's operations included in the Company's operating results for fiscal 2022, fiscal 2021 and fiscal 2020 were immaterial to the consolidated financial statements.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Assets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to be cash equivalents.</w:t>
      </w:r>
    </w:p>
    <w:p>
      <w:pPr>
        <w:spacing w:after="0" w:line="9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 insures portions of its risk in general liability, automobile liability, workers’ compensation liability and property liability through a wholly owned captive insurance subsidiary (the "Captive"), to enhance its risk financing strategies. The Captive is subject to regulations within its domicile of Bermuda, including regulations established by the Bermuda Monetary Authority (the "BMA") relating to levels of liquidity and solvency as such concepts are defined by the BMA. The Captive was in compliance with these regulations as of September 30, 2022. These regulations may have the effect of limiting the Company's ability to access certain cash and cash equivalents held by the Captive for uses other than for the payment of its general liability, automobile liability, workers’ compensation liability, property liability and related Captive costs. As of September 30, 2022 and October 1, 2021, cash and cash equivalents at the Captive were $23.1 million and $194.3 million, respectively. During fiscal 2022, the Captive began investing a portion of its cash and cash equivalents in United States Treasury securities to improve returns on the Captive's assets. The amount of this investment as of September 30, 2022 was $78.2 million and recorded in "Prepayments and other current assets" on the Consolidated Balance Sheets.</w:t>
      </w:r>
    </w:p>
    <w:p>
      <w:pPr>
        <w:spacing w:after="0" w:line="6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Inventories are valued at the lower of cost (principally the first-in, first-out method) or net realizable value. As of September 30, 2022 and October 1, 2021, the Company's reserve for inventory was $51.3 million and $45.7 million, respectively. The inventory reserve is determined based on history and projected customer consumption and specific identification. During the fourth quarter of fiscal 2022, the Company decided to no longer sell personal protective equipment ("PPE"), which required inventory write-downs to zero net realizable value. The Company recorded $19.6 million and $25.4 million in inventory write-down charges to the Consolidated Statements of Income (Loss) during fiscal 2022 and fiscal 2021, respectively, to reflect the net realizable value of PPE inventory within the Uniform segment.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inventories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19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80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October 1, 2021</w:t>
            </w:r>
          </w:p>
        </w:tc>
      </w:tr>
      <w:tr>
        <w:trPr>
          <w:trHeight w:val="23"/>
        </w:trPr>
        <w:tc>
          <w:tcPr>
            <w:tcW w:w="75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23"/>
        </w:trPr>
        <w:tc>
          <w:tcPr>
            <w:tcW w:w="75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Food</w:t>
            </w:r>
            <w:r>
              <w:rPr>
                <w:rFonts w:ascii="Times New Roman" w:cs="Times New Roman" w:eastAsia="Times New Roman" w:hAnsi="Times New Roman"/>
                <w:sz w:val="23"/>
                <w:szCs w:val="23"/>
                <w:color w:val="auto"/>
                <w:vertAlign w:val="superscript"/>
              </w:rPr>
              <w:t>(1)</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64.0 %</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48.7 %</w:t>
            </w:r>
          </w:p>
        </w:tc>
      </w:tr>
      <w:tr>
        <w:trPr>
          <w:trHeight w:val="230"/>
        </w:trPr>
        <w:tc>
          <w:tcPr>
            <w:tcW w:w="75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Career apparel and linens</w:t>
            </w:r>
            <w:r>
              <w:rPr>
                <w:rFonts w:ascii="Times New Roman" w:cs="Times New Roman" w:eastAsia="Times New Roman" w:hAnsi="Times New Roman"/>
                <w:sz w:val="23"/>
                <w:szCs w:val="23"/>
                <w:color w:val="auto"/>
                <w:vertAlign w:val="superscript"/>
              </w:rPr>
              <w:t>(2)</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46.0 %</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Parts, supplies and novelties</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23"/>
        </w:trPr>
        <w:tc>
          <w:tcPr>
            <w:tcW w:w="7500" w:type="dxa"/>
            <w:vAlign w:val="bottom"/>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75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420" w:hanging="394"/>
        <w:spacing w:after="0"/>
        <w:tabs>
          <w:tab w:leader="none" w:pos="42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Food inventory increased during fiscal 2022 from the recovery of the COVID-19 pandemic ("COVID-19") and the addition of inventory associated with the Union Supply acquisition.</w:t>
      </w:r>
    </w:p>
    <w:p>
      <w:pPr>
        <w:spacing w:after="0" w:line="26" w:lineRule="exact"/>
        <w:rPr>
          <w:rFonts w:ascii="Times New Roman" w:cs="Times New Roman" w:eastAsia="Times New Roman" w:hAnsi="Times New Roman"/>
          <w:sz w:val="13"/>
          <w:szCs w:val="13"/>
          <w:color w:val="auto"/>
        </w:rPr>
      </w:pPr>
    </w:p>
    <w:p>
      <w:pPr>
        <w:ind w:left="420" w:hanging="394"/>
        <w:spacing w:after="0"/>
        <w:tabs>
          <w:tab w:leader="none" w:pos="42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Career apparel and linens inventory decreased during fiscal 2022 as the Company ceased production and distribution of PPE and due to greater increase of food inventory as part of total inventory.</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Prepayments and other current assets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details of "Prepayments and other current assets" as presented in the Consolidated Balance Sheets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40" w:type="dxa"/>
            <w:vAlign w:val="bottom"/>
          </w:tcPr>
          <w:p>
            <w:pPr>
              <w:spacing w:after="0"/>
              <w:rPr>
                <w:sz w:val="16"/>
                <w:szCs w:val="16"/>
                <w:color w:val="auto"/>
              </w:rPr>
            </w:pPr>
          </w:p>
        </w:tc>
        <w:tc>
          <w:tcPr>
            <w:tcW w:w="14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October 1, 2021</w:t>
            </w:r>
          </w:p>
        </w:tc>
      </w:tr>
      <w:tr>
        <w:trPr>
          <w:trHeight w:val="23"/>
        </w:trPr>
        <w:tc>
          <w:tcPr>
            <w:tcW w:w="7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12,566</w:t>
            </w: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Taxes and Licenses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11,159</w:t>
            </w: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Asset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23,523</w:t>
            </w:r>
          </w:p>
        </w:tc>
      </w:tr>
      <w:tr>
        <w:trPr>
          <w:trHeight w:val="229"/>
        </w:trPr>
        <w:tc>
          <w:tcPr>
            <w:tcW w:w="7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Marketable Securities</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Prepaid Expenses</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146,870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157,739</w:t>
            </w:r>
          </w:p>
        </w:tc>
      </w:tr>
      <w:tr>
        <w:trPr>
          <w:trHeight w:val="223"/>
        </w:trPr>
        <w:tc>
          <w:tcPr>
            <w:tcW w:w="77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262,195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204,987</w:t>
            </w:r>
          </w:p>
        </w:tc>
      </w:tr>
      <w:tr>
        <w:trPr>
          <w:trHeight w:val="21"/>
        </w:trPr>
        <w:tc>
          <w:tcPr>
            <w:tcW w:w="7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420" w:hanging="394"/>
        <w:spacing w:after="0"/>
        <w:tabs>
          <w:tab w:leader="none" w:pos="42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Marketable securities represent held-to-maturity debt securities with original maturities greater than three months, which are maturing within one year.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0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and are depreciated over their estimated useful lives on a straight-line basis. Gains and losses on dispositions are included in operating results. Maintenance and repairs are charged to current operations and replacements and significant improvements that extend the useful life of the asset are capitalized. The estimated useful lives for the major categories of property and equipment are 10 to 40 years for buildings and improvements and three to 20 years for service equipment and fixtures. Depreciation expense during fiscal 2022, fiscal 2021 and fiscal 2020 was $367.1 million, $378.3 million and $418.3 million, respectively.</w:t>
      </w:r>
    </w:p>
    <w:p>
      <w:pPr>
        <w:spacing w:after="0" w:line="4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During fiscal 2020, the Company recognized impairment charges of $30.6 million within its FSS United States and FSS International segments, consisting of right-of-use assets ($11.6 million), property and equipment ($17.8 million) and other assets ($1.2 million), which are included in "Cost of services provided (exclusive of depreciation and amortization)" on the Consolidated Statements of Income (Loss) for the fiscal year ended October 2, 2020. These impairment charges primarily relate to client contracts that were reassessed due to the impact of COVID-19. In order to determine the impairment charges, the Company compared the estimated fair value of each asset group, calculated using discounted cash flows, to its book value.</w:t>
      </w:r>
    </w:p>
    <w:p>
      <w:pPr>
        <w:spacing w:after="0" w:line="62"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Also during fiscal 2020, the Company permanently vacated certain rental properties and assets at various locations throughout the United States related to non-core operations and no longer intended to operate or sublease at these locations. Accordingly, the Company recorded a loss on disposal by abandonment of $28.5 million within its FSS United States segment, consisting of right-of-use assets ($10.3 million), leasehold improvements</w:t>
      </w:r>
    </w:p>
    <w:p>
      <w:pPr>
        <w:spacing w:after="0" w:line="1" w:lineRule="exact"/>
        <w:rPr>
          <w:sz w:val="20"/>
          <w:szCs w:val="20"/>
          <w:color w:val="auto"/>
        </w:rPr>
      </w:pPr>
    </w:p>
    <w:p>
      <w:pPr>
        <w:ind w:right="620"/>
        <w:spacing w:after="0" w:line="255" w:lineRule="auto"/>
        <w:rPr>
          <w:sz w:val="20"/>
          <w:szCs w:val="20"/>
          <w:color w:val="auto"/>
        </w:rPr>
      </w:pPr>
      <w:r>
        <w:rPr>
          <w:rFonts w:ascii="Times New Roman" w:cs="Times New Roman" w:eastAsia="Times New Roman" w:hAnsi="Times New Roman"/>
          <w:sz w:val="18"/>
          <w:szCs w:val="18"/>
          <w:color w:val="auto"/>
        </w:rPr>
        <w:t>($17.4 million) and other assets ($0.8 million), which is included in "Cost of services provided (exclusive of depreciation and amortization)" on the Consolidated Statements of Income (Loss) for the fiscal year ended October 2, 2020. The Company had no remaining lease liability related to the abandoned leases as of October 1, 2021.</w:t>
      </w:r>
    </w:p>
    <w:p>
      <w:pPr>
        <w:spacing w:after="0" w:line="6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During fiscal 2020, the Company received $25.0 million of insurance proceeds from one of its insurance carriers related to property damage and business interruption from a tornado at one of its Uniform market centers in Nashville, Tennessee. These proceeds served to cover the cost of rebuilding the property and for any incremental expenses the Company incurred to continue servicing its customers at nearby market centers. The Company’s insurance policy provided coverage for the property damage and reimbursement for other expenses and incremental costs that have been incurred related to the damages and losses. The Company recorded a gain during fiscal 2020 of $16.3 million from these proceeds, which represents the excess of previously incurred losses, including the write-down of the damaged property and equipment and business interruption expenses. The gain is included in “Cost of services provided (exclusive of depreciation and amortization)” on the Consolidated Statements of Income (Loss). The Company allocated $21.5 million of the insurance proceeds to the recovery of the damaged building and equipment and is included within “Net cash used in investing activities” on the Consolidated Statement of Cash Flows for the fiscal year ended October 2, 2020. The remaining $3.5 million of insurance proceeds is included within “Net cash provided by operating activities” to offset the business interruption expenses incurred during the fiscal year ended October 2, 2020.</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Assets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details of "Other Assets" as presented in the Consolidated Balance Sheets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40" w:type="dxa"/>
            <w:vAlign w:val="bottom"/>
          </w:tcPr>
          <w:p>
            <w:pPr>
              <w:spacing w:after="0"/>
              <w:rPr>
                <w:sz w:val="16"/>
                <w:szCs w:val="16"/>
                <w:color w:val="auto"/>
              </w:rPr>
            </w:pPr>
          </w:p>
        </w:tc>
        <w:tc>
          <w:tcPr>
            <w:tcW w:w="146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October 1, 2021</w:t>
            </w:r>
          </w:p>
        </w:tc>
      </w:tr>
      <w:tr>
        <w:trPr>
          <w:trHeight w:val="23"/>
        </w:trPr>
        <w:tc>
          <w:tcPr>
            <w:tcW w:w="7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77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Cost to fulfill - Client</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109,541</w:t>
            </w:r>
          </w:p>
        </w:tc>
      </w:tr>
      <w:tr>
        <w:trPr>
          <w:trHeight w:val="229"/>
        </w:trPr>
        <w:tc>
          <w:tcPr>
            <w:tcW w:w="7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Cost to fulfill - Rental merchandise in-service</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324,433</w:t>
            </w: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receivables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31,832</w:t>
            </w:r>
          </w:p>
        </w:tc>
      </w:tr>
      <w:tr>
        <w:trPr>
          <w:trHeight w:val="229"/>
        </w:trPr>
        <w:tc>
          <w:tcPr>
            <w:tcW w:w="7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Miscellaneous investments</w:t>
            </w:r>
            <w:r>
              <w:rPr>
                <w:rFonts w:ascii="Times New Roman" w:cs="Times New Roman" w:eastAsia="Times New Roman" w:hAnsi="Times New Roman"/>
                <w:sz w:val="23"/>
                <w:szCs w:val="23"/>
                <w:color w:val="auto"/>
                <w:vertAlign w:val="superscript"/>
              </w:rPr>
              <w:t>(3)</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405,463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405,498</w:t>
            </w:r>
          </w:p>
        </w:tc>
      </w:tr>
      <w:tr>
        <w:trPr>
          <w:trHeight w:val="229"/>
        </w:trPr>
        <w:tc>
          <w:tcPr>
            <w:tcW w:w="7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Computer software costs, net</w:t>
            </w:r>
            <w:r>
              <w:rPr>
                <w:rFonts w:ascii="Times New Roman" w:cs="Times New Roman" w:eastAsia="Times New Roman" w:hAnsi="Times New Roman"/>
                <w:sz w:val="23"/>
                <w:szCs w:val="23"/>
                <w:color w:val="auto"/>
                <w:vertAlign w:val="superscript"/>
              </w:rPr>
              <w:t>(4)</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182,650</w:t>
            </w:r>
          </w:p>
        </w:tc>
      </w:tr>
      <w:tr>
        <w:trPr>
          <w:trHeight w:val="230"/>
        </w:trPr>
        <w:tc>
          <w:tcPr>
            <w:tcW w:w="7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rate swap agreements</w:t>
            </w:r>
            <w:r>
              <w:rPr>
                <w:rFonts w:ascii="Times New Roman" w:cs="Times New Roman" w:eastAsia="Times New Roman" w:hAnsi="Times New Roman"/>
                <w:sz w:val="23"/>
                <w:szCs w:val="23"/>
                <w:color w:val="auto"/>
                <w:vertAlign w:val="superscript"/>
              </w:rPr>
              <w:t>(5)</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Employee sales commissions</w:t>
            </w:r>
            <w:r>
              <w:rPr>
                <w:rFonts w:ascii="Times New Roman" w:cs="Times New Roman" w:eastAsia="Times New Roman" w:hAnsi="Times New Roman"/>
                <w:sz w:val="23"/>
                <w:szCs w:val="23"/>
                <w:color w:val="auto"/>
                <w:vertAlign w:val="superscript"/>
              </w:rPr>
              <w:t>(6)</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124,610</w:t>
            </w:r>
          </w:p>
        </w:tc>
      </w:tr>
      <w:tr>
        <w:trPr>
          <w:trHeight w:val="230"/>
        </w:trPr>
        <w:tc>
          <w:tcPr>
            <w:tcW w:w="77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(7)</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156,578</w:t>
            </w:r>
          </w:p>
        </w:tc>
      </w:tr>
      <w:tr>
        <w:trPr>
          <w:trHeight w:val="248"/>
        </w:trPr>
        <w:tc>
          <w:tcPr>
            <w:tcW w:w="7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1,537,406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1,335,142</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40" w:hanging="414"/>
        <w:spacing w:after="0"/>
        <w:tabs>
          <w:tab w:leader="none" w:pos="44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Cost to fulfill - Client represent payments made by the Company to enhance the service resources used by the Company to satisfy its performance obligation (see Note 7).</w:t>
      </w:r>
    </w:p>
    <w:p>
      <w:pPr>
        <w:sectPr>
          <w:pgSz w:w="11900" w:h="16838" w:orient="portrait"/>
          <w:cols w:equalWidth="0" w:num="1">
            <w:col w:w="11240"/>
          </w:cols>
          <w:pgMar w:left="320" w:top="175" w:right="339" w:bottom="1440" w:gutter="0" w:footer="0" w:header="0"/>
        </w:sectPr>
      </w:pP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(2)</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Costs to fulfill - Rental merchandise in-service represent personalized work apparel, linens and other rental items in service at customer locations (see Note 7).</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Miscellaneous investments represent investments in 50% or less owned entities.</w:t>
      </w:r>
    </w:p>
    <w:p>
      <w:pPr>
        <w:spacing w:after="0" w:line="26" w:lineRule="exact"/>
        <w:rPr>
          <w:sz w:val="20"/>
          <w:szCs w:val="20"/>
          <w:color w:val="auto"/>
        </w:rPr>
      </w:pPr>
    </w:p>
    <w:p>
      <w:pPr>
        <w:sectPr>
          <w:pgSz w:w="11900" w:h="16838" w:orient="portrait"/>
          <w:cols w:equalWidth="0" w:num="2">
            <w:col w:w="180" w:space="260"/>
            <w:col w:w="10800"/>
          </w:cols>
          <w:pgMar w:left="320" w:top="175" w:right="339" w:bottom="1440" w:gutter="0" w:footer="0" w:header="0"/>
          <w:type w:val="continuous"/>
        </w:sectPr>
      </w:pPr>
    </w:p>
    <w:p>
      <w:pPr>
        <w:ind w:left="440" w:hanging="414"/>
        <w:spacing w:after="0"/>
        <w:tabs>
          <w:tab w:leader="none" w:pos="44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Computer software costs represent capitalized costs incurred to purchase or develop software for internal use, and are amortized over the estimated useful life of the software, generally a period of three to 10 years.</w:t>
      </w:r>
    </w:p>
    <w:p>
      <w:pPr>
        <w:spacing w:after="0" w:line="37" w:lineRule="exact"/>
        <w:rPr>
          <w:rFonts w:ascii="Times New Roman" w:cs="Times New Roman" w:eastAsia="Times New Roman" w:hAnsi="Times New Roman"/>
          <w:sz w:val="12"/>
          <w:szCs w:val="12"/>
          <w:color w:val="auto"/>
        </w:rPr>
      </w:pPr>
    </w:p>
    <w:p>
      <w:pPr>
        <w:ind w:left="440" w:hanging="414"/>
        <w:spacing w:after="0"/>
        <w:tabs>
          <w:tab w:leader="none" w:pos="44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Interest rate swaps moved from liability positions as of October 1, 2021 to asset positions as of September 30, 2022 due to changes in forward interest rates.</w:t>
      </w:r>
    </w:p>
    <w:p>
      <w:pPr>
        <w:sectPr>
          <w:pgSz w:w="11900" w:h="16838" w:orient="portrait"/>
          <w:cols w:equalWidth="0" w:num="1">
            <w:col w:w="11240"/>
          </w:cols>
          <w:pgMar w:left="320" w:top="175" w:right="339" w:bottom="1440" w:gutter="0" w:footer="0" w:header="0"/>
          <w:type w:val="continuous"/>
        </w:sectPr>
      </w:pP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(6)</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Employee sales commissions represent commission payments made to employees related to new or retained business contracts (see Note 7).</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Other consists primarily of noncurrent deferred tax assets, pension assets, deferred financing costs on certain revolving credit facilities and other noncurrent assets.</w:t>
      </w:r>
    </w:p>
    <w:p>
      <w:pPr>
        <w:spacing w:after="0" w:line="200" w:lineRule="exact"/>
        <w:rPr>
          <w:sz w:val="20"/>
          <w:szCs w:val="20"/>
          <w:color w:val="auto"/>
        </w:rPr>
      </w:pPr>
    </w:p>
    <w:p>
      <w:pPr>
        <w:sectPr>
          <w:pgSz w:w="11900" w:h="16838" w:orient="portrait"/>
          <w:cols w:equalWidth="0" w:num="2">
            <w:col w:w="180" w:space="260"/>
            <w:col w:w="10800"/>
          </w:cols>
          <w:pgMar w:left="320" w:top="175" w:right="339" w:bottom="1440" w:gutter="0" w:footer="0" w:header="0"/>
          <w:type w:val="continuous"/>
        </w:sectPr>
      </w:pPr>
    </w:p>
    <w:p>
      <w:pPr>
        <w:spacing w:after="0" w:line="1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principal equity method investment is its 50% ownership interest in AIM Services Co., Ltd., a Japanese food and support services company ($128.4 million and $187.5 million at September 30, 2022 and October 1, 2021, respectively).</w:t>
      </w:r>
    </w:p>
    <w:p>
      <w:pPr>
        <w:spacing w:after="0" w:line="2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For investments in 50% or less owned entities, other than those accounted for under the equity method of accounting, the Company measures these investments at cost, less any impairment and adjusted for changes in fair value resulting from observable price changes for an identical or a similar investment of the same issuer due to the lack of readily available fair values related to those investments. During fiscal 2021, the Company identified an observable price change related to an equity investment without a readily determinable fair value and recognized a non-cash gain of $137.9 million on the Consolidated Statements of Income (Loss). The carrying amount of equity investments without readily determinable fair values as of both September 30, 2022 and October 1, 2021 was $180.5 million.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Accrued Expenses and Liabilities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details of "Accrued expenses and other current liabilities" in the Consolidated Balance Sheets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40" w:type="dxa"/>
            <w:vAlign w:val="bottom"/>
          </w:tcPr>
          <w:p>
            <w:pPr>
              <w:spacing w:after="0"/>
              <w:rPr>
                <w:sz w:val="16"/>
                <w:szCs w:val="16"/>
                <w:color w:val="auto"/>
              </w:rPr>
            </w:pPr>
          </w:p>
        </w:tc>
        <w:tc>
          <w:tcPr>
            <w:tcW w:w="14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October 1, 2021</w:t>
            </w:r>
          </w:p>
        </w:tc>
      </w:tr>
      <w:tr>
        <w:trPr>
          <w:trHeight w:val="23"/>
        </w:trPr>
        <w:tc>
          <w:tcPr>
            <w:tcW w:w="7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77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Deferred income</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340,587</w:t>
            </w: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client expenses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127,086</w:t>
            </w: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58,410</w:t>
            </w:r>
          </w:p>
        </w:tc>
      </w:tr>
      <w:tr>
        <w:trPr>
          <w:trHeight w:val="230"/>
        </w:trPr>
        <w:tc>
          <w:tcPr>
            <w:tcW w:w="7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Accrued insurance</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and interest</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167,323</w:t>
            </w: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408,559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441,622</w:t>
            </w:r>
          </w:p>
        </w:tc>
      </w:tr>
      <w:tr>
        <w:trPr>
          <w:trHeight w:val="223"/>
        </w:trPr>
        <w:tc>
          <w:tcPr>
            <w:tcW w:w="77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1,172,071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1,135,028</w:t>
            </w:r>
          </w:p>
        </w:tc>
      </w:tr>
      <w:tr>
        <w:trPr>
          <w:trHeight w:val="20"/>
        </w:trPr>
        <w:tc>
          <w:tcPr>
            <w:tcW w:w="7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440" w:right="220" w:hanging="380"/>
        <w:spacing w:after="0" w:line="189" w:lineRule="auto"/>
        <w:tabs>
          <w:tab w:leader="none" w:pos="440" w:val="left"/>
        </w:tabs>
        <w:numPr>
          <w:ilvl w:val="0"/>
          <w:numId w:val="4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1"/>
          <w:szCs w:val="11"/>
          <w:color w:val="auto"/>
        </w:rPr>
        <w:t>Includes consideration received in advance from customers prior to the service being performed ($324.5 million and $312.6 million) or from vendors prior to the goods being consumed ($22.4 million and $21.3 million) in fiscal 2022 and fiscal 2021, respectively.</w:t>
      </w:r>
    </w:p>
    <w:p>
      <w:pPr>
        <w:spacing w:after="0" w:line="25" w:lineRule="exact"/>
        <w:rPr>
          <w:rFonts w:ascii="Times New Roman" w:cs="Times New Roman" w:eastAsia="Times New Roman" w:hAnsi="Times New Roman"/>
          <w:sz w:val="22"/>
          <w:szCs w:val="22"/>
          <w:color w:val="auto"/>
          <w:vertAlign w:val="superscript"/>
        </w:rPr>
      </w:pPr>
    </w:p>
    <w:p>
      <w:pPr>
        <w:jc w:val="both"/>
        <w:ind w:left="440" w:right="200" w:hanging="380"/>
        <w:spacing w:after="0" w:line="280" w:lineRule="auto"/>
        <w:tabs>
          <w:tab w:leader="none" w:pos="44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is self-insured for certain obligations related to its employee health care benefit programs as well as for certain risks retained under its general liability, automobile liability, workers’ compensation liability and property liability programs. Reserves are estimated through actuarial methods, with the assistance of third-party actuaries using loss development assumptions based on the Company's claim history.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Income Taxes and Other Noncurrent Liabilities</w:t>
      </w:r>
    </w:p>
    <w:p>
      <w:pPr>
        <w:spacing w:after="0" w:line="9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table presents details of "Deferred Income Taxes and Other Noncurrent Liabilities" as presented in the Consolidated Balance Sheets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40" w:type="dxa"/>
            <w:vAlign w:val="bottom"/>
          </w:tcPr>
          <w:p>
            <w:pPr>
              <w:spacing w:after="0"/>
              <w:rPr>
                <w:sz w:val="16"/>
                <w:szCs w:val="16"/>
                <w:color w:val="auto"/>
              </w:rPr>
            </w:pPr>
          </w:p>
        </w:tc>
        <w:tc>
          <w:tcPr>
            <w:tcW w:w="146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October 1, 2021</w:t>
            </w:r>
          </w:p>
        </w:tc>
      </w:tr>
      <w:tr>
        <w:trPr>
          <w:trHeight w:val="23"/>
        </w:trPr>
        <w:tc>
          <w:tcPr>
            <w:tcW w:w="7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 (see Note 10)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383,224</w:t>
            </w: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212,222</w:t>
            </w: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Pension-related liabilities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16,113</w:t>
            </w:r>
          </w:p>
        </w:tc>
      </w:tr>
      <w:tr>
        <w:trPr>
          <w:trHeight w:val="229"/>
        </w:trPr>
        <w:tc>
          <w:tcPr>
            <w:tcW w:w="7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rate swap agreements</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65,012</w:t>
            </w:r>
          </w:p>
        </w:tc>
      </w:tr>
      <w:tr>
        <w:trPr>
          <w:trHeight w:val="230"/>
        </w:trPr>
        <w:tc>
          <w:tcPr>
            <w:tcW w:w="7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Insurance reserves</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126,314</w:t>
            </w:r>
          </w:p>
        </w:tc>
      </w:tr>
      <w:tr>
        <w:trPr>
          <w:trHeight w:val="229"/>
        </w:trPr>
        <w:tc>
          <w:tcPr>
            <w:tcW w:w="77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noncurrent liabilities</w:t>
            </w:r>
            <w:r>
              <w:rPr>
                <w:rFonts w:ascii="Times New Roman" w:cs="Times New Roman" w:eastAsia="Times New Roman" w:hAnsi="Times New Roman"/>
                <w:sz w:val="23"/>
                <w:szCs w:val="23"/>
                <w:color w:val="auto"/>
                <w:vertAlign w:val="superscript"/>
              </w:rPr>
              <w:t>(3)</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240,601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276,129</w:t>
            </w:r>
          </w:p>
        </w:tc>
      </w:tr>
      <w:tr>
        <w:trPr>
          <w:trHeight w:val="248"/>
        </w:trPr>
        <w:tc>
          <w:tcPr>
            <w:tcW w:w="7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1,106,587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1,079,014</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00" w:hanging="374"/>
        <w:spacing w:after="0"/>
        <w:tabs>
          <w:tab w:leader="none" w:pos="40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Interest rate swaps moved from liability positions as of October 1, 2021 to asset positions as of September 30, 2022 due to changes in forward interest rates.</w:t>
      </w:r>
    </w:p>
    <w:p>
      <w:pPr>
        <w:sectPr>
          <w:pgSz w:w="11900" w:h="16838" w:orient="portrait"/>
          <w:cols w:equalWidth="0" w:num="1">
            <w:col w:w="11240"/>
          </w:cols>
          <w:pgMar w:left="320" w:top="175" w:right="339" w:bottom="1440" w:gutter="0" w:footer="0" w:header="0"/>
        </w:sectPr>
      </w:pP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(2)</w:t>
      </w: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160"/>
        <w:spacing w:after="0" w:line="229" w:lineRule="auto"/>
        <w:rPr>
          <w:sz w:val="20"/>
          <w:szCs w:val="20"/>
          <w:color w:val="auto"/>
        </w:rPr>
      </w:pPr>
      <w:r>
        <w:rPr>
          <w:rFonts w:ascii="Times New Roman" w:cs="Times New Roman" w:eastAsia="Times New Roman" w:hAnsi="Times New Roman"/>
          <w:sz w:val="13"/>
          <w:szCs w:val="13"/>
          <w:color w:val="auto"/>
        </w:rPr>
        <w:t>The Company is self-insured for certain obligations for certain risks retained under its general liability, automobile liability, workers’ compensation liability and property liability programs. Reserves are estimated through actuarial methods, with the assistance of third-party actuaries using loss development assumptions based on the Company's claims history.</w:t>
      </w:r>
    </w:p>
    <w:p>
      <w:pPr>
        <w:spacing w:after="0" w:line="120"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3"/>
          <w:szCs w:val="13"/>
          <w:color w:val="auto"/>
        </w:rPr>
        <w:t>Fiscal 2022 includes the Union Supply Group, Inc. contingent consideration liability, which was recorded as part of the acquisition and incremental compensation, of $45.8 million (see Note 2). Fiscal 2022 and Fiscal 2021 includes the Next Level Hospitality contingent consideration of $48.4 million and $65.4 million, respectively. Fiscal 2021 includes the $64.3 million payment deferral related to the employer portion of social security taxes as permitted under the Coronavirus Aid, Relief and Economic Security Act.</w:t>
      </w:r>
    </w:p>
    <w:p>
      <w:pPr>
        <w:spacing w:after="0" w:line="200" w:lineRule="exact"/>
        <w:rPr>
          <w:sz w:val="20"/>
          <w:szCs w:val="20"/>
          <w:color w:val="auto"/>
        </w:rPr>
      </w:pPr>
    </w:p>
    <w:p>
      <w:pPr>
        <w:sectPr>
          <w:pgSz w:w="11900" w:h="16838" w:orient="portrait"/>
          <w:cols w:equalWidth="0" w:num="2">
            <w:col w:w="180" w:space="220"/>
            <w:col w:w="10840"/>
          </w:cols>
          <w:pgMar w:left="320" w:top="175" w:right="3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Aramark's Intention to Spin-off Uniform Segment</w:t>
      </w:r>
    </w:p>
    <w:p>
      <w:pPr>
        <w:spacing w:after="0" w:line="9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May 10, 2022, the Company announced its intention to spin-off its Uniform segment into an independent publicly traded company to Aramark’s stockholders. The proposed spin-off is intended to be a tax-free transaction to Aramark and its stockholders for United States federal income tax purposes. The proposed spin-off is expected to be completed in the second half of fiscal 2023, subject to certain customary conditions, including final approval of the Aramark Board of Directors, receipt of a favorable opinion and Internal Revenue Service ruling with respect to the tax-free nature of the transaction, the effectiveness of a registration statement on Form 10 to be filed with the SEC and the receipt of other regulatory approvals. Refer to Note 15 for the Uniform segment financial disclosures.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w:t>
      </w:r>
    </w:p>
    <w:p>
      <w:pPr>
        <w:spacing w:after="0" w:line="10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COVID-19 adversely affected global economies, disrupted global supply chains and labor force participation and created significant volatility and disruption of financial markets. COVID-19 related disruptions negatively impacted the Company's financial and operating results beginning in the second quarter of fiscal 2020 through the first half of fiscal 2021. The Company's financial results started to improve during the second half of fiscal 2021 and continued to improve throughout fiscal 2022 as COVID-19 restrictions were lifted and operations re-opened.</w:t>
      </w:r>
    </w:p>
    <w:p>
      <w:pPr>
        <w:spacing w:after="0" w:line="4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Coronavirus Aid, Relief and Economic Security Act ("CARES Act") provided for deferred payment of the employer portion of social security taxes through the end of calendar 2020, with 50% of the deferred amount due December 31, 2021 and the remaining 50% due December 31, 2022. Deferred social security taxes of $64.2 million were paid in fiscal 2022. Social security taxes of $64.2 million remain deferred, which are recorded as liabilities within "Accrued payroll and related expenses" on the Company’s Consolidated Balance Sheet as of September 30, 2022.</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CARES Act provided an employee retention credit, which is a refundable tax credit against certain employment taxes. During the fiscal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 2021 and October 2, 2020, the Company recorded $15.1 million and $18.7 million, respectively, related to the employee retention credit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services provided (exclusive of depreciation and amortization)” on the Company’s Consolidated Statements of Income (Loss).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 the Company has a $23.8 million receivable balance from the United States government related to the CARES Act, which is recorded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"Receivables" on the Company's Consolidated Balance Sheet.</w:t>
      </w:r>
    </w:p>
    <w:p>
      <w:pPr>
        <w:spacing w:after="0" w:line="8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Within the FSS International and Uniform segments, many foreign jurisdictions in which the Company operates provided companies various forms of relief from COVID-19, including labor related tax credits. These labor related tax credits generally allowed companies to receive credits if they retained employees on their payroll, rather than furloughing or terminating employees as a result of the business disruption caused by COVID-19. The Company qualified for these tax credits. The Company recorded $37.0 million, $155.3 million and $128.1 million of labor related tax credits within "Cost of services provided (exclusive of depreciation and amortization)" on the Consolidated Statements of Income (Loss) during the fiscal years ended September 30, 2022, October 1, 2021 and October 2, 2020, respectively, of which $0.4 million, $17.9 million and $23.0</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million, respectively, were recorded in the Uniform segment with the remaining balances recorded in the FSS International segment. The Company does not expect to receive additional tax credits related to COVID-19 relief at this time.</w:t>
      </w:r>
    </w:p>
    <w:p>
      <w:pPr>
        <w:spacing w:after="0" w:line="27"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Company accounted for these labor related tax credits as a reduction to the expense that they were intended to compensate in the period in which the corresponding expense was incurred and there was reasonable assurance the Company would both receive the tax credits and comply with all conditions attached to the tax credits.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0" w:type="dxa"/>
            <w:vAlign w:val="bottom"/>
          </w:tcPr>
          <w:p>
            <w:pPr>
              <w:spacing w:after="0"/>
              <w:rPr>
                <w:sz w:val="16"/>
                <w:szCs w:val="16"/>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October 1, 2021</w:t>
            </w:r>
          </w:p>
        </w:tc>
        <w:tc>
          <w:tcPr>
            <w:tcW w:w="240" w:type="dxa"/>
            <w:vAlign w:val="bottom"/>
          </w:tcPr>
          <w:p>
            <w:pPr>
              <w:spacing w:after="0"/>
              <w:rPr>
                <w:sz w:val="16"/>
                <w:szCs w:val="16"/>
                <w:color w:val="auto"/>
              </w:rPr>
            </w:pPr>
          </w:p>
        </w:tc>
        <w:tc>
          <w:tcPr>
            <w:tcW w:w="146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October 2, 2020</w:t>
            </w:r>
          </w:p>
        </w:tc>
        <w:tc>
          <w:tcPr>
            <w:tcW w:w="0" w:type="dxa"/>
            <w:vAlign w:val="bottom"/>
          </w:tcPr>
          <w:p>
            <w:pPr>
              <w:spacing w:after="0"/>
              <w:rPr>
                <w:sz w:val="1"/>
                <w:szCs w:val="1"/>
                <w:color w:val="auto"/>
              </w:rPr>
            </w:pPr>
          </w:p>
        </w:tc>
      </w:tr>
      <w:tr>
        <w:trPr>
          <w:trHeight w:val="229"/>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0" w:type="dxa"/>
            <w:vAlign w:val="bottom"/>
          </w:tcPr>
          <w:p>
            <w:pPr>
              <w:spacing w:after="0"/>
              <w:rPr>
                <w:sz w:val="1"/>
                <w:szCs w:val="1"/>
                <w:color w:val="auto"/>
              </w:rPr>
            </w:pPr>
          </w:p>
        </w:tc>
      </w:tr>
      <w:tr>
        <w:trPr>
          <w:trHeight w:val="234"/>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paid (refunded)</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non-cash activities are as follows:</w:t>
      </w:r>
    </w:p>
    <w:p>
      <w:pPr>
        <w:spacing w:after="0" w:line="104" w:lineRule="exact"/>
        <w:rPr>
          <w:sz w:val="20"/>
          <w:szCs w:val="20"/>
          <w:color w:val="auto"/>
        </w:rPr>
      </w:pPr>
    </w:p>
    <w:p>
      <w:pPr>
        <w:ind w:left="660" w:right="140" w:hanging="328"/>
        <w:spacing w:after="0" w:line="266"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2022, fiscal 2021 and fiscal 2020, the Company executed finance lease transactions. The present value of the future rental obligations was $35.8 million, $36.0 million and $29.3 million for the respective periods, which is included in "Property and Equipment, at cost" and "Long-Term Borrowings" on the Consolidated Balance Sheets.</w:t>
      </w:r>
    </w:p>
    <w:p>
      <w:pPr>
        <w:spacing w:after="0" w:line="40"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2022, fiscal 2021 and fiscal 2020, cashless settlements of the exercise price and related employee minimum tax withholding liabilities of share-based payment awards were $17.8 million, $24.5 million and $92.3 million, respectively.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ACQUISITIONS: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Union Supply Group, Inc.</w:t>
      </w:r>
    </w:p>
    <w:p>
      <w:pPr>
        <w:spacing w:after="0" w:line="9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June 2, 2022, the Company completed the acquisition of Union Supply Group Inc. ("Union Supply"), a commissary goods and services supplier, pursuant to the Stock Purchase Agreement ("Union Supply Purchase Agreement") dated as of April 8, 2022, by and among Aramark Correctional Services, LLC, a wholly owned subsidiary of the Company, and Tom Thomas, in his capacity as the sellers' representative. Upon completion of the acquisition, Union Supply became a wholly owned subsidiary of the Company and its results are included in the Company's FSS United States segment. The cash consideration paid for Union Supply was $199.6 million. The Union Supply Purchase Agreement provided for contingent consideration, which the Company may be required to pay if Union Supply achieves certain adjusted EBITDA levels during calendar year 2023. A contingent consideration liability of $40.2 million was recorded as part of the acquisition with a separate amount that will be accounted for as compensation expense to be recognized in earnings over the earnout period. The acquisition was financed utilizing funds from the Company's Receivables Facility.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Consideration</w:t>
      </w:r>
    </w:p>
    <w:p>
      <w:pPr>
        <w:spacing w:after="0" w:line="106"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The Company has accounted for the Union Supply acquisition as a business combination under the acquisition method of accounting. The Company finalized its allocation of the purchase price for the transaction based upon the fair value of net assets acquired and liabilities assumed at the date of acquisition.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Recognition and Measurement of Assets Acquired and Liabilities Assumed at Fair Value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 the assets and liabilities assigned as of the acquisition date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652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102,925</w:t>
            </w:r>
          </w:p>
        </w:tc>
      </w:tr>
      <w:tr>
        <w:trPr>
          <w:trHeight w:val="229"/>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594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208,181</w:t>
            </w:r>
          </w:p>
        </w:tc>
      </w:tr>
      <w:tr>
        <w:trPr>
          <w:trHeight w:val="248"/>
        </w:trPr>
        <w:tc>
          <w:tcPr>
            <w:tcW w:w="36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5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311,106</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60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652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24,308</w:t>
            </w:r>
          </w:p>
        </w:tc>
      </w:tr>
      <w:tr>
        <w:trPr>
          <w:trHeight w:val="230"/>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594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87,171</w:t>
            </w:r>
          </w:p>
        </w:tc>
      </w:tr>
      <w:tr>
        <w:trPr>
          <w:trHeight w:val="248"/>
        </w:trPr>
        <w:tc>
          <w:tcPr>
            <w:tcW w:w="36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5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111,479</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865"/>
        </w:trPr>
        <w:tc>
          <w:tcPr>
            <w:tcW w:w="3600" w:type="dxa"/>
            <w:vAlign w:val="bottom"/>
          </w:tcPr>
          <w:p>
            <w:pPr>
              <w:spacing w:after="0"/>
              <w:rPr>
                <w:sz w:val="24"/>
                <w:szCs w:val="24"/>
                <w:color w:val="auto"/>
              </w:rPr>
            </w:pPr>
          </w:p>
        </w:tc>
        <w:tc>
          <w:tcPr>
            <w:tcW w:w="6520" w:type="dxa"/>
            <w:vAlign w:val="bottom"/>
            <w:gridSpan w:val="2"/>
          </w:tcPr>
          <w:p>
            <w:pPr>
              <w:jc w:val="right"/>
              <w:ind w:right="4230"/>
              <w:spacing w:after="0"/>
              <w:rPr>
                <w:sz w:val="20"/>
                <w:szCs w:val="20"/>
                <w:color w:val="auto"/>
              </w:rPr>
            </w:pPr>
            <w:r>
              <w:rPr>
                <w:rFonts w:ascii="Times New Roman" w:cs="Times New Roman" w:eastAsia="Times New Roman" w:hAnsi="Times New Roman"/>
                <w:sz w:val="18"/>
                <w:szCs w:val="18"/>
                <w:color w:val="auto"/>
              </w:rPr>
              <w:t>S-17</w:t>
            </w:r>
          </w:p>
        </w:tc>
        <w:tc>
          <w:tcPr>
            <w:tcW w:w="1120" w:type="dxa"/>
            <w:vAlign w:val="bottom"/>
          </w:tcPr>
          <w:p>
            <w:pPr>
              <w:spacing w:after="0"/>
              <w:rPr>
                <w:sz w:val="24"/>
                <w:szCs w:val="24"/>
                <w:color w:val="auto"/>
              </w:rPr>
            </w:pPr>
          </w:p>
        </w:tc>
      </w:tr>
      <w:tr>
        <w:trPr>
          <w:trHeight w:val="115"/>
        </w:trPr>
        <w:tc>
          <w:tcPr>
            <w:tcW w:w="3600" w:type="dxa"/>
            <w:vAlign w:val="bottom"/>
            <w:tcBorders>
              <w:bottom w:val="single" w:sz="8" w:color="9A9A9A"/>
            </w:tcBorders>
          </w:tcPr>
          <w:p>
            <w:pPr>
              <w:spacing w:after="0"/>
              <w:rPr>
                <w:sz w:val="10"/>
                <w:szCs w:val="10"/>
                <w:color w:val="auto"/>
              </w:rPr>
            </w:pPr>
          </w:p>
        </w:tc>
        <w:tc>
          <w:tcPr>
            <w:tcW w:w="59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identifies the Company’s allocation of purchase price to the intangible assets acquired by category: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Estimated Fair Value (in</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Weighted-Average Estimated</w:t>
            </w:r>
          </w:p>
        </w:tc>
      </w:tr>
      <w:tr>
        <w:trPr>
          <w:trHeight w:val="239"/>
        </w:trPr>
        <w:tc>
          <w:tcPr>
            <w:tcW w:w="66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millions)</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Useful Life (in years)</w:t>
            </w:r>
          </w:p>
        </w:tc>
      </w:tr>
      <w:tr>
        <w:trPr>
          <w:trHeight w:val="227"/>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30"/>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18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23"/>
        </w:trPr>
        <w:tc>
          <w:tcPr>
            <w:tcW w:w="666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intangible assets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2240" w:type="dxa"/>
            <w:vAlign w:val="bottom"/>
            <w:tcBorders>
              <w:top w:val="single" w:sz="8" w:color="CCEEFF"/>
            </w:tcBorders>
            <w:shd w:val="clear" w:color="auto" w:fill="CCEEFF"/>
          </w:tcPr>
          <w:p>
            <w:pPr>
              <w:spacing w:after="0"/>
              <w:rPr>
                <w:sz w:val="19"/>
                <w:szCs w:val="19"/>
                <w:color w:val="auto"/>
              </w:rPr>
            </w:pPr>
          </w:p>
        </w:tc>
      </w:tr>
    </w:tbl>
    <w:p>
      <w:pPr>
        <w:spacing w:after="0" w:line="15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fair value of the customer relationship assets was determined using the “multi-period excess earnings method” which considers the present value of net cash flows expected to be generated by the customer relationships, excluding any cash flows related to contributory assets. The fair value of the trade name acquired was determined using the “relief-from-royalty method” which considers the discounted estimated royalty payments that are expected to be avoided as a result of the trademarks being owned.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06"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The Company recorded $56.9 million of goodwill in connection with its purchase price allocation relating to the Union Supply acquisition, all of which was recognized in the FSS United States segment. Goodwill is calculated as the excess of consideration transferred over the net assets recognized and represents future economic benefits arising from other assets acquired that could not be individually identified and separately recognized, such as assembled workforce. Factors that contributed to the Company's recognition of goodwill include the Company's intent to complement its existing corrections business and expand its customer base. None of the goodwill recognized is expected to be deductible for income tax purposes.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and Earnings for Union Supply</w:t>
      </w:r>
    </w:p>
    <w:p>
      <w:pPr>
        <w:spacing w:after="0" w:line="10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Included in the Company’s Consolidated Statements of Income (Loss) for the fiscal year ended September 30, 2022 was revenues and net loss from Union Supply of $82.5 million and $11.3 million, respectively. The net loss from Union Supply was driven by incremental costs established during the allocation of the purchase price related to inventory, intangible assets and compensation expense associated with the contingent consideration. The effects of the acquisition on proforma revenue and net income of the combined entity were not material.</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Next Level Hospitality</w:t>
      </w:r>
    </w:p>
    <w:p>
      <w:pPr>
        <w:spacing w:after="0" w:line="9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On June 4, 2021, the Company completed the acquisition of Next Level Hospitality ("Next Level"), a premier provider of culinary and environmental services in the senior living industry, specializing in skilled nursing and rehabilitation facilities, pursuant to the Unit Purchase Agreement ("Next Level Purchase Agreement") dated as of April 28, 2021, by and among Aramark Healthcare Support Services, LLC, a wholly owned subsidiary of the Company, Aramark Services, Inc. ("ASI"), a wholly owned subsidiary of the Company, Next Level Hospitality Services, LLC, Next Level Stockholders and Seth Gribetz, in his capacity as Stockholder Representative. Next Level is a wholly owned subsidiary of the Company and its results are included in the Company's FSS United States segment. The cash consideration paid for Next Level was $226.1 million. In addition, contingent consideration of $78.4 million was recorded as part of the acquisition. The acquisition was financed utilizing cash and cash equivalents on hand.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Consideration</w:t>
      </w:r>
    </w:p>
    <w:p>
      <w:pPr>
        <w:spacing w:after="0" w:line="10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accounted for the Next Level acquisition as a business combination under the acquisition method of accounting. The Company finalized its allocation of the purchase price for the transaction based upon the fair value of net assets acquired and liabilities assumed at the date of acquisition.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Recognition and Measurement of Assets Acquired and Liabilities Assumed at Fair Value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assets and liabilities assigned as of the acquisition date (in thousands):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80" w:type="dxa"/>
            <w:vAlign w:val="bottom"/>
          </w:tcPr>
          <w:p>
            <w:pPr>
              <w:spacing w:after="0"/>
              <w:rPr>
                <w:sz w:val="20"/>
                <w:szCs w:val="20"/>
                <w:color w:val="auto"/>
              </w:rPr>
            </w:pPr>
          </w:p>
        </w:tc>
        <w:tc>
          <w:tcPr>
            <w:tcW w:w="42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ARAMARK AND SUBSIDIARIES</w:t>
            </w:r>
          </w:p>
        </w:tc>
        <w:tc>
          <w:tcPr>
            <w:tcW w:w="2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2780" w:type="dxa"/>
            <w:vAlign w:val="bottom"/>
          </w:tcPr>
          <w:p>
            <w:pPr>
              <w:spacing w:after="0"/>
              <w:rPr>
                <w:sz w:val="24"/>
                <w:szCs w:val="24"/>
                <w:color w:val="auto"/>
              </w:rPr>
            </w:pPr>
          </w:p>
        </w:tc>
        <w:tc>
          <w:tcPr>
            <w:tcW w:w="6220" w:type="dxa"/>
            <w:vAlign w:val="bottom"/>
            <w:gridSpan w:val="4"/>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7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18,088</w:t>
            </w:r>
          </w:p>
        </w:tc>
        <w:tc>
          <w:tcPr>
            <w:tcW w:w="0" w:type="dxa"/>
            <w:vAlign w:val="bottom"/>
          </w:tcPr>
          <w:p>
            <w:pPr>
              <w:spacing w:after="0"/>
              <w:rPr>
                <w:sz w:val="1"/>
                <w:szCs w:val="1"/>
                <w:color w:val="auto"/>
              </w:rPr>
            </w:pPr>
          </w:p>
        </w:tc>
      </w:tr>
      <w:tr>
        <w:trPr>
          <w:trHeight w:val="229"/>
        </w:trPr>
        <w:tc>
          <w:tcPr>
            <w:tcW w:w="2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3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0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307,291</w:t>
            </w:r>
          </w:p>
        </w:tc>
        <w:tc>
          <w:tcPr>
            <w:tcW w:w="0" w:type="dxa"/>
            <w:vAlign w:val="bottom"/>
          </w:tcPr>
          <w:p>
            <w:pPr>
              <w:spacing w:after="0"/>
              <w:rPr>
                <w:sz w:val="1"/>
                <w:szCs w:val="1"/>
                <w:color w:val="auto"/>
              </w:rPr>
            </w:pPr>
          </w:p>
        </w:tc>
      </w:tr>
      <w:tr>
        <w:trPr>
          <w:trHeight w:val="248"/>
        </w:trPr>
        <w:tc>
          <w:tcPr>
            <w:tcW w:w="27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3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325,379</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7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50,956</w:t>
            </w:r>
          </w:p>
        </w:tc>
        <w:tc>
          <w:tcPr>
            <w:tcW w:w="0" w:type="dxa"/>
            <w:vAlign w:val="bottom"/>
          </w:tcPr>
          <w:p>
            <w:pPr>
              <w:spacing w:after="0"/>
              <w:rPr>
                <w:sz w:val="1"/>
                <w:szCs w:val="1"/>
                <w:color w:val="auto"/>
              </w:rPr>
            </w:pPr>
          </w:p>
        </w:tc>
      </w:tr>
      <w:tr>
        <w:trPr>
          <w:trHeight w:val="229"/>
        </w:trPr>
        <w:tc>
          <w:tcPr>
            <w:tcW w:w="2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0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48,323</w:t>
            </w:r>
          </w:p>
        </w:tc>
        <w:tc>
          <w:tcPr>
            <w:tcW w:w="0" w:type="dxa"/>
            <w:vAlign w:val="bottom"/>
          </w:tcPr>
          <w:p>
            <w:pPr>
              <w:spacing w:after="0"/>
              <w:rPr>
                <w:sz w:val="1"/>
                <w:szCs w:val="1"/>
                <w:color w:val="auto"/>
              </w:rPr>
            </w:pPr>
          </w:p>
        </w:tc>
      </w:tr>
      <w:tr>
        <w:trPr>
          <w:trHeight w:val="248"/>
        </w:trPr>
        <w:tc>
          <w:tcPr>
            <w:tcW w:w="27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3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99,279</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Intangible Assets</w:t>
            </w:r>
          </w:p>
        </w:tc>
        <w:tc>
          <w:tcPr>
            <w:tcW w:w="3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2780" w:type="dxa"/>
            <w:vAlign w:val="bottom"/>
            <w:vMerge w:val="continue"/>
          </w:tcPr>
          <w:p>
            <w:pPr>
              <w:spacing w:after="0"/>
              <w:rPr>
                <w:sz w:val="24"/>
                <w:szCs w:val="24"/>
                <w:color w:val="auto"/>
              </w:rPr>
            </w:pPr>
          </w:p>
        </w:tc>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identifies the Company’s allocation of purchase price to the intangible assets acquired by category:</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27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8"/>
              </w:rPr>
              <w:t>Estimated Fair Value (in</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Weighted-Average Estimated</w:t>
            </w:r>
          </w:p>
        </w:tc>
        <w:tc>
          <w:tcPr>
            <w:tcW w:w="0" w:type="dxa"/>
            <w:vAlign w:val="bottom"/>
          </w:tcPr>
          <w:p>
            <w:pPr>
              <w:spacing w:after="0"/>
              <w:rPr>
                <w:sz w:val="1"/>
                <w:szCs w:val="1"/>
                <w:color w:val="auto"/>
              </w:rPr>
            </w:pPr>
          </w:p>
        </w:tc>
      </w:tr>
      <w:tr>
        <w:trPr>
          <w:trHeight w:val="234"/>
        </w:trPr>
        <w:tc>
          <w:tcPr>
            <w:tcW w:w="2780" w:type="dxa"/>
            <w:vAlign w:val="bottom"/>
            <w:tcBorders>
              <w:bottom w:val="single" w:sz="8" w:color="CCEEFF"/>
            </w:tcBorders>
          </w:tcPr>
          <w:p>
            <w:pPr>
              <w:spacing w:after="0"/>
              <w:rPr>
                <w:sz w:val="20"/>
                <w:szCs w:val="20"/>
                <w:color w:val="auto"/>
              </w:rPr>
            </w:pPr>
          </w:p>
        </w:tc>
        <w:tc>
          <w:tcPr>
            <w:tcW w:w="38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millions)</w:t>
            </w:r>
          </w:p>
        </w:tc>
        <w:tc>
          <w:tcPr>
            <w:tcW w:w="22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Useful Life (in years)</w:t>
            </w:r>
          </w:p>
        </w:tc>
        <w:tc>
          <w:tcPr>
            <w:tcW w:w="0" w:type="dxa"/>
            <w:vAlign w:val="bottom"/>
          </w:tcPr>
          <w:p>
            <w:pPr>
              <w:spacing w:after="0"/>
              <w:rPr>
                <w:sz w:val="1"/>
                <w:szCs w:val="1"/>
                <w:color w:val="auto"/>
              </w:rPr>
            </w:pPr>
          </w:p>
        </w:tc>
      </w:tr>
      <w:tr>
        <w:trPr>
          <w:trHeight w:val="223"/>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 assets</w:t>
            </w:r>
          </w:p>
        </w:tc>
        <w:tc>
          <w:tcPr>
            <w:tcW w:w="3980" w:type="dxa"/>
            <w:vAlign w:val="bottom"/>
            <w:gridSpan w:val="2"/>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right="770"/>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29"/>
        </w:trPr>
        <w:tc>
          <w:tcPr>
            <w:tcW w:w="2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38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54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center"/>
              <w:ind w:right="770"/>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23"/>
        </w:trPr>
        <w:tc>
          <w:tcPr>
            <w:tcW w:w="2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intangible assets</w:t>
            </w:r>
          </w:p>
        </w:tc>
        <w:tc>
          <w:tcPr>
            <w:tcW w:w="3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fair value of the customer relationship assets was determined using the “multi-period excess earnings method” which considers the present value of net cash flows expected to be generated by the customer relationships, excluding any cash flows related to contributory assets. The fair value of the trade name acquired was determined using the “relief-from-royalty method” which considers the discounted estimated royalty payments that are expected to be avoided as a result of the trademarks being owned.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0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recorded $123.6 million of goodwill in connection with its purchase price allocation relating to the Next Level acquisition, all of which was recognized in the FSS United States reporting segment. Goodwill is calculated as the excess of consideration transferred over the net assets recognized and represents future economic benefits arising from other assets acquired that could not be individually identified and separately recognized, such as assembled workforce. Factors that contributed to the Company's recognition of goodwill include the Company's intent to complement its existing healthcare business and expand its customer base. Goodwill related to the Next Level acquisition is deductible for income tax purposes.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Acquisitions</w:t>
      </w:r>
    </w:p>
    <w:p>
      <w:pPr>
        <w:spacing w:after="0" w:line="9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During fiscal 2022, fiscal 2021 and fiscal 2020, the Company paid net cash consideration of $140.4 million, $39.7 million and $22.2 million, respectively, for various acquisitions, excluding the purchase of Union Supply and Next Level. The revenue, net income, assets and liabilities of the acquisitions did not have a material impact on the Company's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and Integration Costs</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fiscal 2021 and fiscal 2020, the Company incurred merger and integration costs of $22.2 million and $28.9 million, respectively, as a result of the Avendra and AmeriPride acquisitions that occurred during fiscal year 2018. The expenses mainly related to costs for transitional employees and integration related consulting costs and charges related to plant consolidations, mainly asset write-downs, the implementation of a new route accounting system and other expenses.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SEVERANCE:</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fiscal 2022, the Company made changes to its organization to streamline and improve the efficiency and effectiveness of its operations and overhead functions within the FSS United States and FSS International segments. These actions included headcount reductions, which resulted in severance charges of $19.6 million during the fiscal year ended September 30, 2022, which were recorded in “Cost of services provided (exclusive of depreciation and amortization)” on the Consolidated Statements of Income (Loss).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severance charges by segment recognized in the Consolidated Statements of Income (Loss) for the fiscal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9"/>
        </w:trPr>
        <w:tc>
          <w:tcPr>
            <w:tcW w:w="9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7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48"/>
        </w:trPr>
        <w:tc>
          <w:tcPr>
            <w:tcW w:w="9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fiscal 2021, the Uniform segment approved action plans to streamline and improve the efficiency and effectiveness of the segment's general and administrative functions. Part of this action plan also included a series of facility consolidations and closures. As a result of these actions, severance charges of $9.0 million were recorded within “Cost of services provided (exclusive of depreciation and amortization)” on the Consolidated Statements of Income (Loss) for the fiscal year ended October 1, 2021.</w:t>
      </w:r>
    </w:p>
    <w:p>
      <w:pPr>
        <w:spacing w:after="0" w:line="4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During fiscal 2020, the Company made changes to its organization as a result of COVID-19. These actions included headcount reductions, which resulted in severance charges of $145.8 million during the fiscal year ended October 2, 2020, which were recorded in both “Cost of services provided (exclusive of depreciation and amortization)” and “Selling and general corporate expenses” on the Consolidated Statements of Income (Loss). The Company reversed $16.3 million of unpaid obligations related to this severance obligation during fiscal 2021, which were recorded in both "Cost of services provided (exclusive of depreciation and amortization)" and "Selling and general corporate expenses" on the Consolidated Statements of Income (Loss).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severance charges by segment recognized in the Consolidated Statements of Income (Loss) for the fiscal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 2020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29"/>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r>
      <w:tr>
        <w:trPr>
          <w:trHeight w:val="230"/>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Uniform</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9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6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8"/>
        </w:trPr>
        <w:tc>
          <w:tcPr>
            <w:tcW w:w="95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8"/>
          <w:szCs w:val="18"/>
          <w:color w:val="auto"/>
        </w:rPr>
        <w:t>The following table summarizes the unpaid obligations for severance and related costs as of September 30, 2022, which are included in "Accrued payroll and related expenses" on the Consolidated Balance Sheets.</w:t>
      </w:r>
    </w:p>
    <w:tbl>
      <w:tblPr>
        <w:tblLayout w:type="fixed"/>
        <w:tblInd w:w="0" w:type="dxa"/>
        <w:tblCellMar>
          <w:top w:w="0" w:type="dxa"/>
          <w:left w:w="0" w:type="dxa"/>
          <w:bottom w:w="0" w:type="dxa"/>
          <w:right w:w="0" w:type="dxa"/>
        </w:tblCellMar>
      </w:tblPr>
      <w:tr>
        <w:trPr>
          <w:trHeight w:val="149"/>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2"/>
                <w:szCs w:val="12"/>
                <w:color w:val="auto"/>
              </w:rPr>
            </w:pPr>
          </w:p>
        </w:tc>
        <w:tc>
          <w:tcPr>
            <w:tcW w:w="15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1, 2021</w:t>
            </w:r>
          </w:p>
        </w:tc>
        <w:tc>
          <w:tcPr>
            <w:tcW w:w="340" w:type="dxa"/>
            <w:vAlign w:val="bottom"/>
          </w:tcPr>
          <w:p>
            <w:pPr>
              <w:spacing w:after="0"/>
              <w:rPr>
                <w:sz w:val="12"/>
                <w:szCs w:val="12"/>
                <w:color w:val="auto"/>
              </w:rPr>
            </w:pPr>
          </w:p>
        </w:tc>
        <w:tc>
          <w:tcPr>
            <w:tcW w:w="14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300" w:type="dxa"/>
            <w:vAlign w:val="bottom"/>
          </w:tcPr>
          <w:p>
            <w:pPr>
              <w:spacing w:after="0"/>
              <w:rPr>
                <w:sz w:val="12"/>
                <w:szCs w:val="12"/>
                <w:color w:val="auto"/>
              </w:rPr>
            </w:pPr>
          </w:p>
        </w:tc>
        <w:tc>
          <w:tcPr>
            <w:tcW w:w="148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Payments</w:t>
            </w:r>
          </w:p>
        </w:tc>
        <w:tc>
          <w:tcPr>
            <w:tcW w:w="160" w:type="dxa"/>
            <w:vAlign w:val="bottom"/>
          </w:tcPr>
          <w:p>
            <w:pPr>
              <w:spacing w:after="0"/>
              <w:rPr>
                <w:sz w:val="12"/>
                <w:szCs w:val="12"/>
                <w:color w:val="auto"/>
              </w:rPr>
            </w:pPr>
          </w:p>
        </w:tc>
        <w:tc>
          <w:tcPr>
            <w:tcW w:w="152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r>
        <w:trPr>
          <w:trHeight w:val="195"/>
        </w:trPr>
        <w:tc>
          <w:tcPr>
            <w:tcW w:w="42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6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2020 Severance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2021 Severance</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2022 Severance</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Reorganization</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GOODWILL AND OTHER INTANGIBLE ASSETS:</w:t>
      </w:r>
    </w:p>
    <w:p>
      <w:pPr>
        <w:spacing w:after="0" w:line="10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Goodwill represents the excess of the fair value of consideration paid for an acquired entity over the fair value of assets acquired and liabilities assumed in a business combination. Goodwill is not amortized and is subject to an impairment test that the Company conducts annually or more frequently if a change in circumstances or the occurrence of events indicates that potential impairment exists, using discounted cash flows. The Company performs its assessment of goodwill at the reporting unit level. Within the FSS International segment, each country or region is evaluated separately since such operating units are relatively autonomous and separate goodwill balances have been recorded for each entity. The Company performs its annual impairment test as of the end of the fiscal month of August. If results of the qualitative assessment indicate a more likely than not determination or if a qualitative assessment is not performed, a quantitative test is performed by comparing the estimated fair value, calculated using a discounted cash flow method or market based method, of each reporting unit with its estimated net book value.</w:t>
      </w:r>
    </w:p>
    <w:p>
      <w:pPr>
        <w:spacing w:after="0" w:line="7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fourth quarter of fiscal 2022, the Company performed the annual impairment test for goodwill for each of the reporting units using a quantitative testing approach. The Company compared the estimated fair value using a discounted cash flow or market based method of each reporting unit with its book value. Based on the evaluation performed, the Company determined that the fair value of each of the reporting units significantly exceeded its respective carrying amount, and therefore, the Company determined that goodwill was not impaired.</w:t>
      </w:r>
    </w:p>
    <w:p>
      <w:pPr>
        <w:spacing w:after="0" w:line="4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During fiscal 2020, the Company identified a triggering event from the decline in its stock price resulting from COVID-19. As a result, the Company performed a quantitative impairment test and recognized a non-cash impairment charge of $198.6 million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related to one reporting unit within the FSS International segment on the Consolidated Statements of Income (Loss) for the fiscal year ended October 2, 2020. For tax purposes, the impairment charge was not tax deductible. The impaired reporting unit has a remaining goodwill balance of $91.3 million as of September 30, 2022.</w:t>
      </w:r>
    </w:p>
    <w:p>
      <w:pPr>
        <w:spacing w:after="0" w:line="4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determination of fair value for each reporting unit includes assumptions, which are considered Level 3 inputs, that are subject to risk and uncertainty. The discounted cash flow calculations are dependent on several subjective factors including the timing of future cash flows and the underlying margin projection assumptions, future growth rates and the discount rate. If assumptions or estimates in the fair value calculations change or if future cash flows or future growth rates vary from what was expected, this may impact the impairment analysis and could reduce the underlying cash flows used to estimate fair values and result in a decline in fair value that may trigger future impairment charges.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total goodwill during fiscal 2022 are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4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1, 2021</w:t>
            </w:r>
          </w:p>
        </w:tc>
        <w:tc>
          <w:tcPr>
            <w:tcW w:w="300" w:type="dxa"/>
            <w:vAlign w:val="bottom"/>
          </w:tcPr>
          <w:p>
            <w:pPr>
              <w:spacing w:after="0"/>
              <w:rPr>
                <w:sz w:val="16"/>
                <w:szCs w:val="16"/>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40" w:type="dxa"/>
            <w:vAlign w:val="bottom"/>
          </w:tcPr>
          <w:p>
            <w:pPr>
              <w:spacing w:after="0"/>
              <w:rPr>
                <w:sz w:val="16"/>
                <w:szCs w:val="16"/>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Translation &amp; Other</w:t>
            </w:r>
          </w:p>
        </w:tc>
        <w:tc>
          <w:tcPr>
            <w:tcW w:w="160" w:type="dxa"/>
            <w:vAlign w:val="bottom"/>
          </w:tcPr>
          <w:p>
            <w:pPr>
              <w:spacing w:after="0"/>
              <w:rPr>
                <w:sz w:val="16"/>
                <w:szCs w:val="16"/>
                <w:color w:val="auto"/>
              </w:rPr>
            </w:pPr>
          </w:p>
        </w:tc>
        <w:tc>
          <w:tcPr>
            <w:tcW w:w="15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23"/>
        </w:trPr>
        <w:tc>
          <w:tcPr>
            <w:tcW w:w="4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4,087,936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4,150,266</w:t>
            </w: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434,465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401,483</w:t>
            </w: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Uniform</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964,896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963,375</w:t>
            </w:r>
          </w:p>
        </w:tc>
      </w:tr>
      <w:tr>
        <w:trPr>
          <w:trHeight w:val="223"/>
        </w:trPr>
        <w:tc>
          <w:tcPr>
            <w:tcW w:w="42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5,487,297</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87,162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(59,335)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5,515,124</w:t>
            </w:r>
          </w:p>
        </w:tc>
      </w:tr>
      <w:tr>
        <w:trPr>
          <w:trHeight w:val="21"/>
        </w:trPr>
        <w:tc>
          <w:tcPr>
            <w:tcW w:w="4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intangible assets consist of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October 1, 2021</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3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29"/>
        </w:trPr>
        <w:tc>
          <w:tcPr>
            <w:tcW w:w="30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jc w:val="center"/>
              <w:ind w:right="38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217"/>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40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477"/>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r>
      <w:tr>
        <w:trPr>
          <w:trHeight w:val="196"/>
        </w:trPr>
        <w:tc>
          <w:tcPr>
            <w:tcW w:w="3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7"/>
                <w:szCs w:val="17"/>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7"/>
                <w:szCs w:val="17"/>
                <w:color w:val="auto"/>
              </w:rPr>
            </w:pPr>
          </w:p>
        </w:tc>
        <w:tc>
          <w:tcPr>
            <w:tcW w:w="106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9"/>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 assets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1,474,588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(487,877)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986,711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2,106,423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(1,173,092)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933,331</w:t>
            </w:r>
          </w:p>
        </w:tc>
      </w:tr>
      <w:tr>
        <w:trPr>
          <w:trHeight w:val="230"/>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1,133,736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1,127,015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1,100,579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1,095,291</w:t>
            </w:r>
          </w:p>
        </w:tc>
      </w:tr>
      <w:tr>
        <w:trPr>
          <w:trHeight w:val="248"/>
        </w:trPr>
        <w:tc>
          <w:tcPr>
            <w:tcW w:w="30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2,608,324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(494,598)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2,113,726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3,207,002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(1,178,380)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2,028,622</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During fiscal 2022, the Company acquired customer relationship assets and trade names with values of $165.5 million and $56.3 million, respectively. During fiscal 2021, the Company acquired customer relationship assets and trade names with values of $157.8 million and $52.5 million, respectively. Customer relationship assets are being amortized principally on a straight-line basis over the expected period of benefit with a weighted average life of approximately 14 years. The Aramark, Avendra and a majority of the other trade names are indefinite lived intangible assets and are not amortized, but are evaluated for impairment at least annually or more frequently if events or changes in circumstances indicate that it is more likely than not that the asset is impaired. The Company utilized the "relief-from-royalty" method, which considers the discounted estimated royalty payments that are expected to be avoided as a result of the trade names being owned. The Company completed its annual trade name impairment test for fiscal 2022, which did not result in an impairment charge. Amortization of other intangible assets for fiscal 2022, fiscal 2021 and fiscal 2020 was $108.7 million, $116.5 million and $117.6 million, respectively.</w:t>
      </w:r>
    </w:p>
    <w:p>
      <w:pPr>
        <w:spacing w:after="0" w:line="6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Based on the recorded balances at September 30, 2022, total estimated amortization of all acquisition-related intangible assets for fiscal years 2023 through 2027 are as follows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20" w:type="dxa"/>
            <w:vAlign w:val="bottom"/>
            <w:shd w:val="clear" w:color="auto" w:fill="CCEEFF"/>
          </w:tcPr>
          <w:p>
            <w:pPr>
              <w:jc w:val="right"/>
              <w:ind w:right="2450"/>
              <w:spacing w:after="0"/>
              <w:rPr>
                <w:sz w:val="20"/>
                <w:szCs w:val="20"/>
                <w:color w:val="auto"/>
              </w:rPr>
            </w:pPr>
            <w:r>
              <w:rPr>
                <w:rFonts w:ascii="Times New Roman" w:cs="Times New Roman" w:eastAsia="Times New Roman" w:hAnsi="Times New Roman"/>
                <w:sz w:val="18"/>
                <w:szCs w:val="18"/>
                <w:color w:val="auto"/>
                <w:w w:val="99"/>
              </w:rPr>
              <w:t>2023</w:t>
            </w:r>
          </w:p>
        </w:tc>
        <w:tc>
          <w:tcPr>
            <w:tcW w:w="72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102,776</w:t>
            </w:r>
          </w:p>
        </w:tc>
      </w:tr>
      <w:tr>
        <w:trPr>
          <w:trHeight w:val="229"/>
        </w:trPr>
        <w:tc>
          <w:tcPr>
            <w:tcW w:w="2920" w:type="dxa"/>
            <w:vAlign w:val="bottom"/>
          </w:tcPr>
          <w:p>
            <w:pPr>
              <w:jc w:val="right"/>
              <w:ind w:right="2450"/>
              <w:spacing w:after="0"/>
              <w:rPr>
                <w:sz w:val="20"/>
                <w:szCs w:val="20"/>
                <w:color w:val="auto"/>
              </w:rPr>
            </w:pPr>
            <w:r>
              <w:rPr>
                <w:rFonts w:ascii="Times New Roman" w:cs="Times New Roman" w:eastAsia="Times New Roman" w:hAnsi="Times New Roman"/>
                <w:sz w:val="18"/>
                <w:szCs w:val="18"/>
                <w:color w:val="auto"/>
                <w:w w:val="99"/>
              </w:rPr>
              <w:t>2024</w:t>
            </w:r>
          </w:p>
        </w:tc>
        <w:tc>
          <w:tcPr>
            <w:tcW w:w="7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102,361</w:t>
            </w:r>
          </w:p>
        </w:tc>
      </w:tr>
      <w:tr>
        <w:trPr>
          <w:trHeight w:val="230"/>
        </w:trPr>
        <w:tc>
          <w:tcPr>
            <w:tcW w:w="2920" w:type="dxa"/>
            <w:vAlign w:val="bottom"/>
            <w:shd w:val="clear" w:color="auto" w:fill="CCEEFF"/>
          </w:tcPr>
          <w:p>
            <w:pPr>
              <w:jc w:val="right"/>
              <w:ind w:right="2450"/>
              <w:spacing w:after="0"/>
              <w:rPr>
                <w:sz w:val="20"/>
                <w:szCs w:val="20"/>
                <w:color w:val="auto"/>
              </w:rPr>
            </w:pPr>
            <w:r>
              <w:rPr>
                <w:rFonts w:ascii="Times New Roman" w:cs="Times New Roman" w:eastAsia="Times New Roman" w:hAnsi="Times New Roman"/>
                <w:sz w:val="18"/>
                <w:szCs w:val="18"/>
                <w:color w:val="auto"/>
                <w:w w:val="99"/>
              </w:rPr>
              <w:t>2025</w:t>
            </w:r>
          </w:p>
        </w:tc>
        <w:tc>
          <w:tcPr>
            <w:tcW w:w="7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102,387</w:t>
            </w:r>
          </w:p>
        </w:tc>
      </w:tr>
      <w:tr>
        <w:trPr>
          <w:trHeight w:val="230"/>
        </w:trPr>
        <w:tc>
          <w:tcPr>
            <w:tcW w:w="2920" w:type="dxa"/>
            <w:vAlign w:val="bottom"/>
          </w:tcPr>
          <w:p>
            <w:pPr>
              <w:jc w:val="right"/>
              <w:ind w:right="2450"/>
              <w:spacing w:after="0"/>
              <w:rPr>
                <w:sz w:val="20"/>
                <w:szCs w:val="20"/>
                <w:color w:val="auto"/>
              </w:rPr>
            </w:pPr>
            <w:r>
              <w:rPr>
                <w:rFonts w:ascii="Times New Roman" w:cs="Times New Roman" w:eastAsia="Times New Roman" w:hAnsi="Times New Roman"/>
                <w:sz w:val="18"/>
                <w:szCs w:val="18"/>
                <w:color w:val="auto"/>
                <w:w w:val="99"/>
              </w:rPr>
              <w:t>2026</w:t>
            </w:r>
          </w:p>
        </w:tc>
        <w:tc>
          <w:tcPr>
            <w:tcW w:w="7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99,108</w:t>
            </w:r>
          </w:p>
        </w:tc>
      </w:tr>
      <w:tr>
        <w:trPr>
          <w:trHeight w:val="230"/>
        </w:trPr>
        <w:tc>
          <w:tcPr>
            <w:tcW w:w="2920" w:type="dxa"/>
            <w:vAlign w:val="bottom"/>
            <w:shd w:val="clear" w:color="auto" w:fill="CCEEFF"/>
          </w:tcPr>
          <w:p>
            <w:pPr>
              <w:jc w:val="right"/>
              <w:ind w:right="2450"/>
              <w:spacing w:after="0"/>
              <w:rPr>
                <w:sz w:val="20"/>
                <w:szCs w:val="20"/>
                <w:color w:val="auto"/>
              </w:rPr>
            </w:pPr>
            <w:r>
              <w:rPr>
                <w:rFonts w:ascii="Times New Roman" w:cs="Times New Roman" w:eastAsia="Times New Roman" w:hAnsi="Times New Roman"/>
                <w:sz w:val="18"/>
                <w:szCs w:val="18"/>
                <w:color w:val="auto"/>
                <w:w w:val="99"/>
              </w:rPr>
              <w:t>2027</w:t>
            </w:r>
          </w:p>
        </w:tc>
        <w:tc>
          <w:tcPr>
            <w:tcW w:w="7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91,025</w:t>
            </w:r>
          </w:p>
        </w:tc>
      </w:tr>
      <w:tr>
        <w:trPr>
          <w:trHeight w:val="958"/>
        </w:trPr>
        <w:tc>
          <w:tcPr>
            <w:tcW w:w="2920" w:type="dxa"/>
            <w:vAlign w:val="bottom"/>
          </w:tcPr>
          <w:p>
            <w:pPr>
              <w:spacing w:after="0"/>
              <w:rPr>
                <w:sz w:val="24"/>
                <w:szCs w:val="24"/>
                <w:color w:val="auto"/>
              </w:rPr>
            </w:pPr>
          </w:p>
        </w:tc>
        <w:tc>
          <w:tcPr>
            <w:tcW w:w="7200" w:type="dxa"/>
            <w:vAlign w:val="bottom"/>
          </w:tcPr>
          <w:p>
            <w:pPr>
              <w:jc w:val="right"/>
              <w:ind w:right="4230"/>
              <w:spacing w:after="0"/>
              <w:rPr>
                <w:sz w:val="20"/>
                <w:szCs w:val="20"/>
                <w:color w:val="auto"/>
              </w:rPr>
            </w:pPr>
            <w:r>
              <w:rPr>
                <w:rFonts w:ascii="Times New Roman" w:cs="Times New Roman" w:eastAsia="Times New Roman" w:hAnsi="Times New Roman"/>
                <w:sz w:val="18"/>
                <w:szCs w:val="18"/>
                <w:color w:val="auto"/>
              </w:rPr>
              <w:t>S-21</w:t>
            </w:r>
          </w:p>
        </w:tc>
        <w:tc>
          <w:tcPr>
            <w:tcW w:w="1120" w:type="dxa"/>
            <w:vAlign w:val="bottom"/>
          </w:tcPr>
          <w:p>
            <w:pPr>
              <w:spacing w:after="0"/>
              <w:rPr>
                <w:sz w:val="24"/>
                <w:szCs w:val="24"/>
                <w:color w:val="auto"/>
              </w:rPr>
            </w:pPr>
          </w:p>
        </w:tc>
      </w:tr>
      <w:tr>
        <w:trPr>
          <w:trHeight w:val="115"/>
        </w:trPr>
        <w:tc>
          <w:tcPr>
            <w:tcW w:w="2920" w:type="dxa"/>
            <w:vAlign w:val="bottom"/>
            <w:tcBorders>
              <w:bottom w:val="single" w:sz="8" w:color="9A9A9A"/>
            </w:tcBorders>
          </w:tcPr>
          <w:p>
            <w:pPr>
              <w:spacing w:after="0"/>
              <w:rPr>
                <w:sz w:val="10"/>
                <w:szCs w:val="10"/>
                <w:color w:val="auto"/>
              </w:rPr>
            </w:pPr>
          </w:p>
        </w:tc>
        <w:tc>
          <w:tcPr>
            <w:tcW w:w="7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BORROWINGS: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borrowings, net, are summarized in the following table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40" w:type="dxa"/>
            <w:vAlign w:val="bottom"/>
          </w:tcPr>
          <w:p>
            <w:pPr>
              <w:spacing w:after="0"/>
              <w:rPr>
                <w:sz w:val="16"/>
                <w:szCs w:val="16"/>
                <w:color w:val="auto"/>
              </w:rPr>
            </w:pPr>
          </w:p>
        </w:tc>
        <w:tc>
          <w:tcPr>
            <w:tcW w:w="146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October 1, 2021</w:t>
            </w:r>
          </w:p>
        </w:tc>
      </w:tr>
      <w:tr>
        <w:trPr>
          <w:trHeight w:val="23"/>
        </w:trPr>
        <w:tc>
          <w:tcPr>
            <w:tcW w:w="7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revolving credit facility, due April 2026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71,896</w:t>
            </w: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term loan facility, due March 2025</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1,661,611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1,660,382</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term loan facility, due April 2026</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406,543</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term loan facility, due January 2027</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834,619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833,643</w:t>
            </w: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term loan facility, due April 2028</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723,170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721,986</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5.000% senior notes, due April 2025</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547,981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594,719</w:t>
            </w:r>
          </w:p>
        </w:tc>
      </w:tr>
      <w:tr>
        <w:trPr>
          <w:trHeight w:val="229"/>
        </w:trPr>
        <w:tc>
          <w:tcPr>
            <w:tcW w:w="7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3.125% senior notes, due April 2025</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374,668</w:t>
            </w: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6.375% senior notes, due May 2025</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1,487,593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1,483,328</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5.000% senior notes, due February 2028</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1,141,491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1,140,144</w:t>
            </w: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Facility, due June 2024</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146,368</w:t>
            </w:r>
          </w:p>
        </w:tc>
      </w:tr>
      <w:tr>
        <w:trPr>
          <w:trHeight w:val="229"/>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18,590</w:t>
            </w:r>
          </w:p>
        </w:tc>
      </w:tr>
      <w:tr>
        <w:trPr>
          <w:trHeight w:val="223"/>
        </w:trPr>
        <w:tc>
          <w:tcPr>
            <w:tcW w:w="7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7,410,907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7,452,267</w:t>
            </w:r>
          </w:p>
        </w:tc>
      </w:tr>
      <w:tr>
        <w:trPr>
          <w:trHeight w:val="229"/>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Less—current portion</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(65,047)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(58,850)</w:t>
            </w:r>
          </w:p>
        </w:tc>
      </w:tr>
      <w:tr>
        <w:trPr>
          <w:trHeight w:val="248"/>
        </w:trPr>
        <w:tc>
          <w:tcPr>
            <w:tcW w:w="7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7,345,860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7,393,417</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left="420" w:hanging="394"/>
        <w:spacing w:after="0"/>
        <w:tabs>
          <w:tab w:leader="none" w:pos="420" w:val="left"/>
        </w:tabs>
        <w:numPr>
          <w:ilvl w:val="0"/>
          <w:numId w:val="4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3"/>
          <w:szCs w:val="13"/>
          <w:color w:val="auto"/>
        </w:rPr>
        <w:t>This is a Euro denominated borrowing. See the disclosure below in the Senior Notes section for further information.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2022, there were $748.5 million of outstanding foreign currency borrowings.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Secured Credit Agreement</w:t>
      </w:r>
    </w:p>
    <w:p>
      <w:pPr>
        <w:spacing w:after="0" w:line="10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ASI, an indirect wholly owned subsidiary of the Company, and certain of its subsidiaries entered into a credit agreement on March 28, 2017 (as supplemented or otherwise modified from time to time, the "Credit Agreement"), which replaced the existing Amended and Restated Credit Agreement, originally dated January 26, 2007, and last amended on March 28, 2014 (the "Previous Credit Agreement").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includes senior secured term loan facilities consisting of the following as of September 30, 2022:</w:t>
      </w:r>
    </w:p>
    <w:p>
      <w:pPr>
        <w:spacing w:after="0" w:line="90" w:lineRule="exact"/>
        <w:rPr>
          <w:sz w:val="20"/>
          <w:szCs w:val="20"/>
          <w:color w:val="auto"/>
        </w:rPr>
      </w:pPr>
    </w:p>
    <w:p>
      <w:pPr>
        <w:ind w:left="660" w:right="180" w:hanging="328"/>
        <w:spacing w:after="0" w:line="312" w:lineRule="auto"/>
        <w:tabs>
          <w:tab w:leader="none" w:pos="655"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United States dollar denominated term loan to ASI in the amount of $1,661.6 million, due 2025 ("United States Term B-3 Loans due 2025"), $834.6 million, due 2027 ("United States Term B-4 Loans due 2027") and $723.2 million due 2028 ("United States Term B-5 Loans due 2028");</w:t>
      </w:r>
    </w:p>
    <w:p>
      <w:pPr>
        <w:spacing w:after="0" w:line="18" w:lineRule="exact"/>
        <w:rPr>
          <w:rFonts w:ascii="Times New Roman" w:cs="Times New Roman" w:eastAsia="Times New Roman" w:hAnsi="Times New Roman"/>
          <w:sz w:val="17"/>
          <w:szCs w:val="17"/>
          <w:color w:val="auto"/>
        </w:rPr>
      </w:pPr>
    </w:p>
    <w:p>
      <w:pPr>
        <w:ind w:left="660" w:right="24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yen denominated term loan to ASI in the amount of ¥8,626.1 million (approximately $59.6 million), due 2026 (the "Yen Term C-2 Loans due 2026");</w:t>
      </w:r>
    </w:p>
    <w:p>
      <w:pPr>
        <w:spacing w:after="0" w:line="40"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Canadian dollar denominated term loan to Aramark Canada Ltd. in the amount of C$243.3 million (approximately $175.9 million), due 2026 (the "Canadian Term A-3 Loans due 2026"); and</w:t>
      </w:r>
    </w:p>
    <w:p>
      <w:pPr>
        <w:spacing w:after="0" w:line="26"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euro denominated term loan to Aramark Investments Limited, a U.K. borrower, in an amount of €100.8 million (approximately $98.7 million), of which €28.4 million (approximately $27.8 million) is due in 2023 (the "Euro Term A-1 Loans due 2023") and the remainder of which is due 2026 (the "Euro Term A-2 Loans due 2026").</w:t>
      </w:r>
    </w:p>
    <w:p>
      <w:pPr>
        <w:spacing w:after="0" w:line="5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Credit Agreement also includes a revolving credit facility available for loans in United States dollars, Canadian dollars, euros and pounds sterling to ASI and certain foreign borrowers with aggregate commitments of $1.2 billion. A portion of the revolving credit facility with commitments of $53.7 million has a final maturity date of October 1, 2023 and the remainder of the revolving credit facility has a final maturity date of April 6, 2026. As of September 30, 2022, there was $1,105.6 million available for borrowing under the revolving credit facility. The Company's revolving credit facility includes a $250.0 million sublimit for letters of credit. The revolving credit facility may be drawn by ASI as well as by certain foreign subsidiaries of ASI. Each foreign borrower is subject to a sublimit of $150.0 million with respect to borrowings under the revolving credit facility. In addition to paying interest on outstanding principal under the senior secured credit facilities, the Company is required to pay a commitment fee to the lenders under the revolving credit facility in respect of the unutilized commitments thereunder. The revolving credit facility is subject to a commitment fee ranging from a rate of 0.15% to 0.30% per annum. The actual rate within the range is based on a Consolidated Leverage Ratio, as defined in the Credit Agreement.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primary borrower under the senior secured credit facilities is ASI. In addition, certain subsidiaries of ASI are borrowers of the term loan facilities and/or the revolving credit facility. The Company is not a guarantor under the senior secured credit facilities and is not subject to the covenants or obligations under the Credit Agreement.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applicable margin on the United States Term B-3 Loans due 2025 and the United States Term B-4 Loans due 2027 is 1.75% with respect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eurocurrency (LIBOR) borrowings, subject to a LIBOR floor of 0.00%, and 0.75% with respect to base-rate borrowings, subject to a minimum base rate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0.00%. The applicable margin on the United States Term B-5 Loans due 2028 is 2.50% with respect to eurocurrency (LIBOR) borrowings, subject to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LIBOR floor of 0.00% and 1.50% with respect to base-rate borrowings, subject to a minimum base rate of 0.00%. The applicable margin spread for the Yen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Term C-2 Loans due 2026, the Canadian Term A-3 Loans due 2026, the Euro Term A-1 Loans due 2023, the Euro Term A-2 Loans due 2026 and the senior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secured revolving credit facility is 1.125% to 1.625% (as of September 30, 2022 - 1.625%) with respect to eurocurrency (LIBOR) borrowings, bankers’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acceptance ("BA") rate borrowings, Tokyo Interbank offer ("TIBOR") rate borrowings and letters of credit fees, subject to a floor of 0.00%, and 0.125%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0.625% (as of September 30, 2022 - 0.625%) with respect to United States and Canadian base rate borrowings, subject to a floor of 0.00%, and 1.1576%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1.6576% (as of September 30, 2022 - 1.6576%) with respect to Sterling Overnight Index Average ("SONIA") rate borrowings, subject to a floor of 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spreads within all ranges referred to above are based on a Consolidated Leverage Ratio, as defined in the Credit Agreement.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2021 Refinancing Transactions</w:t>
      </w:r>
    </w:p>
    <w:p>
      <w:pPr>
        <w:spacing w:after="0" w:line="10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April 6, 2021, the Company entered into Amendment No. 11 to the Credit Agreement. Amendment No. 11 provided for, among other things, the extension of the maturity date, in each case, applicable to a portion of the revolving credit facility (the "2018 Tranche Revolving Facility"), a portion of the Canadian dollar denominated term loan due October 2023 (the "Canadian Term A-2 Loans due 2023"), a portion of the Euro Term A-1 Loans due 2023, all of the Yen Term C-1 Loans due 2023 and all of the United States dollar denominated term loan due 2024 (the "United States Term B-2 Loans due 2024") and an increase of $200.0 million in commitments available under the 2018 Tranche Revolving Facility, in each case, under the Credit Agreement through the establishment of Replacement Revolving Commitments (as defined in the Credit Agreement), New Revolving Commitments (as defined in the Credit Agreement), borrowings of Extended Term Loans (as defined in the Credit Agreement) and borrowings of Refinancing Term Loans (as defined in the Credit Agreement), as applicable, under the Credit Agreement comprised of (i) in the case of the portion of the 2018 Tranche Revolving Facility which was extended, new 2021 Tranche Revolving Commitments (the "New 2021 Tranche Revolving Commitments") in an amount equal to $1,153.1 million, terminating in April 2026, (ii) in the case of the portion of the Canadian Term A-2 Loans due 2023 which was extended, the new Canadian Term A-3 Loans due 2026 in an amount equal to C$276.9 million, due in April 2026, (iii) in the case of the portion of the Euro Term A-1 Loans due 2023 which was extended, the new Euro Term A-2 Loans due 2026 in an amount equal to €78.8 million, due in April 2026, (iv) in the case of the Yen Term C-1 Loans due 2023, the new Yen Term C-2 Loans due 2026 in an amount equal to ¥9,343.3 million, due in April 2026 and (v) in the case of the United States Term B-2 Loans due 2024, the new United States Term B-5 Loans due 2028 in an amount equal to $833.0 million, due in April 2028. The new Canadian Term A-3 Loans due 2026, Euro Term A-2 Loans due 2026, Yen Term C-2 Loans due 2026 and United States Term B-5 Loans due 2028 were funded in full on April 6, 2021 and were applied by the Company to refinance in part the Canadian Term A-2 Loans due 2023 and Euro Term A-1 Loans due 2023 and to refinance in full the Yen Term C-1 Loans due 2023 and United States Term B-2 Loans due 2024, in each case, previously outstanding under the Credit Agreement. As of April 6, 2021 and after giving effect to Amendment No. 11, $53.7 million of 2018 Tranche Revolving Commitments, €33.6 million of Euro Term A-1 Loans due 2023 and C$27.1 million of Canadian Term A-2 Loans due 2023 were outstanding under the Credit Agreement, as amended by Amendment No. 11, in each case due in October 2023 (which date is unchanged from the previous maturity date). The Canadian Term A-2 Loans due 2023 were repaid in full as of October 1, 2021.</w:t>
      </w:r>
    </w:p>
    <w:p>
      <w:pPr>
        <w:spacing w:after="0" w:line="5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New 2021 Tranche Revolving Commitments are subject to substantially similar terms currently relating to guarantees, collateral, mandatory prepayments and covenants that are applicable to the Company’s existing 2018 Tranche Revolving Facility outstanding under the Credit Agreement. For the avoidance of doubt, the remaining 2018 Revolving Tranche Commitments shall be available only in United States dollars and shall bear interest and accrue unused fees at rates consistent with the 2021 Tranche Revolving Facility.</w:t>
      </w:r>
    </w:p>
    <w:p>
      <w:pPr>
        <w:spacing w:after="0" w:line="5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Canadian Term A-3 Loans due 2026 are subject to substantially similar terms currently relating to guarantees, collateral, mandatory prepayments and covenants that are applicable to the Company’s Canadian Term A-2 Loans due 2023 under the Credit Agreement. Amortization payments in respect of the remaining Canadian Term A-2 Loans due 2023 have been reduced on a pro rata basis to reflect the partial refinancing thereof.</w:t>
      </w:r>
    </w:p>
    <w:p>
      <w:pPr>
        <w:spacing w:after="0" w:line="5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Euro Term A-2 Loans due 2026 are subject to substantially similar terms currently relating to guarantees, collateral, mandatory prepayments and covenants that are applicable to the Company’s existing Euro Term A-1 Loans due 2023 outstanding under the Credit Agreement. Amortization payments in respect of the remaining Euro Term A-1 Loans have been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reduced on a pro rata basis to reflect the partial refinancing thereof.</w:t>
      </w:r>
    </w:p>
    <w:p>
      <w:pPr>
        <w:spacing w:after="0" w:line="9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Yen Term C-2 Loans due 2026 are subject to substantially similar terms currently relating to guarantees, collateral, mandatory prepayments and covenants that are applicable to the Company’s existing Yen Term C-1 Loans due 2023 outstanding under the Credit Agreement, except for the option to use TIBOR rate borrowings on or after January 31, 2022.</w:t>
      </w:r>
    </w:p>
    <w:p>
      <w:pPr>
        <w:spacing w:after="0" w:line="5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United States Term B-5 Loans due 2028 are subject to substantially similar terms currently relating to guarantees, collateral, mandatory prepayments and covenants that are applicable to the Company’s existing United States Term B Loans outstanding under the Credit Agreement.</w:t>
      </w:r>
    </w:p>
    <w:p>
      <w:pPr>
        <w:spacing w:after="0" w:line="4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capitalized third-party costs of $16.8 million related to banker fees, rating agency fees and legal fees directly attributable to the refinancings in Amendment No. 11, which are included in "Long-Term Borrowings" and "Other Assets" on the Consolidated Balance Sheets. Amounts paid for the capitalized third-party costs are included within "Other Financing activities" on the Consolidated Statements of Cash Flows for the fiscal year ended October 1, 2021. Additionally the Company recorded a $2.7 million non-cash loss for the write-off of unamortized deferred financing costs on the revolving credit facility and United States Term B-2 Loans due 2024 to "Interest and Other Financing Costs, net" in the Consolidated Statements of Income (Loss) for the fiscal year ended October 1, 2021.</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2020 Refinancing Transactions</w:t>
      </w:r>
    </w:p>
    <w:p>
      <w:pPr>
        <w:spacing w:after="0" w:line="1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January 15, 2020, ASI entered into Amendment No. 8 to the Credit Agreement. Amendment No. 8 provided for an incremental, senior secured credit facility under the Credit Agreement, the United States Term B-4 Loans due 2027, comprised of a United States dollar denominated term loan made to ASI in an amount equal to $900.0 million, due January 15, 2027. The United States Term B-4 Loans due 2027 were borrowed with an original issue discount of 0.125%.</w:t>
      </w:r>
    </w:p>
    <w:p>
      <w:pPr>
        <w:spacing w:after="0" w:line="5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net proceeds from the United States Term B-4 Loans due 2027 were used to redeem the aggregate $900.0 million principal amount outstanding on ASI’s 5.125% Senior Notes due 2024 (the “2024 Notes”) at a redemption price of 102.563% of the aggregate principal amount and to pay accrued interest, certain fees and related expenses. The Company recorded $20.9 million of charges to "Interest and Other Financing Costs, net" in the Consolidated Statements of Income (Loss) for the fiscal year ended October 2, 2020, consisting of the payment of a $23.1 million call premium and a $2.2 million non-cash gain for the write-off of unamortized debt premium and unamortized deferred financing costs on the 2024 Notes. The Company capitalized third-party costs of $6.6 million related to banker fees, rating agency fees and legal fees directly attributable to the United States Term B-4 Loans due 2027, which are included in "Long-Term Borrowings" on the Consolidated Balance Sheets. Amounts paid for the call premium and capitalized third-party costs are included within "Other financing activities" on the Consolidated Statements of Cash Flows for the fiscal year ended October 2, 2020.</w:t>
      </w:r>
    </w:p>
    <w:p>
      <w:pPr>
        <w:spacing w:after="0" w:line="5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United States Term B-4 Loans due 2027 are subject to substantially similar terms relating to guarantees, collateral, mandatory prepayments and covenants that are applicable to the Company’s then existing United States Term B-2 Loans due 2024 and United States Term B-3 Loans due 2025, in each case, outstanding under the Credit Agreement as of October 2, 2020.</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Incremental Facilities</w:t>
      </w:r>
    </w:p>
    <w:p>
      <w:pPr>
        <w:spacing w:after="0" w:line="10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Credit Agreement provides that the Company has the right at any time to request one or more incremental term loan facilities or increases under existing term loan facilities and/or additional revolving credit facilities or increases under the existing revolving credit facility in an amount up to $1,400.0 million of incremental commitments in the aggregate plus an unlimited amount so long as the pro forma Consolidated Secured Debt to Covenant Adjusted EBITDA ratio (each as calculated in accordance with the Credit Agreement (the "Consolidated Secured Debt Ratio")) would not exceed 3.00 to 1.00, plus any amount of loans and commitments optionally prepaid and terminated under the senior secured credit facilities. The lenders under these facilities are not under any obligation to provide any such incremental facilities or commitments and any such addition of or increase in facilities or commitments will be subject to customary conditions precedent.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Prepayments and Amortization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requires the Company to prepay outstanding term loans, subject to certain exceptions, with:</w:t>
      </w:r>
    </w:p>
    <w:p>
      <w:pPr>
        <w:spacing w:after="0" w:line="104" w:lineRule="exact"/>
        <w:rPr>
          <w:sz w:val="20"/>
          <w:szCs w:val="20"/>
          <w:color w:val="auto"/>
        </w:rPr>
      </w:pPr>
    </w:p>
    <w:p>
      <w:pPr>
        <w:ind w:left="660" w:right="140" w:hanging="328"/>
        <w:spacing w:after="0" w:line="266"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ASI's annual excess cash flow (as defined in the Credit Agreement) with step-downs to 25% and 0% upon ASI's reaching certain Consolidated Secured Debt Ratio thresholds; provided, further, that such prepayment shall only be required to the extent excess cash flow for the applicable year exceeds $10.0 million;</w:t>
      </w:r>
    </w:p>
    <w:p>
      <w:pPr>
        <w:spacing w:after="0" w:line="40" w:lineRule="exact"/>
        <w:rPr>
          <w:rFonts w:ascii="Times New Roman" w:cs="Times New Roman" w:eastAsia="Times New Roman" w:hAnsi="Times New Roman"/>
          <w:sz w:val="18"/>
          <w:szCs w:val="18"/>
          <w:color w:val="auto"/>
        </w:rPr>
      </w:pPr>
    </w:p>
    <w:p>
      <w:pPr>
        <w:ind w:left="660" w:right="140" w:hanging="328"/>
        <w:spacing w:after="0" w:line="312" w:lineRule="auto"/>
        <w:tabs>
          <w:tab w:leader="none" w:pos="655"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of the net cash proceeds of all non-ordinary course asset sales or other dispositions of property subject to certain exceptions and customary reinvestment rights; provided, further, that such prepayment shall only be required to the extent net cash proceeds exceeds $100.0 million; and</w:t>
      </w:r>
    </w:p>
    <w:p>
      <w:pPr>
        <w:spacing w:after="0" w:line="18"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net cash proceeds of any incurrence of debt, but excluding proceeds from certain debt permitted under the Credit Agreement.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foregoing mandatory prepayments will be applied to the term loan facilities on a pro rata basis and will reduce the obligations to make scheduled amortization payments on a dollar for dollar basis as directed by the Company. The Company may voluntarily repay outstanding loans under the Credit Agreement any time without premium or penalty, other than customary "breakage" costs with respect to LIBOR loans. Prepaid term loans may not be reborrowed.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made optional prepayments of $194.1 million of outstanding United States dollar and Canadian dollar term loans during fiscal 2021.</w:t>
      </w:r>
    </w:p>
    <w:p>
      <w:pPr>
        <w:spacing w:after="0" w:line="104"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If a change of control as defined in the Credit Agreement occurs, this will cause an event of default under the Credit Agreement. Upon an event of default, the new senior secured credit facilities may be accelerated, in which case the Company would be required to repay all outstanding loans plus accrued and unpaid interest and all other amounts outstanding under the new senior secured credit facilities under the Credit Agreement.</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new Canadian Term A-3 Loans due 2026 require the payment of installments in quarterly principal amounts of C$5.2 million from September 30, 2023 through March 31, 2024, C$6.9 million from June 30, 2024 through March 31, 2025, C$10.4 million from June 30, 2025 through March 31, 2026 and C$159.2 million at maturity.</w:t>
      </w:r>
    </w:p>
    <w:p>
      <w:pPr>
        <w:spacing w:after="0" w:line="41"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new Euro Term A-2 Loans due 2026 require the payment of installments in quarterly principal amounts of €1.0 million from June 30, 2021 through March 31, 2023, €1.5 million from June 30, 2023 through March 31, 2024, €2.0 million from June 30, 2024 through March 31, 2025, €3.0 million from June 30, 2025 through March 31, 2026 and €45.3 million at maturity.</w:t>
      </w:r>
    </w:p>
    <w:p>
      <w:pPr>
        <w:spacing w:after="0" w:line="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remaining Euro Term A-1 Loans due 2023 require the payment of installments in quarterly principal amounts of €1.5 million from December 31, 2022 through September 29, 2023 and €22.5 million at maturity.</w:t>
      </w:r>
    </w:p>
    <w:p>
      <w:pPr>
        <w:spacing w:after="0" w:line="4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new Yen Term C-2 Loans due 2026 require the payment of installments in quarterly principal amounts of ¥116.8 million from June 30, 2021 through March 31, 2023, ¥175.2 million from June 30, 2023 through March 31, 2024, ¥233.6 million from June 30, 2024 through March 31, 2025, ¥350.4 million from June 30, 2025 through March 31, 2026 and ¥5,372.4 million at maturity.</w:t>
      </w:r>
    </w:p>
    <w:p>
      <w:pPr>
        <w:spacing w:after="0" w:line="41" w:lineRule="exact"/>
        <w:rPr>
          <w:sz w:val="20"/>
          <w:szCs w:val="20"/>
          <w:color w:val="auto"/>
        </w:rPr>
      </w:pPr>
    </w:p>
    <w:p>
      <w:pPr>
        <w:jc w:val="both"/>
        <w:ind w:right="160"/>
        <w:spacing w:after="0" w:line="282" w:lineRule="auto"/>
        <w:rPr>
          <w:sz w:val="20"/>
          <w:szCs w:val="20"/>
          <w:color w:val="auto"/>
        </w:rPr>
      </w:pPr>
      <w:r>
        <w:rPr>
          <w:rFonts w:ascii="Times New Roman" w:cs="Times New Roman" w:eastAsia="Times New Roman" w:hAnsi="Times New Roman"/>
          <w:sz w:val="18"/>
          <w:szCs w:val="18"/>
          <w:color w:val="auto"/>
        </w:rPr>
        <w:t>The United States Term B-5 Loans due 2028 require the payment of $730.5 million at maturity. All quarterly amortization installments with respect to the United States Term B-5 Loans due 2028 were repaid in full as of October 1, 2021.</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10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All obligations under the Credit Agreement are unconditionally guaranteed by Aramark Intermediate HoldCo Corporation and, subject to certain exceptions, substantially all of ASI's existing and future wholly-owned domestic subsidiaries excluding certain immaterial subsidiaries, Receivables Facility subsidiaries, certain other customarily excluded subsidiaries and certain subsidiaries designated under the Credit Agreement as "unrestricted subsidiaries," referred to, collectively, as the United States Guarantors. All obligations under the Credit Agreement, and the guarantees of those obligations, are secured by (i) a pledge of 100% of the capital stock of ASI, (ii) pledges of 100% of the capital stock (or 65% of voting stock and 100% of non-voting stock, in the case of the stock of foreign subsidiaries) held by ASI, Aramark Intermediate HoldCo Corporation or any of the United States Guarantors and</w:t>
      </w:r>
    </w:p>
    <w:p>
      <w:pPr>
        <w:spacing w:after="0" w:line="5" w:lineRule="exact"/>
        <w:rPr>
          <w:sz w:val="20"/>
          <w:szCs w:val="20"/>
          <w:color w:val="auto"/>
        </w:rPr>
      </w:pPr>
    </w:p>
    <w:p>
      <w:pPr>
        <w:ind w:right="60" w:firstLine="8"/>
        <w:spacing w:after="0" w:line="260" w:lineRule="auto"/>
        <w:tabs>
          <w:tab w:leader="none" w:pos="3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interest in, and mortgages on, substantially all tangible assets of Aramark Intermediate HoldCo Corporation, ASI or any of the United States Guarantors.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Covenants</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Credit Agreement contains a number of covenants that, among other things, restrict, subject to certain exceptions, ASI's ability and the ability of its restricted subsidiaries to: incur additional indebtedness; issue preferred stock or provide guarantees; create liens on assets; engage in mergers or consolidations; sell assets; pay dividends, make distributions or repurchase its capital stock; make investments, loans or advances; repay or repurchase any subordinated debt, except as scheduled or at maturity; create restrictions on the payment of dividends or other amounts to ASI from its restricted subsidiaries; make certain acquisitions; engage in certain transactions with affiliates; amend material agreements governing ASI's subordinated debt (or any indebtedness that refinances its subordinated debt); and fundamentally change ASI's business. The Credit Agreement also contains certain customary affirmative covenants, such as financial and other reporting, and certain events of default. At September 30, 2022, ASI was in compliance with all of these covenants.</w:t>
      </w:r>
    </w:p>
    <w:p>
      <w:pPr>
        <w:spacing w:after="0" w:line="7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Credit Agreement requires ASI to maintain a maximum Consolidated Secured Debt Ratio, defined as consolidated total indebtedness secured by a lien to Covenant Adjusted EBITDA, not to exceed 5.125x. Consolidated total indebtedness secured by a lien is defined in the Credit Agreement as total indebtedness consisting of debt for borrowed money, finance leases, debt in respect of sale-leaseback transactions, disqualified and preferred stock and advances under the Receivables Facility secured by a lien reduced by the amount of cash and cash equivalents in the consolidated balance sheet that is free and clear of any lien. Non-compliance with the maximum Consolidated Secured Debt Ratio could result in the requirement to immediately repay all amounts outstanding under the Credit Agreement, which, if ASI's lenders under the Credit Agreement (other than the lenders in respect of ASI’s United States Term B-3 Loans due 2025, United States Term B-4 Loans due 2027 and United States Term B-5</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Loans due 2028 which lenders shall not benefit from the maximum Consolidated Secured Debt Ratio) failed to waive any such default, would also constitute a default under the indentures governing the senior notes. The actual ratio at September 30, 2022 was 2.73x.</w:t>
      </w:r>
    </w:p>
    <w:p>
      <w:pPr>
        <w:spacing w:after="0" w:line="2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Credit Agreement establishes an incurrence-based minimum Interest Coverage Ratio, defined as Covenant Adjusted EBITDA to consolidated interest expense, as a condition for ASI and its restricted subsidiaries to incur additional indebtedness and to make certain restricted payments. The minimum Interest Coverage Ratio is at least 2.00x for the term of the Credit Agreement. If ASI does not maintain this minimum Interest Coverage Ratio calculated on a pro forma basis for any such additional indebtedness or restricted payments, it could be prohibited from being able to incur additional indebtedness, other than the additional funding provided for under the Credit Agreement and pursuant to specified exceptions, and make certain restricted payments, other than pursuant to certain exceptions. The actual ratio was 3.55x for the fiscal year ended September 30, 2022.</w:t>
      </w:r>
    </w:p>
    <w:p>
      <w:pPr>
        <w:spacing w:after="0" w:line="6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 failure to pay any obligations under the Credit Agreement as they become due or any event causing amounts to become due prior to their stated maturity could result in a cross-default and potential acceleration of the Company’s other outstanding debt obligations, including the senior notes.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6.375% Senior Notes due 2025</w:t>
      </w:r>
    </w:p>
    <w:p>
      <w:pPr>
        <w:spacing w:after="0" w:line="10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April 27, 2020, ASI issued $1,500.0 million aggregate principal amount of 6.375% Senior Notes due May 1, 2025 (the "6.375% 2025 Notes"). ASI used the net proceeds from the 6.375% 2025 Notes for general corporate purposes. The Company capitalized third-party costs of $22.3 million directly attributable to the 6.375% 2025 Notes, which are included in "Long-Term Borrowings" on the Consolidated Balance Sheets and within "Other financing activities" on the Consolidated Statements of Cash Flows for the fiscal year ended October 2, 2020.</w:t>
      </w:r>
    </w:p>
    <w:p>
      <w:pPr>
        <w:spacing w:after="0" w:line="5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6.375% 2025 Notes were issued pursuant to an indenture, dated as of April 27, 2020 (the "6.375% 2025 Notes Indenture"), entered into by and among ASI, the Company and certain other Aramark entities, as guarantors, and the U.S. Bank National Association, as trustee. The 6.375% 2025 Notes were issued at par.</w:t>
      </w:r>
    </w:p>
    <w:p>
      <w:pPr>
        <w:spacing w:after="0" w:line="4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6.375% 2025 Notes are senior unsecured obligations of ASI. The 6.375% 2025 Notes rank equal in right of payment to all of the Issuer's existing and future senior indebtedness and will rank senior in right of payment to the Issuer's future subordinated indebtedness. The 6.375% 2025 Notes are guaranteed on a senior, unsecured basis by the Company and substantially all of the domestic subsidiaries of ASI. The guarantees of the 6.375% 2025 Notes rank equal in right of payment to all of the senior obligations of such guarantor. The 6.375% 2025 Notes are effectively subordinated to all of ASI's existing and future secured indebtedness, to the extent of the value of the assets securing that indebtedness, and structurally subordinated to all of the liabilities of any of ASI's subsidiaries that do not guarantee the 6.375% 2025 Notes. Interest on the 6.375% 2025 Notes is payable on May 1 and November 1 of each year.</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of certain types of changes of control, the holders of the 6.375% 2025 Notes may require ASI to purchase for cash all or a portion of their</w:t>
      </w:r>
    </w:p>
    <w:p>
      <w:pPr>
        <w:spacing w:after="0" w:line="2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6.375% 2025 Notes at a purchase price equal to 101% of the principal amount of such 6.375% 2025 Notes, plus accrued and unpaid interest, if any, to, but not including, the purchase date.</w:t>
      </w:r>
    </w:p>
    <w:p>
      <w:pPr>
        <w:spacing w:after="0" w:line="6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6.375% 2025 Notes Indenture contains covenants limiting ASI's ability and the ability of its restricted subsidiaries to: incur additional indebtedness or issue certain preferred shares; pay dividends and make certain distributions, investments and other restricted payments; create certain liens; sell assets; enter into transactions with affiliates; limit the ability of restricted subsidiaries to make payments to ASI; enter into sale and leaseback transactions; merge, consolidate, sell or otherwise dispose of all or substantially all of ASI's and its restricted subsidiaries assets; and designate ASI's subsidiaries as unrestricted subsidiaries. The 6.375% 2025 Notes Indenture also provides for events of default which, if any of them occurs, would permit or require the principal of and accrued interest on the applicable series of 6.375% 2025 Notes to become or to be declared due and payable. Further, a failure to pay any obligations under the 6.375% 2025 Notes Indenture as they become due or any event causing amounts to become due prior to their stated maturity could result in a cross-default and potential acceleration of the Company’s other outstanding debt obligations, including the other senior notes and obligations under the Credit Agreement.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5.000% Senior Notes due 2028</w:t>
      </w:r>
    </w:p>
    <w:p>
      <w:pPr>
        <w:spacing w:after="0" w:line="10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January 18, 2018, ASI issued $1,150.0 million aggregate principal amount of 5.000% Senior Notes due February 1, 2028 (the "2028 Notes"). The net proceeds from the 2028 Notes were used to finance the AmeriPride acquisition that occurred in fiscal 2018, to pay down certain borrowings under the revolving credit facility and to pay fees related to the transaction. The Company capitalized third-party costs of $14.2 million directly attributable to the 2028 Notes, which are included in "Long-Term Borrowings" on the Consolidated Balance Sheets and are being amortized over the debt period.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2028 Notes were issued pursuant to an indenture, dated as of January 18, 2018 (the "2028 Notes Indenture"), entered into by and among ASI, the Company and certain other Aramark entities, as guarantors, and the U.S. Bank National Association, as trustee. The 2028 Notes were issued at par.</w:t>
      </w:r>
    </w:p>
    <w:p>
      <w:pPr>
        <w:spacing w:after="0" w:line="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2028 Notes are senior unsecured obligations of ASI. The 2028 Notes rank equal in right of payment to all of the Issuer's existing and future senior indebtedness and will rank senior in right of payment to the Issuer's future subordinated indebtedness. The 2028 Notes are guaranteed on a senior, unsecured basis by the Company and substantially all of the domestic subsidiaries of ASI. The guarantees of the 2028 Notes rank equal in right of payment to all of the senior obligations of such guarantor. The 2028 Notes are effectively subordinated to all of ASI's existing and future secured indebtedness, to the extent of the value of the assets securing that indebtedness, and structurally subordinated to all of the liabilities of any of ASI's subsidiaries that do not guarantee the 2028 Notes. Interest on the 2028 Notes is payable on February 1 and August 1 of each year.</w:t>
      </w:r>
    </w:p>
    <w:p>
      <w:pPr>
        <w:spacing w:after="0" w:line="66" w:lineRule="exact"/>
        <w:rPr>
          <w:sz w:val="20"/>
          <w:szCs w:val="20"/>
          <w:color w:val="auto"/>
        </w:rPr>
      </w:pPr>
    </w:p>
    <w:p>
      <w:pPr>
        <w:ind w:right="500"/>
        <w:spacing w:after="0" w:line="312" w:lineRule="auto"/>
        <w:rPr>
          <w:sz w:val="20"/>
          <w:szCs w:val="20"/>
          <w:color w:val="auto"/>
        </w:rPr>
      </w:pPr>
      <w:r>
        <w:rPr>
          <w:rFonts w:ascii="Times New Roman" w:cs="Times New Roman" w:eastAsia="Times New Roman" w:hAnsi="Times New Roman"/>
          <w:sz w:val="17"/>
          <w:szCs w:val="17"/>
          <w:color w:val="auto"/>
        </w:rPr>
        <w:t>At any time prior to February 1, 2023, ASI has the option to redeem all or a part of the 2028 Notes at a purchase price equal to 100% of the principal amount of such 2028 Notes plus an applicable premium and accrued and unpaid interest, if any, to, but not including the date of redemption.</w:t>
      </w:r>
    </w:p>
    <w:p>
      <w:pPr>
        <w:spacing w:after="0" w:line="1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2028 Notes Indenture contains covenants limiting ASI's ability and the ability of its restricted subsidiaries to: incur additional indebtedness or issue certain preferred shares; pay dividends and make certain distributions, investments and other restricted payments; create certain liens; sell assets; enter into transactions with affiliates; limit the ability of restricted subsidiaries to make payments to ASI; enter into sale and leaseback transactions; merge, consolidate, sell or otherwise dispose of all or substantially all of ASI's and its restricted subsidiaries assets; and designate ASI's subsidiaries as unrestricted subsidiaries. The 2028 Notes Indenture also provides for events of default which, if any of them occurs, would permit or require the principal of and accrued interest on the applicable series of 2028 Notes to become or to be declared due and payable. Further, a failure to pay any obligations under</w:t>
      </w:r>
    </w:p>
    <w:p>
      <w:pPr>
        <w:spacing w:after="0" w:line="5"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the 2028 Notes Indenture as they become due or any event causing amounts to become due prior to their stated maturity could result in a cross-default and potential acceleration of the Company’s other outstanding debt obligations, including the other senior notes and obligations under the Credit Agreement.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5.000% Senior Notes due 2025 and 3.125% Senior Notes due 2025</w:t>
      </w:r>
    </w:p>
    <w:p>
      <w:pPr>
        <w:spacing w:after="0" w:line="10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On March 22, 2017, ASI issued $600.0 million of 5.000% Senior Notes due April 1, 2025 (the "5.000% 2025 Notes"). The 5.000% 2025 Notes were issued pursuant to an indenture (the "5.000% 2025 Notes Indenture"), entered into by and among ASI, the Company and certain other Aramark entities, as guarantors, and The Bank of New York Mellon, as trustee. The 5.000% 2025 Notes were issued at par. On March 27, 2017, Aramark International Finance S.à.r.l. ("AIFS"), an indirect wholly owned subsidiary of the Company, issued €325.0 million of 3.125% Senior Notes due April 1, 2025 (the "3.125% 2025 Notes" and, together with the 5.000% 2025 Notes, the "2025 Notes"). The 3.125% 2025 Notes were issued pursuant to an indenture (the "3.125% 2025 Notes Indenture"), entered into by and among AIFS, the Company and certain other Aramark entities, as guarantors, The Bank of New York Mellon, as trustee and registrar, and The Bank of New York Mellon, London Branch, as paying agent and transfer agent. The 3.125% 2025 Notes were issued at par.</w:t>
      </w:r>
    </w:p>
    <w:p>
      <w:pPr>
        <w:spacing w:after="0" w:line="5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2025 Notes are senior unsecured obligations of the respective Issuers. Each series of the 2025 Notes ranks equal in right of payment to all of the respective Issuer's existing and future senior indebtedness, including the senior secured credit facilities under the Credit Agreement, and, in the case of the 5.000% 2025 Notes with respect to ASI and will rank senior in right of payment to the respective Issuer's future subordinated indebtedness. The 2025 Notes are guaranteed on a senior, unsecured basis by the Company and substantially all of the domestic subsidiaries of ASI and the 3.125% 2025 Notes are guaranteed on a senior, unsecured basis by ASI. The guarantees of the 2025 Notes rank equal in right of payment to all of the senior obligations of such guarantor, including guarantees of the senior secured credit facilities and the 2028 Notes, as applicable, and in the case of the 3.125% 2025 Notes with respect to ASI, ASI’s obligations under the senior secured credit facilities, the 5.000% 2025 Notes and the 2028 Notes. Each series of the 2025 Notes and the related guarantees thereof are effectively subordinated to all of the respective Issuers' existing and future secured indebtedness, including obligations and/or guarantees of the senior secured credit facilities under the Credit Agreement, to the extent of the value of the assets securing that indebtedness, and structurally subordinated to all of the liabilities of any of ASI's subsidiaries that do not guarantee the 2025 Notes. Interest on the 2025 Notes is payable on April 1 and October 1 of each year.</w:t>
      </w:r>
    </w:p>
    <w:p>
      <w:pPr>
        <w:spacing w:after="0" w:line="5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the event of certain types of changes of control, the holders of the 2025 Notes may require the applicable Issuer to purchase for cash all or a portion of their 2025 Notes at a purchase price equal to 101% of the principal amount of such 2025 Notes, plus accrued and unpaid interest, if any, to, but not including, the purchase date. ASI has the option to redeem all or a portion of the 5.000% 2025 Notes at any time at the redemption prices set forth in the 5.000% 2025 Notes Indenture, plus accrued and unpaid interest. Beginning April 1, 2020, AIFS has the option to redeem all or a portion of the 3.125% 2025 Notes at any time at the redemption prices set forth in the 3.125% 2025 Notes Indenture, plus accrued and unpaid interest.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5.000% 2025 Notes Indenture and the 3.125% 2025 Notes Indenture contain covenants limiting ASI's ability and the ability of its restricted subsidiaries to: incur additional indebtedness or issue certain preferred shares; pay dividends and make certain distributions, investments and other restricted payments; create certain liens; sell assets; enter into transactions with affiliates; limit the ability of restricted subsidiaries to make payments to ASI; enter into sale and leaseback transactions; merge, consolidate, sell or otherwise dispose of all or substantially all of ASI's and its restricted subsidiaries assets; and designate ASI's subsidiaries as unrestricted subsidiaries. The 5.000% 2025 Notes Indenture and the 3.125% 2025 Notes Indenture also provide for events of default which, if any of them occurs, would permit or require the principal of and accrued interest on the applicable series of 2025 Notes to become or to be declared due and payable. Further, a failure to pay any obligations under the 5.000% 2025 Notes Indenture or the 3.125% 2025 Notes Indenture as they become due or any event causing amounts to become due prior to their stated maturity could result in a cross-default and potential acceleration of the Company’s other outstanding debt obligations, including the other senior notes and obligations under the Credit Agreement.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2022, the Company made optional prepayments of $48.5 million on the 5.000% 2025 Notes.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4.750% Senior Notes due 2026</w:t>
      </w:r>
    </w:p>
    <w:p>
      <w:pPr>
        <w:spacing w:after="0" w:line="106"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On June 2, 2021, the Company redeemed the aggregate $500.0 million principal amount outstanding on the 4.750% 2026 Notes at a redemption price of 102.375% of the aggregate principal amount together with accrued and unpaid interest. The Company recorded $16.0 million of charges to "Interest and Other Financing Costs, net" on the Consolidated Statements of Income (Loss) for the fiscal year ended October 1, 2021, consisting of the payment of a $11.9 million call premium and a $4.1 million non-cash loss for the write-off of unamortized deferred financing costs on the 4.750% 2026 Notes. The amount paid for the call premium is included within "Other financing activities" on the Consolidated Statements of Cash Flows for the fiscal year ended October 1, 2021.</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Receivables Facility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 Receivables Facility agreement with three financial institutions where it sells on a continuous basis an undivided interest in all eligible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accounts receivable, as defined in the Receivables Facility. Amounts borrowed under the Receivables Facility fluctuate monthly based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funding requirements and the level of qualified receivables available to collateralize the Receivables Facility. On June 17, 2022,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increased the purchase limit available under the Receivables Facility from $400.0 million to $500.0 million and the additional seasonal tranche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 million has been eliminated. All other terms and conditions of the agreement remained largely unchanged. The Receivables Facility expires in June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8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Pursuant to the Receivables Facility, the Company formed ARAMARK Receivables, LLC, a wholly-owned, consolidated, bankruptcy-remote subsidiary. ARAMARK Receivables, LLC was formed for the sole purpose of buying and selling receivables generated by certain subsidiaries of the Company. Under the Receivables Facility, the Company and certain of its subsidiaries transfer without recourse all of their accounts receivable to ARAMARK Receivables, LLC. As collections reduce previously transferred interests, interests in new, eligible receivables are transferred to ARAMARK Receivables, LLC, subject to meeting certain conditions.</w:t>
      </w:r>
    </w:p>
    <w:p>
      <w:pPr>
        <w:spacing w:after="0" w:line="48"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As of September 30, 2022, there are $104.9 million outstanding borrowings under the Receivables Facility. As of October 1, 2021, there were no outstanding borrowings under the Receivables Facility.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Maturities and Interest and Other Financing Costs, net</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At September 30, 2022, annual maturities on long-term borrowings maturing in the next five fiscal years and thereafter (excluding the $41.6 million reduction to long-term borrowings from debt issuance costs and $0.7 million reduction from the discount on the United States Term B-4 Loans due 2027) are as follows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6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66,191</w:t>
            </w:r>
          </w:p>
        </w:tc>
      </w:tr>
      <w:tr>
        <w:trPr>
          <w:trHeight w:val="23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9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175,151</w:t>
            </w: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9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4,108,997</w:t>
            </w:r>
          </w:p>
        </w:tc>
      </w:tr>
      <w:tr>
        <w:trPr>
          <w:trHeight w:val="23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9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332,301</w:t>
            </w: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9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854,050</w:t>
            </w:r>
          </w:p>
        </w:tc>
      </w:tr>
      <w:tr>
        <w:trPr>
          <w:trHeight w:val="234"/>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9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1,927,169</w:t>
            </w:r>
          </w:p>
        </w:tc>
      </w:tr>
      <w:tr>
        <w:trPr>
          <w:trHeight w:val="954"/>
        </w:trPr>
        <w:tc>
          <w:tcPr>
            <w:tcW w:w="3120" w:type="dxa"/>
            <w:vAlign w:val="bottom"/>
          </w:tcPr>
          <w:p>
            <w:pPr>
              <w:spacing w:after="0"/>
              <w:rPr>
                <w:sz w:val="24"/>
                <w:szCs w:val="24"/>
                <w:color w:val="auto"/>
              </w:rPr>
            </w:pPr>
          </w:p>
        </w:tc>
        <w:tc>
          <w:tcPr>
            <w:tcW w:w="6920" w:type="dxa"/>
            <w:vAlign w:val="bottom"/>
          </w:tcPr>
          <w:p>
            <w:pPr>
              <w:jc w:val="right"/>
              <w:ind w:right="4150"/>
              <w:spacing w:after="0"/>
              <w:rPr>
                <w:sz w:val="20"/>
                <w:szCs w:val="20"/>
                <w:color w:val="auto"/>
              </w:rPr>
            </w:pPr>
            <w:r>
              <w:rPr>
                <w:rFonts w:ascii="Times New Roman" w:cs="Times New Roman" w:eastAsia="Times New Roman" w:hAnsi="Times New Roman"/>
                <w:sz w:val="18"/>
                <w:szCs w:val="18"/>
                <w:color w:val="auto"/>
              </w:rPr>
              <w:t>S-28</w:t>
            </w:r>
          </w:p>
        </w:tc>
        <w:tc>
          <w:tcPr>
            <w:tcW w:w="1200" w:type="dxa"/>
            <w:vAlign w:val="bottom"/>
          </w:tcPr>
          <w:p>
            <w:pPr>
              <w:spacing w:after="0"/>
              <w:rPr>
                <w:sz w:val="24"/>
                <w:szCs w:val="24"/>
                <w:color w:val="auto"/>
              </w:rPr>
            </w:pPr>
          </w:p>
        </w:tc>
      </w:tr>
      <w:tr>
        <w:trPr>
          <w:trHeight w:val="115"/>
        </w:trPr>
        <w:tc>
          <w:tcPr>
            <w:tcW w:w="3120" w:type="dxa"/>
            <w:vAlign w:val="bottom"/>
            <w:tcBorders>
              <w:bottom w:val="single" w:sz="8" w:color="9A9A9A"/>
            </w:tcBorders>
          </w:tcPr>
          <w:p>
            <w:pPr>
              <w:spacing w:after="0"/>
              <w:rPr>
                <w:sz w:val="10"/>
                <w:szCs w:val="10"/>
                <w:color w:val="auto"/>
              </w:rPr>
            </w:pPr>
          </w:p>
        </w:tc>
        <w:tc>
          <w:tcPr>
            <w:tcW w:w="69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interest and other financing costs, net, are summarized as follows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3"/>
        </w:trPr>
        <w:tc>
          <w:tcPr>
            <w:tcW w:w="5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0"/>
        </w:trPr>
        <w:tc>
          <w:tcPr>
            <w:tcW w:w="5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80" w:type="dxa"/>
            <w:vAlign w:val="bottom"/>
          </w:tcPr>
          <w:p>
            <w:pPr>
              <w:spacing w:after="0"/>
              <w:rPr>
                <w:sz w:val="16"/>
                <w:szCs w:val="16"/>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October 1, 2021</w:t>
            </w:r>
          </w:p>
        </w:tc>
        <w:tc>
          <w:tcPr>
            <w:tcW w:w="220" w:type="dxa"/>
            <w:vAlign w:val="bottom"/>
          </w:tcPr>
          <w:p>
            <w:pPr>
              <w:spacing w:after="0"/>
              <w:rPr>
                <w:sz w:val="16"/>
                <w:szCs w:val="16"/>
                <w:color w:val="auto"/>
              </w:rPr>
            </w:pPr>
          </w:p>
        </w:tc>
        <w:tc>
          <w:tcPr>
            <w:tcW w:w="146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October 2, 2020</w:t>
            </w:r>
          </w:p>
        </w:tc>
      </w:tr>
      <w:tr>
        <w:trPr>
          <w:trHeight w:val="229"/>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381,533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413,713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389,434</w:t>
            </w: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(14,990)</w:t>
            </w: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financing costs</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8,356</w:t>
            </w: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372,727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401,366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382,800</w:t>
            </w:r>
          </w:p>
        </w:tc>
      </w:tr>
      <w:tr>
        <w:trPr>
          <w:trHeight w:val="21"/>
        </w:trPr>
        <w:tc>
          <w:tcPr>
            <w:tcW w:w="5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DERIVATIVE INSTRUMENTS:</w:t>
      </w:r>
    </w:p>
    <w:p>
      <w:pPr>
        <w:spacing w:after="0" w:line="9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enters into contractual derivative arrangements to manage changes in market conditions related to interest on debt obligations and exposure to fluctuating gasoline and diesel fuel prices. Derivative instruments utilized during the period include interest rate swap agreements and gasoline and diesel fuel agreements. All derivative instruments are recognized as either assets or liabilities on the balance sheet at fair value at the end of each quarter. The counterparties to the Company's contractual derivative agreements are all major international financial institutions. The Company is exposed to credit loss in the event of nonperformance by these counterparties. The Company continually monitors its positions and the credit ratings of its counterparties and does not anticipate nonperformance by the counterparties. For designated hedging relationships, the Company formally documents the hedging relationship and its risk management objective and strategy for undertaking the hedge, the hedging instrument, the hedged item, the nature of the risk being hedged and how the hedging instrument's effectiveness in offsetting the hedged risk will be assessed prospectively and retrospectively for designated hedges. The Company also formally assesses, both at the hedge's inception and on an ongoing basis, whether the derivatives that are used in hedging transactions are highly effective in offsetting cash flows of hedged items.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has approximately $3.6 billion notional amount of outstanding interest rate swap agreements as of September 30, 2022, of which $1.2 billion are forward starting with initial effective dates subsequent to September 30, 2022. The outstanding interest rate swap agreements fix the rate on a like amount of variable rate borrowings with varying maturities through December of fiscal 2028. During fiscal 2022, the Company entered into $700.0 million notional amount of forward starting interest rate swap agreements to hedge the cash flow risk of variability in interest payments on variable rate borrowings. In addition, interest rate swaps with notional amounts of $250.0 million matured during fiscal 2022.</w:t>
      </w:r>
    </w:p>
    <w:p>
      <w:pPr>
        <w:spacing w:after="0" w:line="4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Changes in the fair value of a derivative that is designated as and meets all the required criteria for a cash flow hedge are recorded in accumulated other comprehensive loss and reclassified into earnings as the underlying hedged item affects earnings. Amounts reported in accumulated other comprehensive loss related to derivatives will be reclassified to interest expense as interest payments are made on the Company’s variable-rate debt. As of September 30, 2022 and October 1, 2021, $114.7 million and ($49.2) million, respectively, of unrealized net of tax gains (losses) related to the interest rate swaps were included in "Accumulated other comprehensive loss."</w:t>
      </w:r>
    </w:p>
    <w:p>
      <w:pPr>
        <w:spacing w:after="0" w:line="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of the Company's derivatives designated as cash flow hedging instruments on Other comprehensive income (loss)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3"/>
        </w:trPr>
        <w:tc>
          <w:tcPr>
            <w:tcW w:w="5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0"/>
        </w:trPr>
        <w:tc>
          <w:tcPr>
            <w:tcW w:w="5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0" w:type="dxa"/>
            <w:vAlign w:val="bottom"/>
          </w:tcPr>
          <w:p>
            <w:pPr>
              <w:spacing w:after="0"/>
              <w:rPr>
                <w:sz w:val="16"/>
                <w:szCs w:val="16"/>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October 1, 2021</w:t>
            </w:r>
          </w:p>
        </w:tc>
        <w:tc>
          <w:tcPr>
            <w:tcW w:w="240" w:type="dxa"/>
            <w:vAlign w:val="bottom"/>
          </w:tcPr>
          <w:p>
            <w:pPr>
              <w:spacing w:after="0"/>
              <w:rPr>
                <w:sz w:val="16"/>
                <w:szCs w:val="16"/>
                <w:color w:val="auto"/>
              </w:rPr>
            </w:pPr>
          </w:p>
        </w:tc>
        <w:tc>
          <w:tcPr>
            <w:tcW w:w="146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October 2, 2020</w:t>
            </w:r>
          </w:p>
        </w:tc>
      </w:tr>
      <w:tr>
        <w:trPr>
          <w:trHeight w:val="229"/>
        </w:trPr>
        <w:tc>
          <w:tcPr>
            <w:tcW w:w="5960" w:type="dxa"/>
            <w:vAlign w:val="bottom"/>
            <w:tcBorders>
              <w:top w:val="single" w:sz="8" w:color="CCEEFF"/>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Interest rate swap agreements</w:t>
            </w:r>
            <w:r>
              <w:rPr>
                <w:rFonts w:ascii="Times New Roman" w:cs="Times New Roman" w:eastAsia="Times New Roman" w:hAnsi="Times New Roman"/>
                <w:sz w:val="23"/>
                <w:szCs w:val="23"/>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193,616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(110,817)</w:t>
            </w:r>
          </w:p>
        </w:tc>
      </w:tr>
    </w:tbl>
    <w:p>
      <w:pPr>
        <w:spacing w:after="0" w:line="198" w:lineRule="exact"/>
        <w:rPr>
          <w:sz w:val="20"/>
          <w:szCs w:val="20"/>
          <w:color w:val="auto"/>
        </w:rPr>
      </w:pPr>
    </w:p>
    <w:p>
      <w:pPr>
        <w:ind w:left="420" w:hanging="394"/>
        <w:spacing w:after="0"/>
        <w:tabs>
          <w:tab w:leader="none" w:pos="42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Fiscal 2022 impacted by changes in forward interest rates.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not Designated in Hedging Relationships</w:t>
      </w:r>
    </w:p>
    <w:p>
      <w:pPr>
        <w:spacing w:after="0" w:line="10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entered into a series of pay fixed/receive floating gasoline and diesel fuel agreements based on the Department of Energy weekly retail on-highway index in order to limit its exposure to price fluctuations for gasoline and diesel fuel. As of September 30, 2022, the Company has contracts for approximately 9.4 million gallons outstanding through September of fiscal 2023. The Company does not record its gasoline and diesel fuel agreements as hedges for accounting purposes. The impact on earnings related to the change in fair value of these unsettled contracts was a loss of $5.2 million for fiscal 2022, a gain of $4.4 million for fiscal 2021 and a loss of $1.3 million for fiscal 2020. The change in fair value for unsettled contracts is included in "Selling and general corporate expenses" on the Consolidated Statements of Income (Loss). When the contracts settle, the gain or loss is recorded to "Cost of services provided (exclusive of depreciation and amortization)" on the Consolidated Statements of Income (Loss).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location and fair value, using Level 2 inputs (see Note 16 for a description of the fair value levels), of the Company's derivatives designated and not designated as hedging instruments in the Consolidated Balance Sheets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500" w:type="dxa"/>
            <w:vAlign w:val="bottom"/>
            <w:gridSpan w:val="2"/>
          </w:tcPr>
          <w:p>
            <w:pPr>
              <w:ind w:left="9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6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20" w:type="dxa"/>
            <w:vAlign w:val="bottom"/>
          </w:tcPr>
          <w:p>
            <w:pPr>
              <w:spacing w:after="0"/>
              <w:rPr>
                <w:sz w:val="16"/>
                <w:szCs w:val="16"/>
                <w:color w:val="auto"/>
              </w:rPr>
            </w:pPr>
          </w:p>
        </w:tc>
        <w:tc>
          <w:tcPr>
            <w:tcW w:w="146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October 1, 2021</w:t>
            </w:r>
          </w:p>
        </w:tc>
      </w:tr>
      <w:tr>
        <w:trPr>
          <w:trHeight w:val="23"/>
        </w:trPr>
        <w:tc>
          <w:tcPr>
            <w:tcW w:w="4280" w:type="dxa"/>
            <w:vAlign w:val="bottom"/>
            <w:tcBorders>
              <w:bottom w:val="single" w:sz="8" w:color="CCEEFF"/>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9"/>
        </w:trPr>
        <w:tc>
          <w:tcPr>
            <w:tcW w:w="42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Designated as hedging instruments:</w:t>
            </w:r>
          </w:p>
        </w:tc>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4280" w:type="dxa"/>
            <w:vAlign w:val="bottom"/>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Interest rate swap agreements</w:t>
            </w:r>
            <w:r>
              <w:rPr>
                <w:rFonts w:ascii="Times New Roman" w:cs="Times New Roman" w:eastAsia="Times New Roman" w:hAnsi="Times New Roman"/>
                <w:sz w:val="23"/>
                <w:szCs w:val="23"/>
                <w:color w:val="auto"/>
                <w:vertAlign w:val="superscript"/>
              </w:rPr>
              <w:t>(1)</w:t>
            </w:r>
          </w:p>
        </w:tc>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80" w:type="dxa"/>
            <w:vAlign w:val="bottom"/>
            <w:tcBorders>
              <w:bottom w:val="single" w:sz="8" w:color="CCEEFF"/>
            </w:tcBorders>
          </w:tcPr>
          <w:p>
            <w:pPr>
              <w:ind w:left="60"/>
              <w:spacing w:after="0" w:line="230" w:lineRule="exact"/>
              <w:rPr>
                <w:sz w:val="20"/>
                <w:szCs w:val="20"/>
                <w:color w:val="auto"/>
              </w:rPr>
            </w:pPr>
            <w:r>
              <w:rPr>
                <w:rFonts w:ascii="Times New Roman" w:cs="Times New Roman" w:eastAsia="Times New Roman" w:hAnsi="Times New Roman"/>
                <w:sz w:val="18"/>
                <w:szCs w:val="18"/>
                <w:color w:val="auto"/>
              </w:rPr>
              <w:t>Interest rate swap agreements</w:t>
            </w:r>
            <w:r>
              <w:rPr>
                <w:rFonts w:ascii="Times New Roman" w:cs="Times New Roman" w:eastAsia="Times New Roman" w:hAnsi="Times New Roman"/>
                <w:sz w:val="23"/>
                <w:szCs w:val="23"/>
                <w:color w:val="auto"/>
                <w:vertAlign w:val="superscript"/>
              </w:rPr>
              <w:t>(1)</w:t>
            </w:r>
          </w:p>
        </w:tc>
        <w:tc>
          <w:tcPr>
            <w:tcW w:w="3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149,755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80" w:type="dxa"/>
            <w:vAlign w:val="bottom"/>
            <w:shd w:val="clear" w:color="auto" w:fill="CCEEFF"/>
          </w:tcPr>
          <w:p>
            <w:pPr>
              <w:spacing w:after="0"/>
              <w:rPr>
                <w:sz w:val="19"/>
                <w:szCs w:val="19"/>
                <w:color w:val="auto"/>
              </w:rPr>
            </w:pPr>
          </w:p>
        </w:tc>
        <w:tc>
          <w:tcPr>
            <w:tcW w:w="3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428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Not designated as hedging instruments:</w:t>
            </w:r>
          </w:p>
        </w:tc>
        <w:tc>
          <w:tcPr>
            <w:tcW w:w="3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Gasoline and diesel fuel agreements</w:t>
            </w:r>
          </w:p>
        </w:tc>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6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w:t>
            </w:r>
          </w:p>
        </w:tc>
      </w:tr>
      <w:tr>
        <w:trPr>
          <w:trHeight w:val="248"/>
        </w:trPr>
        <w:tc>
          <w:tcPr>
            <w:tcW w:w="4280" w:type="dxa"/>
            <w:vAlign w:val="bottom"/>
            <w:tcBorders>
              <w:top w:val="single" w:sz="8" w:color="CCEEFF"/>
              <w:bottom w:val="single" w:sz="8" w:color="CCEEFF"/>
            </w:tcBorders>
            <w:shd w:val="clear" w:color="auto" w:fill="CCEEFF"/>
          </w:tcPr>
          <w:p>
            <w:pPr>
              <w:spacing w:after="0"/>
              <w:rPr>
                <w:sz w:val="21"/>
                <w:szCs w:val="21"/>
                <w:color w:val="auto"/>
              </w:rPr>
            </w:pPr>
          </w:p>
        </w:tc>
        <w:tc>
          <w:tcPr>
            <w:tcW w:w="33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2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Designated as hedging instruments:</w:t>
            </w:r>
          </w:p>
        </w:tc>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4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rate swap agreements</w:t>
            </w:r>
            <w:r>
              <w:rPr>
                <w:rFonts w:ascii="Times New Roman" w:cs="Times New Roman" w:eastAsia="Times New Roman" w:hAnsi="Times New Roman"/>
                <w:sz w:val="23"/>
                <w:szCs w:val="23"/>
                <w:color w:val="auto"/>
                <w:vertAlign w:val="superscript"/>
              </w:rPr>
              <w:t>(1)</w:t>
            </w:r>
          </w:p>
        </w:tc>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r>
      <w:tr>
        <w:trPr>
          <w:trHeight w:val="229"/>
        </w:trPr>
        <w:tc>
          <w:tcPr>
            <w:tcW w:w="42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rate swap agreements</w:t>
            </w:r>
            <w:r>
              <w:rPr>
                <w:rFonts w:ascii="Times New Roman" w:cs="Times New Roman" w:eastAsia="Times New Roman" w:hAnsi="Times New Roman"/>
                <w:sz w:val="23"/>
                <w:szCs w:val="23"/>
                <w:color w:val="auto"/>
                <w:vertAlign w:val="superscript"/>
              </w:rPr>
              <w:t>(1)</w:t>
            </w:r>
          </w:p>
        </w:tc>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65,011</w:t>
            </w:r>
          </w:p>
        </w:tc>
      </w:tr>
      <w:tr>
        <w:trPr>
          <w:trHeight w:val="223"/>
        </w:trPr>
        <w:tc>
          <w:tcPr>
            <w:tcW w:w="4280" w:type="dxa"/>
            <w:vAlign w:val="bottom"/>
            <w:tcBorders>
              <w:top w:val="single" w:sz="8" w:color="CCEEFF"/>
            </w:tcBorders>
            <w:shd w:val="clear" w:color="auto" w:fill="CCEEFF"/>
          </w:tcPr>
          <w:p>
            <w:pPr>
              <w:spacing w:after="0"/>
              <w:rPr>
                <w:sz w:val="19"/>
                <w:szCs w:val="19"/>
                <w:color w:val="auto"/>
              </w:rPr>
            </w:pPr>
          </w:p>
        </w:tc>
        <w:tc>
          <w:tcPr>
            <w:tcW w:w="33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66,552</w:t>
            </w:r>
          </w:p>
        </w:tc>
      </w:tr>
      <w:tr>
        <w:trPr>
          <w:trHeight w:val="237"/>
        </w:trPr>
        <w:tc>
          <w:tcPr>
            <w:tcW w:w="428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Not designated as hedging instruments:</w:t>
            </w:r>
          </w:p>
        </w:tc>
        <w:tc>
          <w:tcPr>
            <w:tcW w:w="3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Gasoline and diesel fuel agreements</w:t>
            </w:r>
          </w:p>
        </w:tc>
        <w:tc>
          <w:tcPr>
            <w:tcW w:w="3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280" w:type="dxa"/>
            <w:vAlign w:val="bottom"/>
            <w:tcBorders>
              <w:bottom w:val="single" w:sz="8" w:color="CCEEFF"/>
            </w:tcBorders>
            <w:shd w:val="clear" w:color="auto" w:fill="CCEEFF"/>
          </w:tcPr>
          <w:p>
            <w:pPr>
              <w:spacing w:after="0"/>
              <w:rPr>
                <w:sz w:val="21"/>
                <w:szCs w:val="21"/>
                <w:color w:val="auto"/>
              </w:rPr>
            </w:pPr>
          </w:p>
        </w:tc>
        <w:tc>
          <w:tcPr>
            <w:tcW w:w="3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66,552</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440" w:hanging="380"/>
        <w:spacing w:after="0"/>
        <w:tabs>
          <w:tab w:leader="none" w:pos="44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Interest rate swaps moved from liability positions as of October 1, 2021 to asset positions as of September 30, 2022 due to changes in forward interest rates.</w:t>
      </w:r>
    </w:p>
    <w:p>
      <w:pPr>
        <w:spacing w:after="0" w:line="18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location of loss (gain) reclassified from "Accumulated other comprehensive loss" into earnings for derivatives designated as hedging instruments and the location of loss (gain) for the Company's derivatives not designated as hedging instruments in the Consolidated Statements of Income (Loss)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3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Income Statement Location</w:t>
            </w: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80" w:type="dxa"/>
            <w:vAlign w:val="bottom"/>
          </w:tcPr>
          <w:p>
            <w:pPr>
              <w:spacing w:after="0"/>
              <w:rPr>
                <w:sz w:val="16"/>
                <w:szCs w:val="16"/>
                <w:color w:val="auto"/>
              </w:rPr>
            </w:pPr>
          </w:p>
        </w:tc>
        <w:tc>
          <w:tcPr>
            <w:tcW w:w="2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80" w:type="dxa"/>
            <w:vAlign w:val="bottom"/>
          </w:tcPr>
          <w:p>
            <w:pPr>
              <w:spacing w:after="0"/>
              <w:rPr>
                <w:sz w:val="16"/>
                <w:szCs w:val="16"/>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October 1, 2021</w:t>
            </w:r>
          </w:p>
        </w:tc>
        <w:tc>
          <w:tcPr>
            <w:tcW w:w="220" w:type="dxa"/>
            <w:vAlign w:val="bottom"/>
          </w:tcPr>
          <w:p>
            <w:pPr>
              <w:spacing w:after="0"/>
              <w:rPr>
                <w:sz w:val="16"/>
                <w:szCs w:val="16"/>
                <w:color w:val="auto"/>
              </w:rPr>
            </w:pPr>
          </w:p>
        </w:tc>
        <w:tc>
          <w:tcPr>
            <w:tcW w:w="14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October 2, 2020</w:t>
            </w:r>
          </w:p>
        </w:tc>
        <w:tc>
          <w:tcPr>
            <w:tcW w:w="0" w:type="dxa"/>
            <w:vAlign w:val="bottom"/>
          </w:tcPr>
          <w:p>
            <w:pPr>
              <w:spacing w:after="0"/>
              <w:rPr>
                <w:sz w:val="1"/>
                <w:szCs w:val="1"/>
                <w:color w:val="auto"/>
              </w:rPr>
            </w:pPr>
          </w:p>
        </w:tc>
      </w:tr>
      <w:tr>
        <w:trPr>
          <w:trHeight w:val="216"/>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Designated as hedging instruments:</w:t>
            </w:r>
          </w:p>
        </w:tc>
        <w:tc>
          <w:tcPr>
            <w:tcW w:w="2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6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rate swap agreements</w:t>
            </w:r>
          </w:p>
        </w:tc>
        <w:tc>
          <w:tcPr>
            <w:tcW w:w="23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and Other Financing</w:t>
            </w: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80" w:type="dxa"/>
            <w:vAlign w:val="bottom"/>
          </w:tcPr>
          <w:p>
            <w:pPr>
              <w:spacing w:after="0"/>
              <w:rPr>
                <w:sz w:val="21"/>
                <w:szCs w:val="21"/>
                <w:color w:val="auto"/>
              </w:rPr>
            </w:pP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27,970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50,595</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34,409</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Not designated as hedging instruments:</w:t>
            </w:r>
          </w:p>
        </w:tc>
        <w:tc>
          <w:tcPr>
            <w:tcW w:w="2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6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Gasoline and diesel fuel agreements</w:t>
            </w:r>
          </w:p>
        </w:tc>
        <w:tc>
          <w:tcPr>
            <w:tcW w:w="23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services provided</w:t>
            </w: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23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(exclusive of depreciation and</w:t>
            </w: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80" w:type="dxa"/>
            <w:vAlign w:val="bottom"/>
          </w:tcPr>
          <w:p>
            <w:pPr>
              <w:spacing w:after="0"/>
              <w:rPr>
                <w:sz w:val="16"/>
                <w:szCs w:val="16"/>
                <w:color w:val="auto"/>
              </w:rPr>
            </w:pPr>
          </w:p>
        </w:tc>
        <w:tc>
          <w:tcPr>
            <w:tcW w:w="23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amortization)/ Selling and</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tcBorders>
              <w:bottom w:val="single" w:sz="8" w:color="CCEEFF"/>
            </w:tcBorders>
          </w:tcPr>
          <w:p>
            <w:pPr>
              <w:spacing w:after="0"/>
              <w:rPr>
                <w:sz w:val="20"/>
                <w:szCs w:val="20"/>
                <w:color w:val="auto"/>
              </w:rPr>
            </w:pPr>
          </w:p>
        </w:tc>
        <w:tc>
          <w:tcPr>
            <w:tcW w:w="2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general corporate expenses</w:t>
            </w: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(3,203)</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(8,044)</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5,768</w:t>
            </w:r>
          </w:p>
        </w:tc>
        <w:tc>
          <w:tcPr>
            <w:tcW w:w="0" w:type="dxa"/>
            <w:vAlign w:val="bottom"/>
          </w:tcPr>
          <w:p>
            <w:pPr>
              <w:spacing w:after="0"/>
              <w:rPr>
                <w:sz w:val="1"/>
                <w:szCs w:val="1"/>
                <w:color w:val="auto"/>
              </w:rPr>
            </w:pPr>
          </w:p>
        </w:tc>
      </w:tr>
      <w:tr>
        <w:trPr>
          <w:trHeight w:val="248"/>
        </w:trPr>
        <w:tc>
          <w:tcPr>
            <w:tcW w:w="368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24,767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42,551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40,177</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At September 30, 2022, the net of tax gain expected to be reclassified from "Accumulated other comprehensive loss" into earnings over the next twelve months based on current market rates is approximately $38.0 million.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REVENUE RECOGNITION:</w:t>
      </w:r>
    </w:p>
    <w:p>
      <w:pPr>
        <w:spacing w:after="0" w:line="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generates revenue through sales of food, facility and uniform services to customers based on written contracts at the locations it serves. Within the FSS United States and FSS International segments, the Company provides food and beverage services, including catering and retail services, or facilities services, including plant operations and maintenance, custodial, housekeeping, landscaping and other services. Within the Uniform segment, the Company provides a full service uniform solution, including delivery, cleaning and maintenance. In accordance with ASC 606, the Company accounts for a customer contract when both parties have approved the arrangement and are committed to perform their respective obligations, each</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right="620"/>
        <w:spacing w:after="0" w:line="266" w:lineRule="auto"/>
        <w:rPr>
          <w:sz w:val="20"/>
          <w:szCs w:val="20"/>
          <w:color w:val="auto"/>
        </w:rPr>
      </w:pPr>
      <w:r>
        <w:rPr>
          <w:rFonts w:ascii="Times New Roman" w:cs="Times New Roman" w:eastAsia="Times New Roman" w:hAnsi="Times New Roman"/>
          <w:sz w:val="18"/>
          <w:szCs w:val="18"/>
          <w:color w:val="auto"/>
        </w:rPr>
        <w:t>party's rights can be identified, payment terms can be identified, the contract has commercial substance and it is probable the Company will collect substantially all of the consideration to which it is entitled. Revenue is recognized upon the transfer of control of the promised product or service to customers in an amount that reflects the consideration the Company expects to receive in exchange for those goods and services.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106"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Company recognizes revenue when its performance obligation is satisfied. Each contract generally has one performance obligation, which is satisfied over time. The Company primarily accounts for its performance obligations under the series guidance, using the as-invoiced practical expedient when applicable. The Company applies the right to invoice practical expedient to record revenue as the services are provided, given the nature of the services provided and the frequency of billing under the customer contracts. Under this practical expedient, the Company recognizes revenue in an amount that corresponds directly with the value to the customer of the Company’s performance completed to date and for which the Company has the right to invoice the customer. Certain arrangements include performance obligations which include variable consideration (primarily per transaction fees). For these arrangements, the Company does not need to estimate the variable consideration for the contract and allocate to the entire performance obligation; therefore, the variable fees are recognized in the period they are earned.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 disaggregated by revenue source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3"/>
        </w:trPr>
        <w:tc>
          <w:tcPr>
            <w:tcW w:w="5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6"/>
        </w:trPr>
        <w:tc>
          <w:tcPr>
            <w:tcW w:w="5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0" w:type="dxa"/>
            <w:vAlign w:val="bottom"/>
          </w:tcPr>
          <w:p>
            <w:pPr>
              <w:spacing w:after="0"/>
              <w:rPr>
                <w:sz w:val="17"/>
                <w:szCs w:val="17"/>
                <w:color w:val="auto"/>
              </w:rPr>
            </w:pPr>
          </w:p>
        </w:tc>
        <w:tc>
          <w:tcPr>
            <w:tcW w:w="160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4"/>
                <w:szCs w:val="14"/>
                <w:b w:val="1"/>
                <w:bCs w:val="1"/>
                <w:color w:val="auto"/>
              </w:rPr>
              <w:t>October 1, 2021</w:t>
            </w:r>
            <w:r>
              <w:rPr>
                <w:rFonts w:ascii="Times New Roman" w:cs="Times New Roman" w:eastAsia="Times New Roman" w:hAnsi="Times New Roman"/>
                <w:sz w:val="18"/>
                <w:szCs w:val="18"/>
                <w:b w:val="1"/>
                <w:bCs w:val="1"/>
                <w:color w:val="auto"/>
                <w:vertAlign w:val="superscript"/>
              </w:rPr>
              <w:t>(1)</w:t>
            </w:r>
          </w:p>
        </w:tc>
        <w:tc>
          <w:tcPr>
            <w:tcW w:w="200" w:type="dxa"/>
            <w:vAlign w:val="bottom"/>
          </w:tcPr>
          <w:p>
            <w:pPr>
              <w:spacing w:after="0"/>
              <w:rPr>
                <w:sz w:val="17"/>
                <w:szCs w:val="17"/>
                <w:color w:val="auto"/>
              </w:rPr>
            </w:pPr>
          </w:p>
        </w:tc>
        <w:tc>
          <w:tcPr>
            <w:tcW w:w="1480" w:type="dxa"/>
            <w:vAlign w:val="bottom"/>
          </w:tcPr>
          <w:p>
            <w:pPr>
              <w:jc w:val="right"/>
              <w:ind w:right="212"/>
              <w:spacing w:after="0" w:line="196" w:lineRule="exact"/>
              <w:rPr>
                <w:sz w:val="20"/>
                <w:szCs w:val="20"/>
                <w:color w:val="auto"/>
              </w:rPr>
            </w:pPr>
            <w:r>
              <w:rPr>
                <w:rFonts w:ascii="Times New Roman" w:cs="Times New Roman" w:eastAsia="Times New Roman" w:hAnsi="Times New Roman"/>
                <w:sz w:val="14"/>
                <w:szCs w:val="14"/>
                <w:b w:val="1"/>
                <w:bCs w:val="1"/>
                <w:color w:val="auto"/>
              </w:rPr>
              <w:t>October 2, 2020</w:t>
            </w:r>
            <w:r>
              <w:rPr>
                <w:rFonts w:ascii="Times New Roman" w:cs="Times New Roman" w:eastAsia="Times New Roman" w:hAnsi="Times New Roman"/>
                <w:sz w:val="18"/>
                <w:szCs w:val="18"/>
                <w:b w:val="1"/>
                <w:bCs w:val="1"/>
                <w:color w:val="auto"/>
                <w:vertAlign w:val="superscript"/>
              </w:rPr>
              <w:t>(1)</w:t>
            </w:r>
          </w:p>
        </w:tc>
      </w:tr>
      <w:tr>
        <w:trPr>
          <w:trHeight w:val="210"/>
        </w:trPr>
        <w:tc>
          <w:tcPr>
            <w:tcW w:w="5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r>
      <w:tr>
        <w:trPr>
          <w:trHeight w:val="229"/>
        </w:trPr>
        <w:tc>
          <w:tcPr>
            <w:tcW w:w="59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Business &amp; Industry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1,097.3</w:t>
            </w:r>
          </w:p>
        </w:tc>
      </w:tr>
      <w:tr>
        <w:trPr>
          <w:trHeight w:val="229"/>
        </w:trPr>
        <w:tc>
          <w:tcPr>
            <w:tcW w:w="5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Education</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2,416.4</w:t>
            </w:r>
          </w:p>
        </w:tc>
      </w:tr>
      <w:tr>
        <w:trPr>
          <w:trHeight w:val="230"/>
        </w:trPr>
        <w:tc>
          <w:tcPr>
            <w:tcW w:w="59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Healthcare</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824.6</w:t>
            </w:r>
          </w:p>
        </w:tc>
      </w:tr>
      <w:tr>
        <w:trPr>
          <w:trHeight w:val="229"/>
        </w:trPr>
        <w:tc>
          <w:tcPr>
            <w:tcW w:w="5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Sports, Leisure &amp; Corrections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1,535.8</w:t>
            </w:r>
          </w:p>
        </w:tc>
      </w:tr>
      <w:tr>
        <w:trPr>
          <w:trHeight w:val="230"/>
        </w:trPr>
        <w:tc>
          <w:tcPr>
            <w:tcW w:w="596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8"/>
                <w:szCs w:val="18"/>
                <w:color w:val="auto"/>
              </w:rPr>
              <w:t>Facilities &amp; Other</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1,492.6</w:t>
            </w:r>
          </w:p>
        </w:tc>
      </w:tr>
      <w:tr>
        <w:trPr>
          <w:trHeight w:val="223"/>
        </w:trPr>
        <w:tc>
          <w:tcPr>
            <w:tcW w:w="5960" w:type="dxa"/>
            <w:vAlign w:val="bottom"/>
            <w:shd w:val="clear" w:color="auto" w:fill="CCEEFF"/>
          </w:tcPr>
          <w:p>
            <w:pPr>
              <w:jc w:val="right"/>
              <w:ind w:right="2850"/>
              <w:spacing w:after="0"/>
              <w:rPr>
                <w:sz w:val="20"/>
                <w:szCs w:val="20"/>
                <w:color w:val="auto"/>
              </w:rPr>
            </w:pPr>
            <w:r>
              <w:rPr>
                <w:rFonts w:ascii="Times New Roman" w:cs="Times New Roman" w:eastAsia="Times New Roman" w:hAnsi="Times New Roman"/>
                <w:sz w:val="18"/>
                <w:szCs w:val="18"/>
                <w:color w:val="auto"/>
              </w:rPr>
              <w:t>Total FSS United States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7,366.7</w:t>
            </w:r>
          </w:p>
        </w:tc>
      </w:tr>
      <w:tr>
        <w:trPr>
          <w:trHeight w:val="270"/>
        </w:trPr>
        <w:tc>
          <w:tcPr>
            <w:tcW w:w="5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59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Europe</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1,473.5</w:t>
            </w:r>
          </w:p>
        </w:tc>
      </w:tr>
      <w:tr>
        <w:trPr>
          <w:trHeight w:val="229"/>
        </w:trPr>
        <w:tc>
          <w:tcPr>
            <w:tcW w:w="5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Rest of World</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1,472.3</w:t>
            </w:r>
          </w:p>
        </w:tc>
      </w:tr>
      <w:tr>
        <w:trPr>
          <w:trHeight w:val="223"/>
        </w:trPr>
        <w:tc>
          <w:tcPr>
            <w:tcW w:w="5960" w:type="dxa"/>
            <w:vAlign w:val="bottom"/>
          </w:tcPr>
          <w:p>
            <w:pPr>
              <w:jc w:val="right"/>
              <w:ind w:right="2850"/>
              <w:spacing w:after="0"/>
              <w:rPr>
                <w:sz w:val="20"/>
                <w:szCs w:val="20"/>
                <w:color w:val="auto"/>
              </w:rPr>
            </w:pPr>
            <w:r>
              <w:rPr>
                <w:rFonts w:ascii="Times New Roman" w:cs="Times New Roman" w:eastAsia="Times New Roman" w:hAnsi="Times New Roman"/>
                <w:sz w:val="18"/>
                <w:szCs w:val="18"/>
                <w:color w:val="auto"/>
              </w:rPr>
              <w:t>Total FSS International</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2,945.8</w:t>
            </w:r>
          </w:p>
        </w:tc>
      </w:tr>
      <w:tr>
        <w:trPr>
          <w:trHeight w:val="270"/>
        </w:trPr>
        <w:tc>
          <w:tcPr>
            <w:tcW w:w="59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3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Uniform</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2,517.1</w:t>
            </w:r>
          </w:p>
        </w:tc>
      </w:tr>
      <w:tr>
        <w:trPr>
          <w:trHeight w:val="270"/>
        </w:trPr>
        <w:tc>
          <w:tcPr>
            <w:tcW w:w="596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spacing w:after="0"/>
              <w:rPr>
                <w:sz w:val="23"/>
                <w:szCs w:val="23"/>
                <w:color w:val="auto"/>
              </w:rPr>
            </w:pPr>
          </w:p>
        </w:tc>
      </w:tr>
      <w:tr>
        <w:trPr>
          <w:trHeight w:val="22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16,326.6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12,096.0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12,829.6</w:t>
            </w:r>
          </w:p>
        </w:tc>
      </w:tr>
      <w:tr>
        <w:trPr>
          <w:trHeight w:val="20"/>
        </w:trPr>
        <w:tc>
          <w:tcPr>
            <w:tcW w:w="5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20" w:hanging="394"/>
        <w:spacing w:after="0"/>
        <w:tabs>
          <w:tab w:leader="none" w:pos="42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COVID-19 had a negative impact on revenue for fiscal years ended October 1, 2021 and October 2, 2020 (see Note 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9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defers sales commissions earned by its sales force that are considered to be incremental and recoverable costs of obtaining a contract tied to its food, facilities and uniform services. The deferred costs are amortized using the portfolio approach on a straight line basis over the average period of benefit, approximately 8.1 years, and are assessed for impairment on a periodic basis. Determination of the amortization period and the subsequent assessment for impairment of the contract cost asset requires judgment. Employee sales commissions are recorded within "Other Assets" on the Consolidated Balance Sheets (see Note 1).</w:t>
      </w:r>
    </w:p>
    <w:p>
      <w:pPr>
        <w:spacing w:after="0" w:line="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Leasehold improvements and costs to fulfill contracts include payments made by the Company to enhance the service resources used by the Company to satisfy its performance obligation. These amounts are amortized on a straight-line basis over the contract period. If a contract is terminated prior to its maturity date, the Company is typically reimbursed for the unamortized amount. As of September 30, 2022 and October 1, 2021, the Company had $751.8 million and $771.5 million of leasehold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improvements capitalized in "Property and equipment, net" on the Consolidated Balance Sheets. Cost to fulfill - Client is recorded within "Other Assets" on the Consolidated Balance Sheets (see Note 1).</w:t>
      </w:r>
    </w:p>
    <w:p>
      <w:pPr>
        <w:spacing w:after="0" w:line="2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Long-term prepaid rent is amortized over the contract period. If a contract is terminated prior to its maturity date, the Company is typically reimbursed for the unamortized amount. Long-term prepaid rent is recorded within "Operating Lease Right-of use Assets" on the Consolidated Balance Sheets (see Note 8).</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Other costs to fulfill contracts represent personalized work apparel, linens and other rental items in service in the Uniform segment. The amounts are recorded at cost and are amortized over their estimated useful lives, which primarily range from one to four years. The amortization rates used are based on the Company's specific experience. Cost to fulfill - Rental merchandise in-service are recorded within "Other Assets" on the Consolidated Balance Sheets (see Note 1).</w:t>
      </w:r>
    </w:p>
    <w:p>
      <w:pPr>
        <w:spacing w:after="0" w:line="5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location of the expense recorded in the Consolidated Statements of Income (Loss) related to the Company's contract balances (in millions):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Employee sales commissions</w:t>
      </w:r>
    </w:p>
    <w:p>
      <w:pPr>
        <w:spacing w:after="0" w:line="225" w:lineRule="exact"/>
        <w:rPr>
          <w:sz w:val="20"/>
          <w:szCs w:val="20"/>
          <w:color w:val="auto"/>
        </w:rPr>
      </w:pPr>
    </w:p>
    <w:p>
      <w:pPr>
        <w:ind w:left="20" w:right="300"/>
        <w:spacing w:after="0" w:line="281" w:lineRule="auto"/>
        <w:rPr>
          <w:sz w:val="20"/>
          <w:szCs w:val="20"/>
          <w:color w:val="auto"/>
        </w:rPr>
      </w:pPr>
      <w:r>
        <w:rPr>
          <w:rFonts w:ascii="Times New Roman" w:cs="Times New Roman" w:eastAsia="Times New Roman" w:hAnsi="Times New Roman"/>
          <w:sz w:val="18"/>
          <w:szCs w:val="18"/>
          <w:color w:val="auto"/>
        </w:rPr>
        <w:t>Leasehold improvements Cost to fulfill - Client Long-term prepaid rent</w:t>
      </w:r>
    </w:p>
    <w:p>
      <w:pPr>
        <w:spacing w:after="0" w:line="150" w:lineRule="exact"/>
        <w:rPr>
          <w:sz w:val="20"/>
          <w:szCs w:val="20"/>
          <w:color w:val="auto"/>
        </w:rPr>
      </w:pPr>
    </w:p>
    <w:p>
      <w:pPr>
        <w:ind w:left="20" w:right="460"/>
        <w:spacing w:after="0" w:line="279" w:lineRule="auto"/>
        <w:rPr>
          <w:sz w:val="20"/>
          <w:szCs w:val="20"/>
          <w:color w:val="auto"/>
        </w:rPr>
      </w:pPr>
      <w:r>
        <w:rPr>
          <w:rFonts w:ascii="Times New Roman" w:cs="Times New Roman" w:eastAsia="Times New Roman" w:hAnsi="Times New Roman"/>
          <w:sz w:val="17"/>
          <w:szCs w:val="17"/>
          <w:color w:val="auto"/>
        </w:rPr>
        <w:t>Cost to fulfill - Rental merchandise in-service</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00" w:type="dxa"/>
            <w:vAlign w:val="bottom"/>
            <w:gridSpan w:val="2"/>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Income Statement Location</w:t>
            </w: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80" w:type="dxa"/>
            <w:vAlign w:val="bottom"/>
          </w:tcPr>
          <w:p>
            <w:pPr>
              <w:spacing w:after="0"/>
              <w:rPr>
                <w:sz w:val="16"/>
                <w:szCs w:val="16"/>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October 1, 2021</w:t>
            </w:r>
          </w:p>
        </w:tc>
        <w:tc>
          <w:tcPr>
            <w:tcW w:w="220" w:type="dxa"/>
            <w:vAlign w:val="bottom"/>
          </w:tcPr>
          <w:p>
            <w:pPr>
              <w:spacing w:after="0"/>
              <w:rPr>
                <w:sz w:val="16"/>
                <w:szCs w:val="16"/>
                <w:color w:val="auto"/>
              </w:rPr>
            </w:pPr>
          </w:p>
        </w:tc>
        <w:tc>
          <w:tcPr>
            <w:tcW w:w="14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October 2, 2020</w:t>
            </w:r>
          </w:p>
        </w:tc>
        <w:tc>
          <w:tcPr>
            <w:tcW w:w="0" w:type="dxa"/>
            <w:vAlign w:val="bottom"/>
          </w:tcPr>
          <w:p>
            <w:pPr>
              <w:spacing w:after="0"/>
              <w:rPr>
                <w:sz w:val="1"/>
                <w:szCs w:val="1"/>
                <w:color w:val="auto"/>
              </w:rPr>
            </w:pPr>
          </w:p>
        </w:tc>
      </w:tr>
      <w:tr>
        <w:trPr>
          <w:trHeight w:val="184"/>
        </w:trPr>
        <w:tc>
          <w:tcPr>
            <w:tcW w:w="3420" w:type="dxa"/>
            <w:vAlign w:val="bottom"/>
            <w:tcBorders>
              <w:top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Cost of services provided (exclusive of</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29"/>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0" w:type="dxa"/>
            <w:vAlign w:val="bottom"/>
          </w:tcPr>
          <w:p>
            <w:pPr>
              <w:spacing w:after="0"/>
              <w:rPr>
                <w:sz w:val="1"/>
                <w:szCs w:val="1"/>
                <w:color w:val="auto"/>
              </w:rPr>
            </w:pPr>
          </w:p>
        </w:tc>
      </w:tr>
      <w:tr>
        <w:trPr>
          <w:trHeight w:val="230"/>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189"/>
        </w:trPr>
        <w:tc>
          <w:tcPr>
            <w:tcW w:w="3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Cost of services provided (exclusive of</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189"/>
        </w:trPr>
        <w:tc>
          <w:tcPr>
            <w:tcW w:w="3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Cost of services provided (exclusive of</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-1569085</wp:posOffset>
            </wp:positionH>
            <wp:positionV relativeFrom="paragraph">
              <wp:posOffset>-1096645</wp:posOffset>
            </wp:positionV>
            <wp:extent cx="7132320" cy="2743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-676910</wp:posOffset>
            </wp:positionV>
            <wp:extent cx="7132320" cy="145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-264795</wp:posOffset>
            </wp:positionV>
            <wp:extent cx="7132320" cy="2654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2140" w:space="340"/>
            <w:col w:w="8760"/>
          </w:cols>
          <w:pgMar w:left="320" w:top="175" w:right="339" w:bottom="1440" w:gutter="0" w:footer="0" w:header="0"/>
          <w:type w:val="continuous"/>
        </w:sect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Deferred income is recognized in "Accrued expenses and other current liabilities" on the Consolidated Balance Sheets when the Company has received consideration, or has the right to receive consideration, in advance of the transfer of the performance obligation of the contract to the customer, primarily prepaid meal plans. The consideration received remains a liability until the goods or services have been provided to the customer. The Company classifies deferred income as current as the arrangement is short term in nature.</w:t>
      </w:r>
    </w:p>
    <w:p>
      <w:pPr>
        <w:spacing w:after="0" w:line="4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the fiscal year ended September 30, 2022, deferred income increased related to customer prepayments and decreased related to income recognized during the period as a result of satisfying the performance obligation or return of funds related to non-performance. For the fiscal year ended September 30, 2022, the Company recognized $282.1 million of revenue that was included in deferred income at the beginning of the period. Deferred income balances are summarized in the following table (in millions):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40" w:type="dxa"/>
            <w:vAlign w:val="bottom"/>
          </w:tcPr>
          <w:p>
            <w:pPr>
              <w:spacing w:after="0"/>
              <w:rPr>
                <w:sz w:val="16"/>
                <w:szCs w:val="16"/>
                <w:color w:val="auto"/>
              </w:rPr>
            </w:pPr>
          </w:p>
        </w:tc>
        <w:tc>
          <w:tcPr>
            <w:tcW w:w="146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October 1, 2021</w:t>
            </w:r>
          </w:p>
        </w:tc>
      </w:tr>
      <w:tr>
        <w:trPr>
          <w:trHeight w:val="23"/>
        </w:trPr>
        <w:tc>
          <w:tcPr>
            <w:tcW w:w="7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LEASES:</w:t>
      </w:r>
    </w:p>
    <w:p>
      <w:pPr>
        <w:spacing w:after="0" w:line="108"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Company has lease arrangements primarily related to real estate, vehicles and equipment, which generally have terms of one to 30 years. Finance leases primarily relate to vehicles and certain real estate. In addition, there can be leases identified in the Company's revenue contracts with customers, which generally include fixed or variable lease payments. The Company assesses whether an arrangement is a lease, or contains a lease, upon inception of the related contract. A right-of-use asset and corresponding lease liability are not recorded for leases with an initial term of 12 months or less ("short-term leases"). Certain of the Company's lease arrangements, primarily vehicle leases, with terms of one to 12 years, contain provisions related to residual value guarantees. The maximum potential liability to the Company under such arrangements was approximately $25.6 million at September 30, 2022 if the terminal fair value of vehicles coming off lease was zero. Consistent with past experience, management does not expect any significant payments will be required pursuant to these arrangements. No amounts have been accrued for guarantee arrangements at September 30, 2022.</w:t>
      </w:r>
    </w:p>
    <w:p>
      <w:pPr>
        <w:spacing w:after="0" w:line="70"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As a result of adopting Accounting Standards Codification 842 ("ASC 842" or the "new lease standard") on September 28, 2019 (first day of fiscal 2020), the Company recognized operating lease liabilities and operating lease right-of-use assets on its Consolidated Balance Sheets. Operating lease right-of-use assets represent the Company’s right to use the underlying assets for the lease term and operating lease liabilities represent the Company’s obligation to make lease payments arising from the lease. Operating lease liabilities and operating lease right-of-use assets are recognized at the lease commencement date based on the estimated present value of the lease payments over the lease term. Deferred rent, tenant improvement allowances and prepaid</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rent are included in the operating lease right-of-use asset balances. Lease expense is recognized on a straight-line basis over the expected lease term. The Company has lease agreements with lease and non-lease components. Non-lease components are combined with the related lease components and accounted for as lease components for all classes of underlying assets.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permitted under the transition guidance upon adoption of ASC 842, the Company elected the following practical expedients:</w:t>
      </w:r>
    </w:p>
    <w:p>
      <w:pPr>
        <w:spacing w:after="0" w:line="104" w:lineRule="exact"/>
        <w:rPr>
          <w:sz w:val="20"/>
          <w:szCs w:val="20"/>
          <w:color w:val="auto"/>
        </w:rPr>
      </w:pPr>
    </w:p>
    <w:p>
      <w:pPr>
        <w:ind w:left="660" w:right="46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simplified approach to not recast comparative periods and to apply the new lease standard on a prospective basis beginning in the year of initial adoption;</w:t>
      </w:r>
    </w:p>
    <w:p>
      <w:pPr>
        <w:spacing w:after="0" w:line="40"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package of practical expedients to not reassess the lease determination, lease classification or initial direct costs for leases commenced prior to adoption;</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component election to not separate lease and non-lease components in all arrangements that contain a lease; and</w:t>
      </w:r>
    </w:p>
    <w:p>
      <w:pPr>
        <w:spacing w:after="0" w:line="103"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short-term lease recognition exemption whereby lease-related assets and liabilities are not recognized for arrangements with initial lease terms of one year or less.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elect the use of the hindsight expedient for determining the lease term.</w:t>
      </w:r>
    </w:p>
    <w:p>
      <w:pPr>
        <w:spacing w:after="0" w:line="9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Variable lease payments, which primarily consist of leases associated with the Company's revenue contracts with customers, real estate taxes, common area maintenance charges, insurance costs and other operating expenses, are not included in the operating lease right-of-use asset or operating lease liability balances and are recognized in the period in which the expenses are incurred. The Company's lease terms may include options to extend or terminate the lease when it is reasonably certain they will be exercised or not, respectively. Options to extend lease terms that are reasonably certain of exercise are recognized as part of the operating lease right-of-use asset and operating lease liability balances.</w:t>
      </w:r>
    </w:p>
    <w:p>
      <w:pPr>
        <w:spacing w:after="0" w:line="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is required to discount its future minimum lease payments using the interest rate implicit in the lease or, if that rate cannot be readily determined, its incremental borrowing rate. The Company uses its incremental borrowing rate as the discount rate. The Company uses a portfolio approach to determine the incremental borrowing rate based on the geographic location of the lease and the remaining lease term. The incremental borrowing rate is calculated using a base line rate plus an applicable margin.</w:t>
      </w:r>
    </w:p>
    <w:p>
      <w:pPr>
        <w:spacing w:after="0" w:line="5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location of the operating and finance leases in the Company’s Consolidated Balance Sheets (in thousands), as well as the weighted average remaining lease term and weighted average discount rate: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gridSpan w:val="2"/>
          </w:tcPr>
          <w:p>
            <w:pPr>
              <w:ind w:left="15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3860" w:type="dxa"/>
            <w:vAlign w:val="bottom"/>
            <w:gridSpan w:val="2"/>
          </w:tcPr>
          <w:p>
            <w:pPr>
              <w:ind w:left="11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20" w:type="dxa"/>
            <w:vAlign w:val="bottom"/>
          </w:tcPr>
          <w:p>
            <w:pPr>
              <w:spacing w:after="0"/>
              <w:rPr>
                <w:sz w:val="16"/>
                <w:szCs w:val="16"/>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60" w:type="dxa"/>
            <w:vAlign w:val="bottom"/>
          </w:tcPr>
          <w:p>
            <w:pPr>
              <w:spacing w:after="0"/>
              <w:rPr>
                <w:sz w:val="16"/>
                <w:szCs w:val="16"/>
                <w:color w:val="auto"/>
              </w:rPr>
            </w:pPr>
          </w:p>
        </w:tc>
        <w:tc>
          <w:tcPr>
            <w:tcW w:w="154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October 1, 2021</w:t>
            </w:r>
          </w:p>
        </w:tc>
      </w:tr>
      <w:tr>
        <w:trPr>
          <w:trHeight w:val="23"/>
        </w:trPr>
        <w:tc>
          <w:tcPr>
            <w:tcW w:w="3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9"/>
                <w:szCs w:val="19"/>
                <w:color w:val="auto"/>
              </w:rPr>
            </w:pPr>
          </w:p>
        </w:tc>
        <w:tc>
          <w:tcPr>
            <w:tcW w:w="3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3660" w:type="dxa"/>
            <w:vAlign w:val="bottom"/>
            <w:gridSpan w:val="2"/>
          </w:tcPr>
          <w:p>
            <w:pPr>
              <w:ind w:left="460"/>
              <w:spacing w:after="0" w:line="230" w:lineRule="exact"/>
              <w:rPr>
                <w:sz w:val="20"/>
                <w:szCs w:val="20"/>
                <w:color w:val="auto"/>
              </w:rPr>
            </w:pPr>
            <w:r>
              <w:rPr>
                <w:rFonts w:ascii="Times New Roman" w:cs="Times New Roman" w:eastAsia="Times New Roman" w:hAnsi="Times New Roman"/>
                <w:sz w:val="18"/>
                <w:szCs w:val="18"/>
                <w:color w:val="auto"/>
              </w:rPr>
              <w:t>Operating</w:t>
            </w:r>
            <w:r>
              <w:rPr>
                <w:rFonts w:ascii="Times New Roman" w:cs="Times New Roman" w:eastAsia="Times New Roman" w:hAnsi="Times New Roman"/>
                <w:sz w:val="23"/>
                <w:szCs w:val="23"/>
                <w:color w:val="auto"/>
                <w:vertAlign w:val="superscript"/>
              </w:rPr>
              <w:t>(1)</w:t>
            </w:r>
          </w:p>
        </w:tc>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592,145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587,854</w:t>
            </w:r>
          </w:p>
        </w:tc>
      </w:tr>
      <w:tr>
        <w:trPr>
          <w:trHeight w:val="230"/>
        </w:trPr>
        <w:tc>
          <w:tcPr>
            <w:tcW w:w="36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Finance</w:t>
            </w:r>
          </w:p>
        </w:tc>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137,550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138,368</w:t>
            </w:r>
          </w:p>
        </w:tc>
      </w:tr>
      <w:tr>
        <w:trPr>
          <w:trHeight w:val="223"/>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assets</w:t>
            </w:r>
          </w:p>
        </w:tc>
        <w:tc>
          <w:tcPr>
            <w:tcW w:w="3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729,695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726,222</w:t>
            </w: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97"/>
        </w:trPr>
        <w:tc>
          <w:tcPr>
            <w:tcW w:w="366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30"/>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36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w:t>
            </w:r>
          </w:p>
        </w:tc>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68,858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67,280</w:t>
            </w:r>
          </w:p>
        </w:tc>
      </w:tr>
      <w:tr>
        <w:trPr>
          <w:trHeight w:val="230"/>
        </w:trPr>
        <w:tc>
          <w:tcPr>
            <w:tcW w:w="36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Finance</w:t>
            </w:r>
          </w:p>
        </w:tc>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maturities of long-term borrowings</w:t>
            </w:r>
          </w:p>
        </w:tc>
        <w:tc>
          <w:tcPr>
            <w:tcW w:w="220" w:type="dxa"/>
            <w:vAlign w:val="bottom"/>
          </w:tcPr>
          <w:p>
            <w:pPr>
              <w:spacing w:after="0"/>
              <w:rPr>
                <w:sz w:val="19"/>
                <w:szCs w:val="19"/>
                <w:color w:val="auto"/>
              </w:rPr>
            </w:pP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27,430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27,829</w:t>
            </w:r>
          </w:p>
        </w:tc>
      </w:tr>
      <w:tr>
        <w:trPr>
          <w:trHeight w:val="230"/>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3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36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Operating</w:t>
            </w:r>
          </w:p>
        </w:tc>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20" w:type="dxa"/>
            <w:vAlign w:val="bottom"/>
          </w:tcPr>
          <w:p>
            <w:pPr>
              <w:spacing w:after="0"/>
              <w:rPr>
                <w:sz w:val="19"/>
                <w:szCs w:val="19"/>
                <w:color w:val="auto"/>
              </w:rPr>
            </w:pP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305,623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314,378</w:t>
            </w:r>
          </w:p>
        </w:tc>
      </w:tr>
      <w:tr>
        <w:trPr>
          <w:trHeight w:val="229"/>
        </w:trPr>
        <w:tc>
          <w:tcPr>
            <w:tcW w:w="36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Finance</w:t>
            </w:r>
          </w:p>
        </w:tc>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borrowings</w:t>
            </w: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119,943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118,539</w:t>
            </w:r>
          </w:p>
        </w:tc>
      </w:tr>
      <w:tr>
        <w:trPr>
          <w:trHeight w:val="223"/>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3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521,854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528,026</w:t>
            </w: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37"/>
        </w:trPr>
        <w:tc>
          <w:tcPr>
            <w:tcW w:w="3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bl>
    <w:p>
      <w:pPr>
        <w:ind w:left="20"/>
        <w:spacing w:after="0" w:line="236" w:lineRule="auto"/>
        <w:rPr>
          <w:sz w:val="20"/>
          <w:szCs w:val="20"/>
          <w:color w:val="auto"/>
        </w:rPr>
      </w:pPr>
      <w:r>
        <w:rPr>
          <w:rFonts w:ascii="Times New Roman" w:cs="Times New Roman" w:eastAsia="Times New Roman" w:hAnsi="Times New Roman"/>
          <w:sz w:val="18"/>
          <w:szCs w:val="18"/>
          <w:color w:val="auto"/>
        </w:rPr>
        <w:t>Weighted average remaining lease term (in</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leases</w:t>
            </w:r>
          </w:p>
        </w:tc>
        <w:tc>
          <w:tcPr>
            <w:tcW w:w="448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7.7</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5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Finance leases</w:t>
            </w:r>
          </w:p>
        </w:tc>
        <w:tc>
          <w:tcPr>
            <w:tcW w:w="44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7.7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44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5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leases</w:t>
            </w:r>
          </w:p>
        </w:tc>
        <w:tc>
          <w:tcPr>
            <w:tcW w:w="44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3.7 %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30"/>
        </w:trPr>
        <w:tc>
          <w:tcPr>
            <w:tcW w:w="5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Finance leases</w:t>
            </w:r>
          </w:p>
        </w:tc>
        <w:tc>
          <w:tcPr>
            <w:tcW w:w="448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4.0 %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bl>
    <w:p>
      <w:pPr>
        <w:spacing w:after="0" w:line="211" w:lineRule="exact"/>
        <w:rPr>
          <w:sz w:val="20"/>
          <w:szCs w:val="20"/>
          <w:color w:val="auto"/>
        </w:rPr>
      </w:pPr>
    </w:p>
    <w:p>
      <w:pPr>
        <w:ind w:left="400" w:hanging="374"/>
        <w:spacing w:after="0"/>
        <w:tabs>
          <w:tab w:leader="none" w:pos="40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$260.2 million and $251.3 million of long-term prepaid rent as of September 30, 2022 and October 1, 2021, respectively.</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location of lease related costs in the Consolidated Statements of Income (Loss) (in thousands):</w:t>
      </w:r>
    </w:p>
    <w:p>
      <w:pPr>
        <w:spacing w:after="0" w:line="124" w:lineRule="exact"/>
        <w:rPr>
          <w:sz w:val="20"/>
          <w:szCs w:val="20"/>
          <w:color w:val="auto"/>
        </w:rPr>
      </w:pPr>
    </w:p>
    <w:tbl>
      <w:tblPr>
        <w:tblLayout w:type="fixed"/>
        <w:tblInd w:w="180" w:type="dxa"/>
        <w:tblCellMar>
          <w:top w:w="0" w:type="dxa"/>
          <w:left w:w="0" w:type="dxa"/>
          <w:bottom w:w="0" w:type="dxa"/>
          <w:right w:w="0" w:type="dxa"/>
        </w:tblCellMar>
      </w:tblPr>
      <w:tr>
        <w:trPr>
          <w:trHeight w:val="190"/>
        </w:trPr>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6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Lease Cost</w:t>
            </w:r>
          </w:p>
        </w:tc>
        <w:tc>
          <w:tcPr>
            <w:tcW w:w="27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Income Statement Location</w:t>
            </w: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960" w:type="dxa"/>
            <w:vAlign w:val="bottom"/>
            <w:gridSpan w:val="2"/>
            <w:vMerge w:val="continue"/>
          </w:tcPr>
          <w:p>
            <w:pPr>
              <w:spacing w:after="0"/>
              <w:rPr>
                <w:sz w:val="16"/>
                <w:szCs w:val="16"/>
                <w:color w:val="auto"/>
              </w:rPr>
            </w:pPr>
          </w:p>
        </w:tc>
        <w:tc>
          <w:tcPr>
            <w:tcW w:w="27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80" w:type="dxa"/>
            <w:vAlign w:val="bottom"/>
          </w:tcPr>
          <w:p>
            <w:pPr>
              <w:spacing w:after="0"/>
              <w:rPr>
                <w:sz w:val="16"/>
                <w:szCs w:val="16"/>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October 1, 2021</w:t>
            </w:r>
          </w:p>
        </w:tc>
        <w:tc>
          <w:tcPr>
            <w:tcW w:w="220" w:type="dxa"/>
            <w:vAlign w:val="bottom"/>
          </w:tcPr>
          <w:p>
            <w:pPr>
              <w:spacing w:after="0"/>
              <w:rPr>
                <w:sz w:val="16"/>
                <w:szCs w:val="16"/>
                <w:color w:val="auto"/>
              </w:rPr>
            </w:pPr>
          </w:p>
        </w:tc>
        <w:tc>
          <w:tcPr>
            <w:tcW w:w="14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October 2, 2020</w:t>
            </w:r>
          </w:p>
        </w:tc>
        <w:tc>
          <w:tcPr>
            <w:tcW w:w="0" w:type="dxa"/>
            <w:vAlign w:val="bottom"/>
          </w:tcPr>
          <w:p>
            <w:pPr>
              <w:spacing w:after="0"/>
              <w:rPr>
                <w:sz w:val="1"/>
                <w:szCs w:val="1"/>
                <w:color w:val="auto"/>
              </w:rPr>
            </w:pPr>
          </w:p>
        </w:tc>
      </w:tr>
      <w:tr>
        <w:trPr>
          <w:trHeight w:val="229"/>
        </w:trPr>
        <w:tc>
          <w:tcPr>
            <w:tcW w:w="2860" w:type="dxa"/>
            <w:vAlign w:val="bottom"/>
            <w:tcBorders>
              <w:top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Operating lease cost</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960" w:type="dxa"/>
            <w:vAlign w:val="bottom"/>
            <w:gridSpan w:val="2"/>
          </w:tcPr>
          <w:p>
            <w:pPr>
              <w:ind w:left="440"/>
              <w:spacing w:after="0" w:line="184" w:lineRule="exact"/>
              <w:rPr>
                <w:sz w:val="20"/>
                <w:szCs w:val="20"/>
                <w:color w:val="auto"/>
              </w:rPr>
            </w:pPr>
            <w:r>
              <w:rPr>
                <w:rFonts w:ascii="Times New Roman" w:cs="Times New Roman" w:eastAsia="Times New Roman" w:hAnsi="Times New Roman"/>
                <w:sz w:val="18"/>
                <w:szCs w:val="18"/>
                <w:color w:val="auto"/>
              </w:rPr>
              <w:t>Fixed lease costs</w:t>
            </w:r>
          </w:p>
        </w:tc>
        <w:tc>
          <w:tcPr>
            <w:tcW w:w="27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Cost of services provided</w:t>
            </w: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(exclusive of depreciation and</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122,607</w:t>
            </w:r>
          </w:p>
        </w:tc>
        <w:tc>
          <w:tcPr>
            <w:tcW w:w="1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116,934</w:t>
            </w:r>
          </w:p>
        </w:tc>
        <w:tc>
          <w:tcPr>
            <w:tcW w:w="10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121,434</w:t>
            </w:r>
          </w:p>
        </w:tc>
        <w:tc>
          <w:tcPr>
            <w:tcW w:w="0" w:type="dxa"/>
            <w:vAlign w:val="bottom"/>
          </w:tcPr>
          <w:p>
            <w:pPr>
              <w:spacing w:after="0"/>
              <w:rPr>
                <w:sz w:val="1"/>
                <w:szCs w:val="1"/>
                <w:color w:val="auto"/>
              </w:rPr>
            </w:pPr>
          </w:p>
        </w:tc>
      </w:tr>
      <w:tr>
        <w:trPr>
          <w:trHeight w:val="229"/>
        </w:trPr>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vMerge w:val="continue"/>
          </w:tcPr>
          <w:p>
            <w:pPr>
              <w:spacing w:after="0"/>
              <w:rPr>
                <w:sz w:val="19"/>
                <w:szCs w:val="19"/>
                <w:color w:val="auto"/>
              </w:rPr>
            </w:pPr>
          </w:p>
        </w:tc>
        <w:tc>
          <w:tcPr>
            <w:tcW w:w="1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960" w:type="dxa"/>
            <w:vAlign w:val="bottom"/>
            <w:gridSpan w:val="2"/>
            <w:shd w:val="clear" w:color="auto" w:fill="CCEEFF"/>
          </w:tcPr>
          <w:p>
            <w:pPr>
              <w:ind w:left="440"/>
              <w:spacing w:after="0" w:line="185" w:lineRule="exact"/>
              <w:rPr>
                <w:sz w:val="20"/>
                <w:szCs w:val="20"/>
                <w:color w:val="auto"/>
              </w:rPr>
            </w:pPr>
            <w:r>
              <w:rPr>
                <w:rFonts w:ascii="Times New Roman" w:cs="Times New Roman" w:eastAsia="Times New Roman" w:hAnsi="Times New Roman"/>
                <w:sz w:val="17"/>
                <w:szCs w:val="17"/>
                <w:color w:val="auto"/>
              </w:rPr>
              <w:t>Variable lease costs</w:t>
            </w:r>
            <w:r>
              <w:rPr>
                <w:rFonts w:ascii="Times New Roman" w:cs="Times New Roman" w:eastAsia="Times New Roman" w:hAnsi="Times New Roman"/>
                <w:sz w:val="21"/>
                <w:szCs w:val="21"/>
                <w:color w:val="auto"/>
                <w:vertAlign w:val="superscript"/>
              </w:rPr>
              <w:t>(2)</w:t>
            </w:r>
          </w:p>
        </w:tc>
        <w:tc>
          <w:tcPr>
            <w:tcW w:w="27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Cost of services provided</w:t>
            </w: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7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(exclusive of depreciation and</w:t>
            </w:r>
          </w:p>
        </w:tc>
        <w:tc>
          <w:tcPr>
            <w:tcW w:w="16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774,437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344,130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392,700</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960" w:type="dxa"/>
            <w:vAlign w:val="bottom"/>
            <w:gridSpan w:val="2"/>
          </w:tcPr>
          <w:p>
            <w:pPr>
              <w:ind w:left="440"/>
              <w:spacing w:after="0" w:line="184" w:lineRule="exact"/>
              <w:rPr>
                <w:sz w:val="20"/>
                <w:szCs w:val="20"/>
                <w:color w:val="auto"/>
              </w:rPr>
            </w:pPr>
            <w:r>
              <w:rPr>
                <w:rFonts w:ascii="Times New Roman" w:cs="Times New Roman" w:eastAsia="Times New Roman" w:hAnsi="Times New Roman"/>
                <w:sz w:val="18"/>
                <w:szCs w:val="18"/>
                <w:color w:val="auto"/>
              </w:rPr>
              <w:t>Short-term lease costs</w:t>
            </w:r>
          </w:p>
        </w:tc>
        <w:tc>
          <w:tcPr>
            <w:tcW w:w="27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Cost of services provided</w:t>
            </w: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(exclusive of depreciation and</w:t>
            </w:r>
          </w:p>
        </w:tc>
        <w:tc>
          <w:tcPr>
            <w:tcW w:w="16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71,726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48,288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59,865</w:t>
            </w:r>
          </w:p>
        </w:tc>
        <w:tc>
          <w:tcPr>
            <w:tcW w:w="0" w:type="dxa"/>
            <w:vAlign w:val="bottom"/>
          </w:tcPr>
          <w:p>
            <w:pPr>
              <w:spacing w:after="0"/>
              <w:rPr>
                <w:sz w:val="1"/>
                <w:szCs w:val="1"/>
                <w:color w:val="auto"/>
              </w:rPr>
            </w:pPr>
          </w:p>
        </w:tc>
      </w:tr>
      <w:tr>
        <w:trPr>
          <w:trHeight w:val="229"/>
        </w:trPr>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Finance lease cost</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w:t>
            </w:r>
          </w:p>
        </w:tc>
        <w:tc>
          <w:tcPr>
            <w:tcW w:w="2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960" w:type="dxa"/>
            <w:vAlign w:val="bottom"/>
            <w:gridSpan w:val="2"/>
          </w:tcPr>
          <w:p>
            <w:pPr>
              <w:ind w:left="440"/>
              <w:spacing w:after="0" w:line="184" w:lineRule="exact"/>
              <w:rPr>
                <w:sz w:val="20"/>
                <w:szCs w:val="20"/>
                <w:color w:val="auto"/>
              </w:rPr>
            </w:pPr>
            <w:r>
              <w:rPr>
                <w:rFonts w:ascii="Times New Roman" w:cs="Times New Roman" w:eastAsia="Times New Roman" w:hAnsi="Times New Roman"/>
                <w:sz w:val="18"/>
                <w:szCs w:val="18"/>
                <w:color w:val="auto"/>
              </w:rPr>
              <w:t>Amortization of right-of-use-</w:t>
            </w:r>
          </w:p>
        </w:tc>
        <w:tc>
          <w:tcPr>
            <w:tcW w:w="27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assets</w:t>
            </w:r>
          </w:p>
        </w:tc>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30,542</w:t>
            </w:r>
          </w:p>
        </w:tc>
        <w:tc>
          <w:tcPr>
            <w:tcW w:w="0" w:type="dxa"/>
            <w:vAlign w:val="bottom"/>
          </w:tcPr>
          <w:p>
            <w:pPr>
              <w:spacing w:after="0"/>
              <w:rPr>
                <w:sz w:val="1"/>
                <w:szCs w:val="1"/>
                <w:color w:val="auto"/>
              </w:rPr>
            </w:pPr>
          </w:p>
        </w:tc>
      </w:tr>
      <w:tr>
        <w:trPr>
          <w:trHeight w:val="184"/>
        </w:trPr>
        <w:tc>
          <w:tcPr>
            <w:tcW w:w="2960" w:type="dxa"/>
            <w:vAlign w:val="bottom"/>
            <w:gridSpan w:val="2"/>
            <w:shd w:val="clear" w:color="auto" w:fill="CCEEFF"/>
          </w:tcPr>
          <w:p>
            <w:pPr>
              <w:ind w:left="440"/>
              <w:spacing w:after="0" w:line="184" w:lineRule="exact"/>
              <w:rPr>
                <w:sz w:val="20"/>
                <w:szCs w:val="20"/>
                <w:color w:val="auto"/>
              </w:rPr>
            </w:pPr>
            <w:r>
              <w:rPr>
                <w:rFonts w:ascii="Times New Roman" w:cs="Times New Roman" w:eastAsia="Times New Roman" w:hAnsi="Times New Roman"/>
                <w:sz w:val="18"/>
                <w:szCs w:val="18"/>
                <w:color w:val="auto"/>
              </w:rPr>
              <w:t>Interest on lease liabilities</w:t>
            </w:r>
          </w:p>
        </w:tc>
        <w:tc>
          <w:tcPr>
            <w:tcW w:w="27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Interest and Other Financing Costs,</w:t>
            </w: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16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4,499</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5,319</w:t>
            </w:r>
          </w:p>
        </w:tc>
        <w:tc>
          <w:tcPr>
            <w:tcW w:w="0" w:type="dxa"/>
            <w:vAlign w:val="bottom"/>
          </w:tcPr>
          <w:p>
            <w:pPr>
              <w:spacing w:after="0"/>
              <w:rPr>
                <w:sz w:val="1"/>
                <w:szCs w:val="1"/>
                <w:color w:val="auto"/>
              </w:rPr>
            </w:pPr>
          </w:p>
        </w:tc>
      </w:tr>
      <w:tr>
        <w:trPr>
          <w:trHeight w:val="223"/>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lease cost</w:t>
            </w: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1,005,971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545,389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609,860</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400" w:hanging="374"/>
        <w:spacing w:after="0"/>
        <w:tabs>
          <w:tab w:leader="none" w:pos="400" w:val="left"/>
        </w:tabs>
        <w:numPr>
          <w:ilvl w:val="0"/>
          <w:numId w:val="5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3"/>
          <w:szCs w:val="13"/>
          <w:color w:val="auto"/>
        </w:rPr>
        <w:t>Excludes sublease income, which is immaterial.</w:t>
      </w:r>
    </w:p>
    <w:p>
      <w:pPr>
        <w:spacing w:after="0" w:line="119" w:lineRule="exact"/>
        <w:rPr>
          <w:rFonts w:ascii="Times New Roman" w:cs="Times New Roman" w:eastAsia="Times New Roman" w:hAnsi="Times New Roman"/>
          <w:sz w:val="25"/>
          <w:szCs w:val="25"/>
          <w:color w:val="auto"/>
          <w:vertAlign w:val="superscript"/>
        </w:rPr>
      </w:pPr>
    </w:p>
    <w:p>
      <w:pPr>
        <w:ind w:left="400" w:right="80" w:hanging="374"/>
        <w:spacing w:after="0" w:line="180" w:lineRule="auto"/>
        <w:tabs>
          <w:tab w:leader="none" w:pos="400" w:val="left"/>
        </w:tabs>
        <w:numPr>
          <w:ilvl w:val="0"/>
          <w:numId w:val="53"/>
        </w:numPr>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1"/>
          <w:szCs w:val="11"/>
          <w:color w:val="auto"/>
        </w:rPr>
        <w:t>Includes $745.6 million, $325.3 million and $375.0 million of costs related to leases associated with revenue contracts with customers for fiscal 2022, 2021 and 2020, respectively. These costs represent the rent the Company pays its clients to operate at their locations, typically based on a percentage of sales. Variable lease costs during fiscal 2021 and 2020 were impacted by COVID-19.</w:t>
      </w:r>
    </w:p>
    <w:p>
      <w:pPr>
        <w:ind w:left="400" w:hanging="374"/>
        <w:spacing w:after="0" w:line="214" w:lineRule="auto"/>
        <w:tabs>
          <w:tab w:leader="none" w:pos="400" w:val="left"/>
        </w:tabs>
        <w:numPr>
          <w:ilvl w:val="0"/>
          <w:numId w:val="5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3"/>
          <w:szCs w:val="13"/>
          <w:color w:val="auto"/>
        </w:rPr>
        <w:t>Excludes variable lease costs, which are immaterial.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the periods reported is as follows (in thousands):</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3"/>
        </w:trPr>
        <w:tc>
          <w:tcPr>
            <w:tcW w:w="5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5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0" w:type="dxa"/>
            <w:vAlign w:val="bottom"/>
          </w:tcPr>
          <w:p>
            <w:pPr>
              <w:spacing w:after="0"/>
              <w:rPr>
                <w:sz w:val="16"/>
                <w:szCs w:val="16"/>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October 1, 2021</w:t>
            </w:r>
          </w:p>
        </w:tc>
        <w:tc>
          <w:tcPr>
            <w:tcW w:w="240" w:type="dxa"/>
            <w:vAlign w:val="bottom"/>
          </w:tcPr>
          <w:p>
            <w:pPr>
              <w:spacing w:after="0"/>
              <w:rPr>
                <w:sz w:val="16"/>
                <w:szCs w:val="16"/>
                <w:color w:val="auto"/>
              </w:rPr>
            </w:pPr>
          </w:p>
        </w:tc>
        <w:tc>
          <w:tcPr>
            <w:tcW w:w="14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October 2, 2020</w:t>
            </w:r>
          </w:p>
        </w:tc>
      </w:tr>
      <w:tr>
        <w:trPr>
          <w:trHeight w:val="216"/>
        </w:trPr>
        <w:tc>
          <w:tcPr>
            <w:tcW w:w="5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30"/>
        </w:trPr>
        <w:tc>
          <w:tcPr>
            <w:tcW w:w="596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Operating cash flows from operating leases</w:t>
            </w:r>
            <w:r>
              <w:rPr>
                <w:rFonts w:ascii="Times New Roman" w:cs="Times New Roman" w:eastAsia="Times New Roman" w:hAnsi="Times New Roman"/>
                <w:sz w:val="23"/>
                <w:szCs w:val="23"/>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135,936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189,061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144,792</w:t>
            </w:r>
          </w:p>
        </w:tc>
      </w:tr>
      <w:tr>
        <w:trPr>
          <w:trHeight w:val="230"/>
        </w:trPr>
        <w:tc>
          <w:tcPr>
            <w:tcW w:w="5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5,341</w:t>
            </w:r>
          </w:p>
        </w:tc>
      </w:tr>
      <w:tr>
        <w:trPr>
          <w:trHeight w:val="230"/>
        </w:trPr>
        <w:tc>
          <w:tcPr>
            <w:tcW w:w="5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34,674</w:t>
            </w:r>
          </w:p>
        </w:tc>
      </w:tr>
      <w:tr>
        <w:trPr>
          <w:trHeight w:val="22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assets obtained in exchange for lease obligations: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5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82,635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61,345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90,533</w:t>
            </w:r>
          </w:p>
        </w:tc>
      </w:tr>
      <w:tr>
        <w:trPr>
          <w:trHeight w:val="230"/>
        </w:trPr>
        <w:tc>
          <w:tcPr>
            <w:tcW w:w="5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Finance leases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29,317</w:t>
            </w:r>
          </w:p>
        </w:tc>
      </w:tr>
    </w:tbl>
    <w:p>
      <w:pPr>
        <w:spacing w:after="0" w:line="198" w:lineRule="exact"/>
        <w:rPr>
          <w:sz w:val="20"/>
          <w:szCs w:val="20"/>
          <w:color w:val="auto"/>
        </w:rPr>
      </w:pPr>
    </w:p>
    <w:p>
      <w:pPr>
        <w:ind w:left="400" w:right="160" w:hanging="374"/>
        <w:spacing w:after="0" w:line="225" w:lineRule="auto"/>
        <w:tabs>
          <w:tab w:leader="none" w:pos="40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fiscal 2022, excludes cash paid for variable and short-term lease costs of $734.2 million and $71.7 million, respectively, that are not included within the measurement of lease liabilities. For fiscal 2021, excludes cash paid for variable and short-term lease costs of $304.5 million and $48.3 million, respectively, that are not included within the measurement of lease liabilities. For fiscal 2020, excludes cash paid for variable and short-term lease costs of $414.0 million and $59.9 million, respectively, that are not included within the measurement of lease liabilities.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non-cancelable leases as of September 30, 2022 are as follows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6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400" w:type="dxa"/>
            <w:vAlign w:val="bottom"/>
          </w:tcPr>
          <w:p>
            <w:pPr>
              <w:spacing w:after="0"/>
              <w:rPr>
                <w:sz w:val="16"/>
                <w:szCs w:val="16"/>
                <w:color w:val="auto"/>
              </w:rPr>
            </w:pPr>
          </w:p>
        </w:tc>
        <w:tc>
          <w:tcPr>
            <w:tcW w:w="130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5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110,318</w:t>
            </w:r>
          </w:p>
        </w:tc>
      </w:tr>
      <w:tr>
        <w:trPr>
          <w:trHeight w:val="229"/>
        </w:trPr>
        <w:tc>
          <w:tcPr>
            <w:tcW w:w="5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95,265</w:t>
            </w:r>
          </w:p>
        </w:tc>
      </w:tr>
      <w:tr>
        <w:trPr>
          <w:trHeight w:val="230"/>
        </w:trPr>
        <w:tc>
          <w:tcPr>
            <w:tcW w:w="5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79,968</w:t>
            </w:r>
          </w:p>
        </w:tc>
      </w:tr>
      <w:tr>
        <w:trPr>
          <w:trHeight w:val="229"/>
        </w:trPr>
        <w:tc>
          <w:tcPr>
            <w:tcW w:w="5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64,850</w:t>
            </w:r>
          </w:p>
        </w:tc>
      </w:tr>
      <w:tr>
        <w:trPr>
          <w:trHeight w:val="230"/>
        </w:trPr>
        <w:tc>
          <w:tcPr>
            <w:tcW w:w="5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51,196</w:t>
            </w:r>
          </w:p>
        </w:tc>
      </w:tr>
      <w:tr>
        <w:trPr>
          <w:trHeight w:val="229"/>
        </w:trPr>
        <w:tc>
          <w:tcPr>
            <w:tcW w:w="59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46,712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192,937</w:t>
            </w:r>
          </w:p>
        </w:tc>
      </w:tr>
      <w:tr>
        <w:trPr>
          <w:trHeight w:val="223"/>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594,534</w:t>
            </w:r>
          </w:p>
        </w:tc>
      </w:tr>
      <w:tr>
        <w:trPr>
          <w:trHeight w:val="230"/>
        </w:trPr>
        <w:tc>
          <w:tcPr>
            <w:tcW w:w="59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Less: Interest</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(62,026)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(72,680)</w:t>
            </w:r>
          </w:p>
        </w:tc>
      </w:tr>
      <w:tr>
        <w:trPr>
          <w:trHeight w:val="248"/>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521,854</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EMPLOYEE PENSION AND PROFIT SHARING PLANS:</w:t>
      </w:r>
    </w:p>
    <w:p>
      <w:pPr>
        <w:spacing w:after="0" w:line="9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the United States, the Company maintains qualified contributory and non-contributory defined contribution retirement plans for eligible employees, with Company contributions to the plans based on earnings performance or salary level. The Company also has a non-qualified retirement savings plan for certain employees. The total expense of the above plans for fiscal 2022, fiscal 2021 and fiscal 2020 was $28.6 million, $28.1 million and $17.4 million, respectively. The Company also maintains similar contributory and non-contributory defined contribution retirement plans at several of its international operations, primarily in Canada and the United Kingdom. The total expense of these international plans for fiscal 2022, fiscal 2021 and fiscal 2020 was $15.1 million, $15.2 million and $13.7 million, respectively.</w:t>
      </w:r>
    </w:p>
    <w:p>
      <w:pPr>
        <w:spacing w:after="0" w:line="6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net periodic pension cost for the Company's single-employer defined benefit pension plans for fiscal 2022, fiscal 2021 and fiscal 2020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3"/>
        </w:trPr>
        <w:tc>
          <w:tcPr>
            <w:tcW w:w="5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0"/>
        </w:trPr>
        <w:tc>
          <w:tcPr>
            <w:tcW w:w="5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80" w:type="dxa"/>
            <w:vAlign w:val="bottom"/>
          </w:tcPr>
          <w:p>
            <w:pPr>
              <w:spacing w:after="0"/>
              <w:rPr>
                <w:sz w:val="16"/>
                <w:szCs w:val="16"/>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October 1, 2021</w:t>
            </w:r>
          </w:p>
        </w:tc>
        <w:tc>
          <w:tcPr>
            <w:tcW w:w="220" w:type="dxa"/>
            <w:vAlign w:val="bottom"/>
          </w:tcPr>
          <w:p>
            <w:pPr>
              <w:spacing w:after="0"/>
              <w:rPr>
                <w:sz w:val="16"/>
                <w:szCs w:val="16"/>
                <w:color w:val="auto"/>
              </w:rPr>
            </w:pPr>
          </w:p>
        </w:tc>
        <w:tc>
          <w:tcPr>
            <w:tcW w:w="146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October 2, 2020</w:t>
            </w:r>
          </w:p>
        </w:tc>
      </w:tr>
      <w:tr>
        <w:trPr>
          <w:trHeight w:val="229"/>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9,180</w:t>
            </w: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(18,883)</w:t>
            </w:r>
          </w:p>
        </w:tc>
      </w:tr>
      <w:tr>
        <w:trPr>
          <w:trHeight w:val="229"/>
        </w:trPr>
        <w:tc>
          <w:tcPr>
            <w:tcW w:w="59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Settlements and curtailments</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Recognized net loss</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w:t>
            </w: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pension (income)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00" w:hanging="374"/>
        <w:spacing w:after="0"/>
        <w:tabs>
          <w:tab w:leader="none" w:pos="40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fiscal 2021, the Company terminated certain Canadian single-employer defined benefit pension plans and recognized a non-cash loss of $60.9 million on the Consolidated Statements of Income (Loss).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changes in the projected benefit obligation and the fair value of plan assets for these plans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0" w:type="dxa"/>
            <w:vAlign w:val="bottom"/>
          </w:tcPr>
          <w:p>
            <w:pPr>
              <w:spacing w:after="0"/>
              <w:rPr>
                <w:sz w:val="20"/>
                <w:szCs w:val="20"/>
                <w:color w:val="auto"/>
              </w:rPr>
            </w:pPr>
          </w:p>
        </w:tc>
        <w:tc>
          <w:tcPr>
            <w:tcW w:w="15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October 1, 2021</w:t>
            </w:r>
          </w:p>
        </w:tc>
        <w:tc>
          <w:tcPr>
            <w:tcW w:w="0" w:type="dxa"/>
            <w:vAlign w:val="bottom"/>
          </w:tcPr>
          <w:p>
            <w:pPr>
              <w:spacing w:after="0"/>
              <w:rPr>
                <w:sz w:val="1"/>
                <w:szCs w:val="1"/>
                <w:color w:val="auto"/>
              </w:rPr>
            </w:pPr>
          </w:p>
        </w:tc>
      </w:tr>
      <w:tr>
        <w:trPr>
          <w:trHeight w:val="223"/>
        </w:trPr>
        <w:tc>
          <w:tcPr>
            <w:tcW w:w="77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 beginning</w:t>
            </w:r>
          </w:p>
        </w:tc>
        <w:tc>
          <w:tcPr>
            <w:tcW w:w="200" w:type="dxa"/>
            <w:vAlign w:val="bottom"/>
            <w:tcBorders>
              <w:top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220,950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436,333</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20,853</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contributions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9"/>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Actuarial gain</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(57,195)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(23,276)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(15,335)</w:t>
            </w:r>
          </w:p>
        </w:tc>
        <w:tc>
          <w:tcPr>
            <w:tcW w:w="0" w:type="dxa"/>
            <w:vAlign w:val="bottom"/>
          </w:tcPr>
          <w:p>
            <w:pPr>
              <w:spacing w:after="0"/>
              <w:rPr>
                <w:sz w:val="1"/>
                <w:szCs w:val="1"/>
                <w:color w:val="auto"/>
              </w:rPr>
            </w:pPr>
          </w:p>
        </w:tc>
      </w:tr>
      <w:tr>
        <w:trPr>
          <w:trHeight w:val="229"/>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Settlements and curtailments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(223,411)</w:t>
            </w:r>
          </w:p>
        </w:tc>
        <w:tc>
          <w:tcPr>
            <w:tcW w:w="0" w:type="dxa"/>
            <w:vAlign w:val="bottom"/>
          </w:tcPr>
          <w:p>
            <w:pPr>
              <w:spacing w:after="0"/>
              <w:rPr>
                <w:sz w:val="1"/>
                <w:szCs w:val="1"/>
                <w:color w:val="auto"/>
              </w:rPr>
            </w:pPr>
          </w:p>
        </w:tc>
      </w:tr>
      <w:tr>
        <w:trPr>
          <w:trHeight w:val="248"/>
        </w:trPr>
        <w:tc>
          <w:tcPr>
            <w:tcW w:w="77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 ending</w:t>
            </w:r>
          </w:p>
        </w:tc>
        <w:tc>
          <w:tcPr>
            <w:tcW w:w="200" w:type="dxa"/>
            <w:vAlign w:val="bottom"/>
            <w:tcBorders>
              <w:top w:val="single" w:sz="8" w:color="auto"/>
              <w:bottom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122,628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220,950</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7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 beginning</w:t>
            </w:r>
          </w:p>
        </w:tc>
        <w:tc>
          <w:tcPr>
            <w:tcW w:w="2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239,013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439,053</w:t>
            </w:r>
          </w:p>
        </w:tc>
        <w:tc>
          <w:tcPr>
            <w:tcW w:w="0" w:type="dxa"/>
            <w:vAlign w:val="bottom"/>
          </w:tcPr>
          <w:p>
            <w:pPr>
              <w:spacing w:after="0"/>
              <w:rPr>
                <w:sz w:val="1"/>
                <w:szCs w:val="1"/>
                <w:color w:val="auto"/>
              </w:rPr>
            </w:pPr>
          </w:p>
        </w:tc>
      </w:tr>
      <w:tr>
        <w:trPr>
          <w:trHeight w:val="229"/>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(29,381)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20,698</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Employer contributions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0" w:type="dxa"/>
            <w:vAlign w:val="bottom"/>
          </w:tcPr>
          <w:p>
            <w:pPr>
              <w:spacing w:after="0"/>
              <w:rPr>
                <w:sz w:val="1"/>
                <w:szCs w:val="1"/>
                <w:color w:val="auto"/>
              </w:rPr>
            </w:pPr>
          </w:p>
        </w:tc>
      </w:tr>
      <w:tr>
        <w:trPr>
          <w:trHeight w:val="229"/>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Employee contributions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(30,650)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16,957</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(23,276)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(15,335)</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and curtailments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(226,042)</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Fair value of plan assets, end</w:t>
            </w: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161,504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239,013</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Funded Status at end of year</w:t>
            </w:r>
          </w:p>
        </w:tc>
        <w:tc>
          <w:tcPr>
            <w:tcW w:w="200" w:type="dxa"/>
            <w:vAlign w:val="bottom"/>
            <w:tcBorders>
              <w:bottom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38,876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18,063</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Amounts recognized in the Consolidated Balance Sheets consist of the following (in thousands):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7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0" w:type="dxa"/>
            <w:vAlign w:val="bottom"/>
          </w:tcPr>
          <w:p>
            <w:pPr>
              <w:spacing w:after="0"/>
              <w:rPr>
                <w:sz w:val="22"/>
                <w:szCs w:val="22"/>
                <w:color w:val="auto"/>
              </w:rPr>
            </w:pPr>
          </w:p>
        </w:tc>
        <w:tc>
          <w:tcPr>
            <w:tcW w:w="15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October 1, 2021</w:t>
            </w:r>
          </w:p>
        </w:tc>
        <w:tc>
          <w:tcPr>
            <w:tcW w:w="0" w:type="dxa"/>
            <w:vAlign w:val="bottom"/>
          </w:tcPr>
          <w:p>
            <w:pPr>
              <w:spacing w:after="0"/>
              <w:rPr>
                <w:sz w:val="1"/>
                <w:szCs w:val="1"/>
                <w:color w:val="auto"/>
              </w:rPr>
            </w:pPr>
          </w:p>
        </w:tc>
      </w:tr>
      <w:tr>
        <w:trPr>
          <w:trHeight w:val="23"/>
        </w:trPr>
        <w:tc>
          <w:tcPr>
            <w:tcW w:w="75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benefit asset (included in Other Assets)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47,436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32,522</w:t>
            </w:r>
          </w:p>
        </w:tc>
        <w:tc>
          <w:tcPr>
            <w:tcW w:w="0" w:type="dxa"/>
            <w:vAlign w:val="bottom"/>
          </w:tcPr>
          <w:p>
            <w:pPr>
              <w:spacing w:after="0"/>
              <w:rPr>
                <w:sz w:val="1"/>
                <w:szCs w:val="1"/>
                <w:color w:val="auto"/>
              </w:rPr>
            </w:pPr>
          </w:p>
        </w:tc>
      </w:tr>
      <w:tr>
        <w:trPr>
          <w:trHeight w:val="229"/>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benefit liability (included in Accrued expenses and other current liabilities)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4"/>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benefit liability (included in Other Noncurrent Liabilities)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(11,854)</w:t>
            </w:r>
          </w:p>
        </w:tc>
        <w:tc>
          <w:tcPr>
            <w:tcW w:w="0" w:type="dxa"/>
            <w:vAlign w:val="bottom"/>
          </w:tcPr>
          <w:p>
            <w:pPr>
              <w:spacing w:after="0"/>
              <w:rPr>
                <w:sz w:val="1"/>
                <w:szCs w:val="1"/>
                <w:color w:val="auto"/>
              </w:rPr>
            </w:pPr>
          </w:p>
        </w:tc>
      </w:tr>
      <w:tr>
        <w:trPr>
          <w:trHeight w:val="234"/>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actuarial loss (included in Accumulated other comprehensive loss before taxes)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20,411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46,464</w:t>
            </w:r>
          </w:p>
        </w:tc>
        <w:tc>
          <w:tcPr>
            <w:tcW w:w="0" w:type="dxa"/>
            <w:vAlign w:val="bottom"/>
          </w:tcPr>
          <w:p>
            <w:pPr>
              <w:spacing w:after="0"/>
              <w:rPr>
                <w:sz w:val="1"/>
                <w:szCs w:val="1"/>
                <w:color w:val="auto"/>
              </w:rPr>
            </w:pPr>
          </w:p>
        </w:tc>
      </w:tr>
      <w:tr>
        <w:trPr>
          <w:trHeight w:val="387"/>
        </w:trPr>
        <w:tc>
          <w:tcPr>
            <w:tcW w:w="95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weighted average assumptions were used to determine pension expense of the respective fiscal years:</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0" w:type="dxa"/>
            <w:vAlign w:val="bottom"/>
          </w:tcPr>
          <w:p>
            <w:pPr>
              <w:spacing w:after="0"/>
              <w:rPr>
                <w:sz w:val="24"/>
                <w:szCs w:val="24"/>
                <w:color w:val="auto"/>
              </w:rPr>
            </w:pPr>
          </w:p>
        </w:tc>
        <w:tc>
          <w:tcPr>
            <w:tcW w:w="150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October 1, 2021</w:t>
            </w:r>
          </w:p>
        </w:tc>
        <w:tc>
          <w:tcPr>
            <w:tcW w:w="0" w:type="dxa"/>
            <w:vAlign w:val="bottom"/>
          </w:tcPr>
          <w:p>
            <w:pPr>
              <w:spacing w:after="0"/>
              <w:rPr>
                <w:sz w:val="1"/>
                <w:szCs w:val="1"/>
                <w:color w:val="auto"/>
              </w:rPr>
            </w:pPr>
          </w:p>
        </w:tc>
      </w:tr>
      <w:tr>
        <w:trPr>
          <w:trHeight w:val="23"/>
        </w:trPr>
        <w:tc>
          <w:tcPr>
            <w:tcW w:w="7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99"/>
              </w:rPr>
              <w:t>2.1 %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9"/>
              </w:rPr>
              <w:t>2.2 %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rate of return on assets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99"/>
              </w:rPr>
              <w:t>4.8 %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391"/>
        </w:trPr>
        <w:tc>
          <w:tcPr>
            <w:tcW w:w="95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weighted average assumptions were used to determine the funded status of the respective fiscal years:</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7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0" w:type="dxa"/>
            <w:vAlign w:val="bottom"/>
          </w:tcPr>
          <w:p>
            <w:pPr>
              <w:spacing w:after="0"/>
              <w:rPr>
                <w:sz w:val="24"/>
                <w:szCs w:val="24"/>
                <w:color w:val="auto"/>
              </w:rPr>
            </w:pPr>
          </w:p>
        </w:tc>
        <w:tc>
          <w:tcPr>
            <w:tcW w:w="150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October 1, 2021</w:t>
            </w:r>
          </w:p>
        </w:tc>
        <w:tc>
          <w:tcPr>
            <w:tcW w:w="0" w:type="dxa"/>
            <w:vAlign w:val="bottom"/>
          </w:tcPr>
          <w:p>
            <w:pPr>
              <w:spacing w:after="0"/>
              <w:rPr>
                <w:sz w:val="1"/>
                <w:szCs w:val="1"/>
                <w:color w:val="auto"/>
              </w:rPr>
            </w:pPr>
          </w:p>
        </w:tc>
      </w:tr>
      <w:tr>
        <w:trPr>
          <w:trHeight w:val="23"/>
        </w:trPr>
        <w:tc>
          <w:tcPr>
            <w:tcW w:w="77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2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99"/>
              </w:rPr>
              <w:t>4.9 %</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34"/>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9"/>
              </w:rPr>
              <w:t>2.0 %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Assumptions, including discount rate, expected return on assets, compensation increases and health care trends, are adjusted annually, as necessary, based on prevailing market conditions and actual experience. The Company applies a spot-rate approach for the discount rate used in the calculation of pension interest and service cost. The spot-rate approach applies separate discount rates for each projected benefit payment in the calculation.</w:t>
      </w:r>
    </w:p>
    <w:p>
      <w:pPr>
        <w:spacing w:after="0" w:line="54"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The accumulated benefit obligation as of September 30, 2022 was $122.5 million. During fiscal 2022, actuarial gains of $14.6 million were recognized in other comprehensive income (before taxes) and $4.6 million of actuarial losses were recognized as net periodic pension cost during such period.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accumulated benefit obligation as of October 1, 2021 was $220.2 million. During fiscal 2021, actuarial gains of $6.5 million were recognized in other comprehensive income (before taxes) and $59.1 million of settlement losses and $3.7 million of actuarial losses were recognized as net periodic pension cost during such period.</w:t>
      </w:r>
    </w:p>
    <w:p>
      <w:pPr>
        <w:spacing w:after="0" w:line="4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for the Company's single-employer pension plans with an accumulated benefit obligation in excess of plan assets as of September 30, 2022 and October 1, 2021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40" w:type="dxa"/>
            <w:vAlign w:val="bottom"/>
          </w:tcPr>
          <w:p>
            <w:pPr>
              <w:spacing w:after="0"/>
              <w:rPr>
                <w:sz w:val="16"/>
                <w:szCs w:val="16"/>
                <w:color w:val="auto"/>
              </w:rPr>
            </w:pPr>
          </w:p>
        </w:tc>
        <w:tc>
          <w:tcPr>
            <w:tcW w:w="146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October 1, 2021</w:t>
            </w:r>
          </w:p>
        </w:tc>
      </w:tr>
      <w:tr>
        <w:trPr>
          <w:trHeight w:val="23"/>
        </w:trPr>
        <w:tc>
          <w:tcPr>
            <w:tcW w:w="7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28,656</w:t>
            </w: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28,656</w:t>
            </w:r>
          </w:p>
        </w:tc>
      </w:tr>
    </w:tbl>
    <w:p>
      <w:pPr>
        <w:spacing w:after="0" w:line="152"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Assets of the plans are generally invested with the goal of principal preservation and enhancement over the long-term. The primary goal is total return, consistent with prudent investment management. The Company's investment policies also require an appropriate level of diversification across the asset categories. As the Company contemplates or moves toward the wind down of plans, it may shift toward a more conservative investment approach with a higher proportion of fixed income and cash investments to ensure adequate liquidity at the time of wind down. The current overall capital structure and targeted ranges for asset classes are 30-45% invested in equity securities, 40-65% invested in debt securities and 5-15% in real estate investments and cash and cash equivalents. Performance of the plans is monitored on a regular basis and adjustments of the asset allocations are made when deemed necessary.</w:t>
      </w:r>
    </w:p>
    <w:p>
      <w:pPr>
        <w:spacing w:after="0" w:line="5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weighted-average long-term rate of return on assets has been determined based on an estimated weighted-average of long-term returns of major asset classes, taking into account historical performance of plan assets, the current interest rate environment, plan demographics, acceptable risk levels and the estimated value of active asset management.</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fair value of plan assets for the Company's defined benefit pension plans as of September 30, 2022 and October 1, 2021 is as follows (see Note 16 for a description of the fair value levels)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200" w:type="dxa"/>
            <w:vAlign w:val="bottom"/>
          </w:tcPr>
          <w:p>
            <w:pPr>
              <w:spacing w:after="0"/>
              <w:rPr>
                <w:sz w:val="13"/>
                <w:szCs w:val="13"/>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0" w:type="dxa"/>
            <w:vAlign w:val="bottom"/>
          </w:tcPr>
          <w:p>
            <w:pPr>
              <w:spacing w:after="0"/>
              <w:rPr>
                <w:sz w:val="13"/>
                <w:szCs w:val="13"/>
                <w:color w:val="auto"/>
              </w:rPr>
            </w:pPr>
          </w:p>
        </w:tc>
        <w:tc>
          <w:tcPr>
            <w:tcW w:w="154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0" w:type="dxa"/>
            <w:vAlign w:val="bottom"/>
          </w:tcPr>
          <w:p>
            <w:pPr>
              <w:spacing w:after="0"/>
              <w:rPr>
                <w:sz w:val="12"/>
                <w:szCs w:val="12"/>
                <w:color w:val="auto"/>
              </w:rPr>
            </w:pPr>
          </w:p>
        </w:tc>
        <w:tc>
          <w:tcPr>
            <w:tcW w:w="16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200" w:type="dxa"/>
            <w:vAlign w:val="bottom"/>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60" w:type="dxa"/>
            <w:vAlign w:val="bottom"/>
          </w:tcPr>
          <w:p>
            <w:pPr>
              <w:spacing w:after="0"/>
              <w:rPr>
                <w:sz w:val="12"/>
                <w:szCs w:val="12"/>
                <w:color w:val="auto"/>
              </w:rPr>
            </w:pPr>
          </w:p>
        </w:tc>
        <w:tc>
          <w:tcPr>
            <w:tcW w:w="154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5"/>
        </w:trPr>
        <w:tc>
          <w:tcPr>
            <w:tcW w:w="4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6"/>
                <w:szCs w:val="16"/>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6"/>
                <w:szCs w:val="16"/>
                <w:color w:val="auto"/>
              </w:rPr>
            </w:pPr>
          </w:p>
        </w:tc>
        <w:tc>
          <w:tcPr>
            <w:tcW w:w="154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8"/>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Investment trusts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funds:</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Equity funds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Fixed income funds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9,807</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161,504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143,310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9,807</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4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200" w:type="dxa"/>
            <w:vAlign w:val="bottom"/>
          </w:tcPr>
          <w:p>
            <w:pPr>
              <w:spacing w:after="0"/>
              <w:rPr>
                <w:sz w:val="17"/>
                <w:szCs w:val="17"/>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0" w:type="dxa"/>
            <w:vAlign w:val="bottom"/>
          </w:tcPr>
          <w:p>
            <w:pPr>
              <w:spacing w:after="0"/>
              <w:rPr>
                <w:sz w:val="17"/>
                <w:szCs w:val="17"/>
                <w:color w:val="auto"/>
              </w:rPr>
            </w:pPr>
          </w:p>
        </w:tc>
        <w:tc>
          <w:tcPr>
            <w:tcW w:w="154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October 1, 2021</w:t>
            </w:r>
          </w:p>
        </w:tc>
        <w:tc>
          <w:tcPr>
            <w:tcW w:w="140" w:type="dxa"/>
            <w:vAlign w:val="bottom"/>
          </w:tcPr>
          <w:p>
            <w:pPr>
              <w:spacing w:after="0"/>
              <w:rPr>
                <w:sz w:val="12"/>
                <w:szCs w:val="12"/>
                <w:color w:val="auto"/>
              </w:rPr>
            </w:pPr>
          </w:p>
        </w:tc>
        <w:tc>
          <w:tcPr>
            <w:tcW w:w="16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200" w:type="dxa"/>
            <w:vAlign w:val="bottom"/>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60" w:type="dxa"/>
            <w:vAlign w:val="bottom"/>
          </w:tcPr>
          <w:p>
            <w:pPr>
              <w:spacing w:after="0"/>
              <w:rPr>
                <w:sz w:val="12"/>
                <w:szCs w:val="12"/>
                <w:color w:val="auto"/>
              </w:rPr>
            </w:pPr>
          </w:p>
        </w:tc>
        <w:tc>
          <w:tcPr>
            <w:tcW w:w="154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5"/>
        </w:trPr>
        <w:tc>
          <w:tcPr>
            <w:tcW w:w="4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6"/>
                <w:szCs w:val="16"/>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6"/>
                <w:szCs w:val="16"/>
                <w:color w:val="auto"/>
              </w:rPr>
            </w:pPr>
          </w:p>
        </w:tc>
        <w:tc>
          <w:tcPr>
            <w:tcW w:w="154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8"/>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Investment trusts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funds:</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Equity funds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Fixed income funds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12,812</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239,013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202,989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12,812</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fair value of the investment funds is based on the value of the underlying assets, as reported to the Plan by the trustees. They are comprised of a portfolio of underlying securities that can be valued based on trading information on active markets.</w:t>
      </w:r>
    </w:p>
    <w:p>
      <w:pPr>
        <w:spacing w:after="0" w:line="27"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Cash and cash equivalents include direct cash holdings, which are valued based on cost, and short-term deposits and investments in money market funds, for which fair value measurements are all based on quoted prices for similar assets or liabilities in markets that are active. Investments in equity securities and equity funds include publicly-traded domestic companies (approximately 35%) and international companies (approximately 65%) that are diversified across industry, country and stock market capitalization. Investments in fixed income funds primarily consist of international corporate bonds and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government securities. For equity securities, the investments are predominantly valued using a market approach based on the closing fair market prices of identical instruments in the principal market on which they are traded. For investment funds, fair value is calculated by applying the Plan's percentage ownership in the fund to the total market value of the account's underlying securities and is therefore categorized as Level 2, as the Plan does not directly own shares in these underlying investments. Substantially all of the real estate investments are in international markets.</w:t>
      </w:r>
    </w:p>
    <w:p>
      <w:pPr>
        <w:spacing w:after="0" w:line="4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It is the Company's policy to fund at least the minimum required contributions as outlined in the required statutory actuarial valuation for each plan. The following table sets forth the benefits expected to be paid in the next five fiscal years and in aggregate for the five fiscal years thereafter by the Company's defined benefit pension plans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2023</w:t>
            </w:r>
          </w:p>
        </w:tc>
        <w:tc>
          <w:tcPr>
            <w:tcW w:w="46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6,248</w:t>
            </w: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4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46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6,726</w:t>
            </w: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4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6,627</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46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w:t>
            </w:r>
          </w:p>
        </w:tc>
      </w:tr>
      <w:tr>
        <w:trPr>
          <w:trHeight w:val="234"/>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2028 – 2032</w:t>
            </w:r>
          </w:p>
        </w:tc>
        <w:tc>
          <w:tcPr>
            <w:tcW w:w="46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38,846</w:t>
            </w: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benefit payments above are based on assumptions about future events. Actual benefit payments may vary significantly from these estimates.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expected contributions to be paid to the Company's defined benefit pension plans during fiscal 2023 are approximately $2.8 million.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Multiemployer Defined Benefit Pension Plans</w:t>
      </w:r>
    </w:p>
    <w:p>
      <w:pPr>
        <w:spacing w:after="0" w:line="94"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Company contributes to a number of multiemployer defined benefit pension plans under the terms of collective-bargaining agreements ("CBA") that cover its union-represented employees. The risks of participating in these multiemployer plans are different from single-employer plans in the following respects:</w:t>
      </w:r>
    </w:p>
    <w:p>
      <w:pPr>
        <w:spacing w:after="0" w:line="54" w:lineRule="exact"/>
        <w:rPr>
          <w:sz w:val="20"/>
          <w:szCs w:val="20"/>
          <w:color w:val="auto"/>
        </w:rPr>
      </w:pPr>
    </w:p>
    <w:p>
      <w:pPr>
        <w:ind w:left="640" w:hanging="308"/>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contributed to the multiemployer plan by one employer may be used to provide benefits to employees of other participating employers.</w:t>
      </w:r>
    </w:p>
    <w:p>
      <w:pPr>
        <w:spacing w:after="0" w:line="103"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participating employer stops contributing to the plan, the unfunded obligations of the plan may be borne by the remaining participating employers.</w:t>
      </w:r>
    </w:p>
    <w:p>
      <w:pPr>
        <w:spacing w:after="0" w:line="26"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chooses to stop participating in some of its multiemployer plans, the Company may be required to pay those plans an amount based on the underfunded status of the plan, referred to as a withdrawal liability.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Company's participation in these plans for fiscal 2022 is outlined in the table below. The "EIN/Pension Plan Number" column provides the Employee Identification Number (EIN) and the three-digit plan number, if applicable. Unless otherwise noted, the most recent Pension Protection Act (PPA) zone status available in 2022 and 2021 is for the plans' two most recent fiscal year-ends. The zone status is based on information that the Company received from the plan and is certified by the plan's actuary. Among other factors, plans in the critical and declining zone are generally less than 65% funded and projected to become insolvent in the next 15 or 20 years depending on the ratio of active to inactive participants; plans in the critical zone are generally less than 65% funded; and plans in the seriously endangered zone are less than 80% funded and are projected to have an accumulated deficiency in the current plan year or the next six plan years. The "FIP/RP Status Pending/Implemented" column indicates plans for which a financial improvement plan (FIP) or a rehabilitation plan (RP) is either pending or has been implemented. The last column lists the expiration date(s) of the CBA(s) to which the plans are subject. There have been no significant changes that affect the comparability of fiscal 2022, fiscal 2021 and fiscal 2020 contributions.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Pension Protection</w:t>
            </w: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0" w:type="dxa"/>
            <w:vAlign w:val="bottom"/>
            <w:gridSpan w:val="5"/>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Contributions by the Company</w:t>
            </w: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Act Zone Status</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FIP/RP Status</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Range of</w:t>
            </w:r>
          </w:p>
        </w:tc>
        <w:tc>
          <w:tcPr>
            <w:tcW w:w="0" w:type="dxa"/>
            <w:vAlign w:val="bottom"/>
          </w:tcPr>
          <w:p>
            <w:pPr>
              <w:spacing w:after="0"/>
              <w:rPr>
                <w:sz w:val="1"/>
                <w:szCs w:val="1"/>
                <w:color w:val="auto"/>
              </w:rPr>
            </w:pPr>
          </w:p>
        </w:tc>
      </w:tr>
      <w:tr>
        <w:trPr>
          <w:trHeight w:val="26"/>
        </w:trPr>
        <w:tc>
          <w:tcPr>
            <w:tcW w:w="2280" w:type="dxa"/>
            <w:vAlign w:val="bottom"/>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EIN/Pension</w:t>
            </w:r>
          </w:p>
        </w:tc>
        <w:tc>
          <w:tcPr>
            <w:tcW w:w="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Surcharge</w:t>
            </w:r>
          </w:p>
        </w:tc>
        <w:tc>
          <w:tcPr>
            <w:tcW w:w="10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28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Pending/</w:t>
            </w:r>
          </w:p>
        </w:tc>
        <w:tc>
          <w:tcPr>
            <w:tcW w:w="220" w:type="dxa"/>
            <w:vAlign w:val="bottom"/>
          </w:tcPr>
          <w:p>
            <w:pPr>
              <w:spacing w:after="0"/>
              <w:rPr>
                <w:sz w:val="12"/>
                <w:szCs w:val="12"/>
                <w:color w:val="auto"/>
              </w:rPr>
            </w:pPr>
          </w:p>
        </w:tc>
        <w:tc>
          <w:tcPr>
            <w:tcW w:w="7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7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2"/>
                <w:szCs w:val="12"/>
                <w:color w:val="auto"/>
              </w:rPr>
            </w:pPr>
          </w:p>
        </w:tc>
        <w:tc>
          <w:tcPr>
            <w:tcW w:w="7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920" w:type="dxa"/>
            <w:vAlign w:val="bottom"/>
            <w:vMerge w:val="continue"/>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95"/>
        </w:trPr>
        <w:tc>
          <w:tcPr>
            <w:tcW w:w="22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4"/>
                <w:szCs w:val="14"/>
                <w:b w:val="1"/>
                <w:bCs w:val="1"/>
                <w:color w:val="auto"/>
              </w:rPr>
              <w:t>Fund</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 Number</w:t>
            </w:r>
          </w:p>
        </w:tc>
        <w:tc>
          <w:tcPr>
            <w:tcW w:w="96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Implemented</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Imposed</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Dates of CBAs</w:t>
            </w:r>
          </w:p>
        </w:tc>
        <w:tc>
          <w:tcPr>
            <w:tcW w:w="0" w:type="dxa"/>
            <w:vAlign w:val="bottom"/>
          </w:tcPr>
          <w:p>
            <w:pPr>
              <w:spacing w:after="0"/>
              <w:rPr>
                <w:sz w:val="1"/>
                <w:szCs w:val="1"/>
                <w:color w:val="auto"/>
              </w:rPr>
            </w:pPr>
          </w:p>
        </w:tc>
      </w:tr>
      <w:tr>
        <w:trPr>
          <w:trHeight w:val="138"/>
        </w:trPr>
        <w:tc>
          <w:tcPr>
            <w:tcW w:w="228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National Retirement Fund</w:t>
            </w:r>
          </w:p>
        </w:tc>
        <w:tc>
          <w:tcPr>
            <w:tcW w:w="102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4"/>
                <w:szCs w:val="14"/>
                <w:color w:val="auto"/>
              </w:rPr>
              <w:t>13-6130178/</w:t>
            </w:r>
          </w:p>
        </w:tc>
        <w:tc>
          <w:tcPr>
            <w:tcW w:w="96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4"/>
                <w:szCs w:val="14"/>
                <w:color w:val="auto"/>
              </w:rPr>
              <w:t>Critical</w:t>
            </w:r>
          </w:p>
        </w:tc>
        <w:tc>
          <w:tcPr>
            <w:tcW w:w="100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4"/>
                <w:szCs w:val="14"/>
                <w:color w:val="auto"/>
                <w:w w:val="99"/>
              </w:rPr>
              <w:t>Critical</w:t>
            </w:r>
          </w:p>
        </w:tc>
        <w:tc>
          <w:tcPr>
            <w:tcW w:w="118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4"/>
                <w:szCs w:val="14"/>
                <w:color w:val="auto"/>
              </w:rPr>
              <w:t>Implemented</w:t>
            </w:r>
          </w:p>
        </w:tc>
        <w:tc>
          <w:tcPr>
            <w:tcW w:w="220" w:type="dxa"/>
            <w:vAlign w:val="bottom"/>
            <w:shd w:val="clear" w:color="auto" w:fill="CCEEFF"/>
          </w:tcPr>
          <w:p>
            <w:pPr>
              <w:jc w:val="right"/>
              <w:ind w:right="48"/>
              <w:spacing w:after="0" w:line="138"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3,434</w:t>
            </w:r>
          </w:p>
        </w:tc>
        <w:tc>
          <w:tcPr>
            <w:tcW w:w="240" w:type="dxa"/>
            <w:vAlign w:val="bottom"/>
            <w:shd w:val="clear" w:color="auto" w:fill="CCEEFF"/>
          </w:tcPr>
          <w:p>
            <w:pPr>
              <w:ind w:left="40"/>
              <w:spacing w:after="0" w:line="138"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2,579</w:t>
            </w:r>
          </w:p>
        </w:tc>
        <w:tc>
          <w:tcPr>
            <w:tcW w:w="240" w:type="dxa"/>
            <w:vAlign w:val="bottom"/>
            <w:shd w:val="clear" w:color="auto" w:fill="CCEEFF"/>
          </w:tcPr>
          <w:p>
            <w:pPr>
              <w:jc w:val="right"/>
              <w:ind w:right="48"/>
              <w:spacing w:after="0" w:line="138"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3,574</w:t>
            </w:r>
          </w:p>
        </w:tc>
        <w:tc>
          <w:tcPr>
            <w:tcW w:w="92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4"/>
                <w:szCs w:val="14"/>
                <w:color w:val="auto"/>
              </w:rPr>
              <w:t>No</w:t>
            </w:r>
          </w:p>
        </w:tc>
        <w:tc>
          <w:tcPr>
            <w:tcW w:w="106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4"/>
                <w:szCs w:val="14"/>
                <w:color w:val="auto"/>
              </w:rPr>
              <w:t>5/7/2021 -</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001</w:t>
            </w:r>
          </w:p>
        </w:tc>
        <w:tc>
          <w:tcPr>
            <w:tcW w:w="9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8/1/2025</w:t>
            </w:r>
          </w:p>
        </w:tc>
        <w:tc>
          <w:tcPr>
            <w:tcW w:w="0" w:type="dxa"/>
            <w:vAlign w:val="bottom"/>
          </w:tcPr>
          <w:p>
            <w:pPr>
              <w:spacing w:after="0"/>
              <w:rPr>
                <w:sz w:val="1"/>
                <w:szCs w:val="1"/>
                <w:color w:val="auto"/>
              </w:rPr>
            </w:pPr>
          </w:p>
        </w:tc>
      </w:tr>
      <w:tr>
        <w:trPr>
          <w:trHeight w:val="139"/>
        </w:trPr>
        <w:tc>
          <w:tcPr>
            <w:tcW w:w="22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UNITE HERE Retirement Fund</w:t>
            </w:r>
          </w:p>
        </w:tc>
        <w:tc>
          <w:tcPr>
            <w:tcW w:w="10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82-0994119/</w:t>
            </w:r>
          </w:p>
        </w:tc>
        <w:tc>
          <w:tcPr>
            <w:tcW w:w="9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Critical and</w:t>
            </w:r>
          </w:p>
        </w:tc>
        <w:tc>
          <w:tcPr>
            <w:tcW w:w="10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Critical</w:t>
            </w:r>
          </w:p>
        </w:tc>
        <w:tc>
          <w:tcPr>
            <w:tcW w:w="11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Implemented</w:t>
            </w:r>
          </w:p>
        </w:tc>
        <w:tc>
          <w:tcPr>
            <w:tcW w:w="220" w:type="dxa"/>
            <w:vAlign w:val="bottom"/>
          </w:tcPr>
          <w:p>
            <w:pPr>
              <w:spacing w:after="0"/>
              <w:rPr>
                <w:sz w:val="12"/>
                <w:szCs w:val="12"/>
                <w:color w:val="auto"/>
              </w:rPr>
            </w:pPr>
          </w:p>
        </w:tc>
        <w:tc>
          <w:tcPr>
            <w:tcW w:w="7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5,483</w:t>
            </w:r>
          </w:p>
        </w:tc>
        <w:tc>
          <w:tcPr>
            <w:tcW w:w="240" w:type="dxa"/>
            <w:vAlign w:val="bottom"/>
          </w:tcPr>
          <w:p>
            <w:pPr>
              <w:spacing w:after="0"/>
              <w:rPr>
                <w:sz w:val="12"/>
                <w:szCs w:val="12"/>
                <w:color w:val="auto"/>
              </w:rPr>
            </w:pPr>
          </w:p>
        </w:tc>
        <w:tc>
          <w:tcPr>
            <w:tcW w:w="72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2,699</w:t>
            </w:r>
          </w:p>
        </w:tc>
        <w:tc>
          <w:tcPr>
            <w:tcW w:w="240" w:type="dxa"/>
            <w:vAlign w:val="bottom"/>
          </w:tcPr>
          <w:p>
            <w:pPr>
              <w:spacing w:after="0"/>
              <w:rPr>
                <w:sz w:val="12"/>
                <w:szCs w:val="12"/>
                <w:color w:val="auto"/>
              </w:rPr>
            </w:pPr>
          </w:p>
        </w:tc>
        <w:tc>
          <w:tcPr>
            <w:tcW w:w="7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3,392</w:t>
            </w:r>
          </w:p>
        </w:tc>
        <w:tc>
          <w:tcPr>
            <w:tcW w:w="9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No</w:t>
            </w: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3/31/2021 -</w:t>
            </w:r>
          </w:p>
        </w:tc>
        <w:tc>
          <w:tcPr>
            <w:tcW w:w="0" w:type="dxa"/>
            <w:vAlign w:val="bottom"/>
          </w:tcPr>
          <w:p>
            <w:pPr>
              <w:spacing w:after="0"/>
              <w:rPr>
                <w:sz w:val="1"/>
                <w:szCs w:val="1"/>
                <w:color w:val="auto"/>
              </w:rPr>
            </w:pPr>
          </w:p>
        </w:tc>
      </w:tr>
      <w:tr>
        <w:trPr>
          <w:trHeight w:val="193"/>
        </w:trPr>
        <w:tc>
          <w:tcPr>
            <w:tcW w:w="22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001</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Declining</w:t>
            </w: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12/31/2025</w:t>
            </w:r>
          </w:p>
        </w:tc>
        <w:tc>
          <w:tcPr>
            <w:tcW w:w="0" w:type="dxa"/>
            <w:vAlign w:val="bottom"/>
          </w:tcPr>
          <w:p>
            <w:pPr>
              <w:spacing w:after="0"/>
              <w:rPr>
                <w:sz w:val="1"/>
                <w:szCs w:val="1"/>
                <w:color w:val="auto"/>
              </w:rPr>
            </w:pPr>
          </w:p>
        </w:tc>
      </w:tr>
      <w:tr>
        <w:trPr>
          <w:trHeight w:val="144"/>
        </w:trPr>
        <w:tc>
          <w:tcPr>
            <w:tcW w:w="22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Local 1102 Retirement Trust</w:t>
            </w:r>
          </w:p>
        </w:tc>
        <w:tc>
          <w:tcPr>
            <w:tcW w:w="102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13-1847329/</w:t>
            </w:r>
          </w:p>
        </w:tc>
        <w:tc>
          <w:tcPr>
            <w:tcW w:w="96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Critical and</w:t>
            </w:r>
          </w:p>
        </w:tc>
        <w:tc>
          <w:tcPr>
            <w:tcW w:w="100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Seriously</w:t>
            </w:r>
          </w:p>
        </w:tc>
        <w:tc>
          <w:tcPr>
            <w:tcW w:w="118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Implemented</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33</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22</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66</w:t>
            </w:r>
          </w:p>
        </w:tc>
        <w:tc>
          <w:tcPr>
            <w:tcW w:w="92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No</w:t>
            </w:r>
          </w:p>
        </w:tc>
        <w:tc>
          <w:tcPr>
            <w:tcW w:w="106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9/30/2021</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001</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Declining</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Endangered</w:t>
            </w: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2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Central States SE and SW Areas</w:t>
            </w:r>
          </w:p>
        </w:tc>
        <w:tc>
          <w:tcPr>
            <w:tcW w:w="10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36-6044243/</w:t>
            </w:r>
          </w:p>
        </w:tc>
        <w:tc>
          <w:tcPr>
            <w:tcW w:w="9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Critical and</w:t>
            </w:r>
          </w:p>
        </w:tc>
        <w:tc>
          <w:tcPr>
            <w:tcW w:w="10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Critical and</w:t>
            </w:r>
          </w:p>
        </w:tc>
        <w:tc>
          <w:tcPr>
            <w:tcW w:w="11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Implemented</w:t>
            </w:r>
          </w:p>
        </w:tc>
        <w:tc>
          <w:tcPr>
            <w:tcW w:w="220" w:type="dxa"/>
            <w:vAlign w:val="bottom"/>
          </w:tcPr>
          <w:p>
            <w:pPr>
              <w:spacing w:after="0"/>
              <w:rPr>
                <w:sz w:val="12"/>
                <w:szCs w:val="12"/>
                <w:color w:val="auto"/>
              </w:rPr>
            </w:pPr>
          </w:p>
        </w:tc>
        <w:tc>
          <w:tcPr>
            <w:tcW w:w="7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4,167</w:t>
            </w:r>
          </w:p>
        </w:tc>
        <w:tc>
          <w:tcPr>
            <w:tcW w:w="240" w:type="dxa"/>
            <w:vAlign w:val="bottom"/>
          </w:tcPr>
          <w:p>
            <w:pPr>
              <w:spacing w:after="0"/>
              <w:rPr>
                <w:sz w:val="12"/>
                <w:szCs w:val="12"/>
                <w:color w:val="auto"/>
              </w:rPr>
            </w:pPr>
          </w:p>
        </w:tc>
        <w:tc>
          <w:tcPr>
            <w:tcW w:w="72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3,994</w:t>
            </w:r>
          </w:p>
        </w:tc>
        <w:tc>
          <w:tcPr>
            <w:tcW w:w="240" w:type="dxa"/>
            <w:vAlign w:val="bottom"/>
          </w:tcPr>
          <w:p>
            <w:pPr>
              <w:spacing w:after="0"/>
              <w:rPr>
                <w:sz w:val="12"/>
                <w:szCs w:val="12"/>
                <w:color w:val="auto"/>
              </w:rPr>
            </w:pPr>
          </w:p>
        </w:tc>
        <w:tc>
          <w:tcPr>
            <w:tcW w:w="7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4,422</w:t>
            </w:r>
          </w:p>
        </w:tc>
        <w:tc>
          <w:tcPr>
            <w:tcW w:w="9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No</w:t>
            </w: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9/25/2020 -</w:t>
            </w:r>
          </w:p>
        </w:tc>
        <w:tc>
          <w:tcPr>
            <w:tcW w:w="0" w:type="dxa"/>
            <w:vAlign w:val="bottom"/>
          </w:tcPr>
          <w:p>
            <w:pPr>
              <w:spacing w:after="0"/>
              <w:rPr>
                <w:sz w:val="1"/>
                <w:szCs w:val="1"/>
                <w:color w:val="auto"/>
              </w:rPr>
            </w:pPr>
          </w:p>
        </w:tc>
      </w:tr>
      <w:tr>
        <w:trPr>
          <w:trHeight w:val="193"/>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Pension Plan</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001</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Declining</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Declining</w:t>
            </w: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6/5/2026</w:t>
            </w:r>
          </w:p>
        </w:tc>
        <w:tc>
          <w:tcPr>
            <w:tcW w:w="0" w:type="dxa"/>
            <w:vAlign w:val="bottom"/>
          </w:tcPr>
          <w:p>
            <w:pPr>
              <w:spacing w:after="0"/>
              <w:rPr>
                <w:sz w:val="1"/>
                <w:szCs w:val="1"/>
                <w:color w:val="auto"/>
              </w:rPr>
            </w:pPr>
          </w:p>
        </w:tc>
      </w:tr>
      <w:tr>
        <w:trPr>
          <w:trHeight w:val="144"/>
        </w:trPr>
        <w:tc>
          <w:tcPr>
            <w:tcW w:w="22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Pension Plan for Hospital &amp; Health</w:t>
            </w:r>
          </w:p>
        </w:tc>
        <w:tc>
          <w:tcPr>
            <w:tcW w:w="102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23-2627428/</w:t>
            </w:r>
          </w:p>
        </w:tc>
        <w:tc>
          <w:tcPr>
            <w:tcW w:w="96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Critical</w:t>
            </w:r>
          </w:p>
        </w:tc>
        <w:tc>
          <w:tcPr>
            <w:tcW w:w="100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w w:val="99"/>
              </w:rPr>
              <w:t>Critical</w:t>
            </w:r>
          </w:p>
        </w:tc>
        <w:tc>
          <w:tcPr>
            <w:tcW w:w="118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Implemented</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353</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354</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325</w:t>
            </w:r>
          </w:p>
        </w:tc>
        <w:tc>
          <w:tcPr>
            <w:tcW w:w="92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No</w:t>
            </w:r>
          </w:p>
        </w:tc>
        <w:tc>
          <w:tcPr>
            <w:tcW w:w="106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1/31/2023</w:t>
            </w: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Care Employees Philadelphia &amp;</w:t>
            </w:r>
          </w:p>
        </w:tc>
        <w:tc>
          <w:tcPr>
            <w:tcW w:w="10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001</w:t>
            </w:r>
          </w:p>
        </w:tc>
        <w:tc>
          <w:tcPr>
            <w:tcW w:w="9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Vicinity</w:t>
            </w:r>
          </w:p>
        </w:tc>
        <w:tc>
          <w:tcPr>
            <w:tcW w:w="10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SEIU National Industry Pension Fund</w:t>
            </w: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52-6148540/</w:t>
            </w: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Critical</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Critical</w:t>
            </w: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Implemented</w:t>
            </w:r>
          </w:p>
        </w:tc>
        <w:tc>
          <w:tcPr>
            <w:tcW w:w="2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795</w:t>
            </w:r>
          </w:p>
        </w:tc>
        <w:tc>
          <w:tcPr>
            <w:tcW w:w="2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750</w:t>
            </w:r>
          </w:p>
        </w:tc>
        <w:tc>
          <w:tcPr>
            <w:tcW w:w="2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685</w:t>
            </w: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No</w:t>
            </w:r>
          </w:p>
        </w:tc>
        <w:tc>
          <w:tcPr>
            <w:tcW w:w="10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4/14/2022 -</w:t>
            </w:r>
          </w:p>
        </w:tc>
        <w:tc>
          <w:tcPr>
            <w:tcW w:w="0" w:type="dxa"/>
            <w:vAlign w:val="bottom"/>
          </w:tcPr>
          <w:p>
            <w:pPr>
              <w:spacing w:after="0"/>
              <w:rPr>
                <w:sz w:val="1"/>
                <w:szCs w:val="1"/>
                <w:color w:val="auto"/>
              </w:rPr>
            </w:pPr>
          </w:p>
        </w:tc>
      </w:tr>
      <w:tr>
        <w:trPr>
          <w:trHeight w:val="121"/>
        </w:trPr>
        <w:tc>
          <w:tcPr>
            <w:tcW w:w="2280" w:type="dxa"/>
            <w:vAlign w:val="bottom"/>
          </w:tcPr>
          <w:p>
            <w:pPr>
              <w:ind w:left="20"/>
              <w:spacing w:after="0"/>
              <w:rPr>
                <w:sz w:val="20"/>
                <w:szCs w:val="20"/>
                <w:color w:val="auto"/>
              </w:rPr>
            </w:pPr>
            <w:r>
              <w:rPr>
                <w:rFonts w:ascii="Times New Roman" w:cs="Times New Roman" w:eastAsia="Times New Roman" w:hAnsi="Times New Roman"/>
                <w:sz w:val="9"/>
                <w:szCs w:val="9"/>
                <w:color w:val="auto"/>
              </w:rPr>
              <w:t>(1)</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001</w:t>
            </w:r>
          </w:p>
        </w:tc>
        <w:tc>
          <w:tcPr>
            <w:tcW w:w="9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12/31/2023</w:t>
            </w:r>
          </w:p>
        </w:tc>
        <w:tc>
          <w:tcPr>
            <w:tcW w:w="0" w:type="dxa"/>
            <w:vAlign w:val="bottom"/>
          </w:tcPr>
          <w:p>
            <w:pPr>
              <w:spacing w:after="0"/>
              <w:rPr>
                <w:sz w:val="1"/>
                <w:szCs w:val="1"/>
                <w:color w:val="auto"/>
              </w:rPr>
            </w:pPr>
          </w:p>
        </w:tc>
      </w:tr>
      <w:tr>
        <w:trPr>
          <w:trHeight w:val="76"/>
        </w:trPr>
        <w:tc>
          <w:tcPr>
            <w:tcW w:w="228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2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Retail Wholesale &amp; Department Store</w:t>
            </w:r>
          </w:p>
        </w:tc>
        <w:tc>
          <w:tcPr>
            <w:tcW w:w="102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63-0708442/</w:t>
            </w:r>
          </w:p>
        </w:tc>
        <w:tc>
          <w:tcPr>
            <w:tcW w:w="96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Critical and</w:t>
            </w:r>
          </w:p>
        </w:tc>
        <w:tc>
          <w:tcPr>
            <w:tcW w:w="100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w w:val="99"/>
              </w:rPr>
              <w:t>Critical</w:t>
            </w:r>
          </w:p>
        </w:tc>
        <w:tc>
          <w:tcPr>
            <w:tcW w:w="118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Implemented</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462</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510</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441</w:t>
            </w:r>
          </w:p>
        </w:tc>
        <w:tc>
          <w:tcPr>
            <w:tcW w:w="92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No</w:t>
            </w:r>
          </w:p>
        </w:tc>
        <w:tc>
          <w:tcPr>
            <w:tcW w:w="106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6/30/2021 -</w:t>
            </w: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International Union and Industry</w:t>
            </w:r>
          </w:p>
        </w:tc>
        <w:tc>
          <w:tcPr>
            <w:tcW w:w="10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001</w:t>
            </w:r>
          </w:p>
        </w:tc>
        <w:tc>
          <w:tcPr>
            <w:tcW w:w="9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Declining</w:t>
            </w:r>
          </w:p>
        </w:tc>
        <w:tc>
          <w:tcPr>
            <w:tcW w:w="10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1/31/2025</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Pension Fund</w:t>
            </w:r>
          </w:p>
        </w:tc>
        <w:tc>
          <w:tcPr>
            <w:tcW w:w="10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funds</w:t>
            </w:r>
          </w:p>
        </w:tc>
        <w:tc>
          <w:tcPr>
            <w:tcW w:w="102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16,113</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15,995</w:t>
            </w: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17,306</w:t>
            </w:r>
          </w:p>
        </w:tc>
        <w:tc>
          <w:tcPr>
            <w:tcW w:w="92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contributions</w:t>
            </w:r>
          </w:p>
        </w:tc>
        <w:tc>
          <w:tcPr>
            <w:tcW w:w="10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30,840</w:t>
            </w:r>
          </w:p>
        </w:tc>
        <w:tc>
          <w:tcPr>
            <w:tcW w:w="2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26,903</w:t>
            </w: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30,211</w:t>
            </w:r>
          </w:p>
        </w:tc>
        <w:tc>
          <w:tcPr>
            <w:tcW w:w="9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00" w:hanging="374"/>
        <w:spacing w:after="0"/>
        <w:tabs>
          <w:tab w:leader="none" w:pos="40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Over 75% of the Company's participants in this fund are covered by a single CBA that expires on 12/31/2023.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provided more than 5 percent of the total contributions for the following plans and plan years: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5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Contributions to the plan exceeded more than 5% of total contributions (as</w:t>
            </w:r>
          </w:p>
        </w:tc>
      </w:tr>
      <w:tr>
        <w:trPr>
          <w:trHeight w:val="214"/>
        </w:trPr>
        <w:tc>
          <w:tcPr>
            <w:tcW w:w="5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Fund</w:t>
            </w:r>
          </w:p>
        </w:tc>
        <w:tc>
          <w:tcPr>
            <w:tcW w:w="5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the plan's year-end)</w:t>
            </w:r>
          </w:p>
        </w:tc>
      </w:tr>
      <w:tr>
        <w:trPr>
          <w:trHeight w:val="198"/>
        </w:trPr>
        <w:tc>
          <w:tcPr>
            <w:tcW w:w="5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Local 1102 Retirement Trust</w:t>
            </w:r>
          </w:p>
        </w:tc>
        <w:tc>
          <w:tcPr>
            <w:tcW w:w="100" w:type="dxa"/>
            <w:vAlign w:val="bottom"/>
            <w:tcBorders>
              <w:top w:val="single" w:sz="8" w:color="CCEEFF"/>
            </w:tcBorders>
            <w:shd w:val="clear" w:color="auto" w:fill="CCEEFF"/>
          </w:tcPr>
          <w:p>
            <w:pPr>
              <w:spacing w:after="0"/>
              <w:rPr>
                <w:sz w:val="17"/>
                <w:szCs w:val="17"/>
                <w:color w:val="auto"/>
              </w:rPr>
            </w:pPr>
          </w:p>
        </w:tc>
        <w:tc>
          <w:tcPr>
            <w:tcW w:w="5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12/31/2020 and 12/31/2019</w:t>
            </w:r>
          </w:p>
        </w:tc>
      </w:tr>
      <w:tr>
        <w:trPr>
          <w:trHeight w:val="195"/>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National Retirement Fund</w:t>
            </w: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12/31/2020 and 12/31/2019</w:t>
            </w:r>
          </w:p>
        </w:tc>
      </w:tr>
      <w:tr>
        <w:trPr>
          <w:trHeight w:val="210"/>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Retail Wholesale &amp; Department Store International Union and Industry Pension Fund</w:t>
            </w:r>
          </w:p>
        </w:tc>
        <w:tc>
          <w:tcPr>
            <w:tcW w:w="5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12/31/2020 and 12/31/2019</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date the Company's financial statements were issued, Forms 5500 were not available for the plan years ending in fiscal 2022.</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Under this method, the Provision (Benefit) for Income Taxes represents income taxes payable or refundable for the current year plus the change in deferred taxes during the year. Deferred taxes result from differences between the financial and tax bases in assets and liabilities and are adjusted for changes in tax rates and enacted tax legislation. Valuation allowances are recorded to reduce deferred tax assets ("DTAs") when it is more likely than not that a tax benefit will not be realized.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(Loss) Before Income Taxes by source of income (loss) are as follows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October 1, 2021</w:t>
            </w:r>
          </w:p>
        </w:tc>
        <w:tc>
          <w:tcPr>
            <w:tcW w:w="240" w:type="dxa"/>
            <w:vAlign w:val="bottom"/>
          </w:tcPr>
          <w:p>
            <w:pPr>
              <w:spacing w:after="0"/>
              <w:rPr>
                <w:sz w:val="16"/>
                <w:szCs w:val="16"/>
                <w:color w:val="auto"/>
              </w:rPr>
            </w:pPr>
          </w:p>
        </w:tc>
        <w:tc>
          <w:tcPr>
            <w:tcW w:w="14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October 2, 2020</w:t>
            </w:r>
          </w:p>
        </w:tc>
        <w:tc>
          <w:tcPr>
            <w:tcW w:w="0" w:type="dxa"/>
            <w:vAlign w:val="bottom"/>
          </w:tcPr>
          <w:p>
            <w:pPr>
              <w:spacing w:after="0"/>
              <w:rPr>
                <w:sz w:val="1"/>
                <w:szCs w:val="1"/>
                <w:color w:val="auto"/>
              </w:rPr>
            </w:pPr>
          </w:p>
        </w:tc>
      </w:tr>
      <w:tr>
        <w:trPr>
          <w:trHeight w:val="229"/>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142,507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(147,735)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(291,436)</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Non-United States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113,131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(356,283)</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255,638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(647,719)</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Provision (Benefit) for Income Taxes consists of (in thousands):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59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October 1, 2021</w:t>
            </w:r>
          </w:p>
        </w:tc>
        <w:tc>
          <w:tcPr>
            <w:tcW w:w="240" w:type="dxa"/>
            <w:vAlign w:val="bottom"/>
          </w:tcPr>
          <w:p>
            <w:pPr>
              <w:spacing w:after="0"/>
              <w:rPr>
                <w:sz w:val="16"/>
                <w:szCs w:val="16"/>
                <w:color w:val="auto"/>
              </w:rPr>
            </w:pPr>
          </w:p>
        </w:tc>
        <w:tc>
          <w:tcPr>
            <w:tcW w:w="14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October 2, 2020</w:t>
            </w:r>
          </w:p>
        </w:tc>
        <w:tc>
          <w:tcPr>
            <w:tcW w:w="0" w:type="dxa"/>
            <w:vAlign w:val="bottom"/>
          </w:tcPr>
          <w:p>
            <w:pPr>
              <w:spacing w:after="0"/>
              <w:rPr>
                <w:sz w:val="1"/>
                <w:szCs w:val="1"/>
                <w:color w:val="auto"/>
              </w:rPr>
            </w:pPr>
          </w:p>
        </w:tc>
      </w:tr>
      <w:tr>
        <w:trPr>
          <w:trHeight w:val="216"/>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Federal</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(69,399)</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State and local</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w:t>
            </w:r>
          </w:p>
        </w:tc>
        <w:tc>
          <w:tcPr>
            <w:tcW w:w="0" w:type="dxa"/>
            <w:vAlign w:val="bottom"/>
          </w:tcPr>
          <w:p>
            <w:pPr>
              <w:spacing w:after="0"/>
              <w:rPr>
                <w:sz w:val="1"/>
                <w:szCs w:val="1"/>
                <w:color w:val="auto"/>
              </w:rPr>
            </w:pPr>
          </w:p>
        </w:tc>
      </w:tr>
      <w:tr>
        <w:trPr>
          <w:trHeight w:val="229"/>
        </w:trPr>
        <w:tc>
          <w:tcPr>
            <w:tcW w:w="59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Non-United States</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21,779</w:t>
            </w:r>
          </w:p>
        </w:tc>
        <w:tc>
          <w:tcPr>
            <w:tcW w:w="0" w:type="dxa"/>
            <w:vAlign w:val="bottom"/>
          </w:tcPr>
          <w:p>
            <w:pPr>
              <w:spacing w:after="0"/>
              <w:rPr>
                <w:sz w:val="1"/>
                <w:szCs w:val="1"/>
                <w:color w:val="auto"/>
              </w:rPr>
            </w:pPr>
          </w:p>
        </w:tc>
      </w:tr>
      <w:tr>
        <w:trPr>
          <w:trHeight w:val="223"/>
        </w:trPr>
        <w:tc>
          <w:tcPr>
            <w:tcW w:w="5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(52,236)</w:t>
            </w:r>
          </w:p>
        </w:tc>
        <w:tc>
          <w:tcPr>
            <w:tcW w:w="0" w:type="dxa"/>
            <w:vAlign w:val="bottom"/>
          </w:tcPr>
          <w:p>
            <w:pPr>
              <w:spacing w:after="0"/>
              <w:rPr>
                <w:sz w:val="1"/>
                <w:szCs w:val="1"/>
                <w:color w:val="auto"/>
              </w:rPr>
            </w:pPr>
          </w:p>
        </w:tc>
      </w:tr>
      <w:tr>
        <w:trPr>
          <w:trHeight w:val="20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Federal</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(79,054)</w:t>
            </w:r>
          </w:p>
        </w:tc>
        <w:tc>
          <w:tcPr>
            <w:tcW w:w="0" w:type="dxa"/>
            <w:vAlign w:val="bottom"/>
          </w:tcPr>
          <w:p>
            <w:pPr>
              <w:spacing w:after="0"/>
              <w:rPr>
                <w:sz w:val="1"/>
                <w:szCs w:val="1"/>
                <w:color w:val="auto"/>
              </w:rPr>
            </w:pPr>
          </w:p>
        </w:tc>
      </w:tr>
      <w:tr>
        <w:trPr>
          <w:trHeight w:val="229"/>
        </w:trPr>
        <w:tc>
          <w:tcPr>
            <w:tcW w:w="5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State and local</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(19,627)</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Non-United States</w:t>
            </w: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(35,367)</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35,422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(43,234)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(134,048)</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61,461</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(186,284)</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During fiscal 2021, the Current Provision (Benefit) for Income Taxes includes $16.7 million of tax expense related to an increase in unrecognized tax benefits, offset by a tax benefit of $13.8 million to the Deferred Provision (Benefit) for Income Taxes related to a corresponding decrease in deferred tax liabilities, resulting in a net tax expense to the "Provision (Benefit) for Income Taxes" on the Consolidated Statements of Income (Loss) of $2.9 million related to unrecognized tax benefits.</w:t>
      </w:r>
    </w:p>
    <w:p>
      <w:pPr>
        <w:spacing w:after="0" w:line="4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Current taxes receivable of $10.8 million and $23.5 million at September 30, 2022 and October 1, 2021, respectively, are included in "Prepayments and other current assets" on the Consolidated Balance Sheets. Current income taxes payable of $2.6 million and $0.3 million at September 30, 2022 and October 1, 2021, respectively, are included in "Accrued expenses and other current liabilities" on the Consolidated Balance Sheets. During fiscal 2021, the Company received $93.6 million of proceeds related to the fiscal 2020 income tax return from the net operating losses ("NOLs") generated in fiscal 2020 as a result of the CARES Act.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Provision (Benefit) for Income Taxes varies from the amount determined by applying the United States Federal statutory rate to Income (Loss) Before Income Taxes as a result of the following (all percentages are as a percentage of Income (Loss) Before Income Taxes):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760" w:type="dxa"/>
            <w:vAlign w:val="bottom"/>
          </w:tcPr>
          <w:p>
            <w:pPr>
              <w:spacing w:after="0"/>
              <w:rPr>
                <w:sz w:val="16"/>
                <w:szCs w:val="16"/>
                <w:color w:val="auto"/>
              </w:rPr>
            </w:pPr>
          </w:p>
        </w:tc>
      </w:tr>
      <w:tr>
        <w:trPr>
          <w:trHeight w:val="23"/>
        </w:trPr>
        <w:tc>
          <w:tcPr>
            <w:tcW w:w="5700" w:type="dxa"/>
            <w:vAlign w:val="bottom"/>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90"/>
        </w:trPr>
        <w:tc>
          <w:tcPr>
            <w:tcW w:w="5700" w:type="dxa"/>
            <w:vAlign w:val="bottom"/>
          </w:tcPr>
          <w:p>
            <w:pPr>
              <w:spacing w:after="0"/>
              <w:rPr>
                <w:sz w:val="16"/>
                <w:szCs w:val="16"/>
                <w:color w:val="auto"/>
              </w:rPr>
            </w:pPr>
          </w:p>
        </w:tc>
        <w:tc>
          <w:tcPr>
            <w:tcW w:w="18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October 1, 2021</w:t>
            </w:r>
          </w:p>
        </w:tc>
        <w:tc>
          <w:tcPr>
            <w:tcW w:w="176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October 2, 2020</w:t>
            </w:r>
          </w:p>
        </w:tc>
      </w:tr>
      <w:tr>
        <w:trPr>
          <w:trHeight w:val="229"/>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statutory income tax rate</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taxes, resulting from:</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5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17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5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Foreign taxes</w:t>
            </w:r>
          </w:p>
        </w:tc>
        <w:tc>
          <w:tcPr>
            <w:tcW w:w="17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1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17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5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Foreign valuation allowances</w:t>
            </w:r>
          </w:p>
        </w:tc>
        <w:tc>
          <w:tcPr>
            <w:tcW w:w="17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5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Foreign goodwill impairment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5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Permanent book/tax differences</w:t>
            </w:r>
          </w:p>
        </w:tc>
        <w:tc>
          <w:tcPr>
            <w:tcW w:w="17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5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Uncertain tax positions</w:t>
            </w:r>
          </w:p>
        </w:tc>
        <w:tc>
          <w:tcPr>
            <w:tcW w:w="17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17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5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Foreign tax credit valuation allowance</w:t>
            </w:r>
          </w:p>
        </w:tc>
        <w:tc>
          <w:tcPr>
            <w:tcW w:w="17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Stock compensation</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5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CARES Act - Carryback rate differential</w:t>
            </w:r>
          </w:p>
        </w:tc>
        <w:tc>
          <w:tcPr>
            <w:tcW w:w="1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9.8</w:t>
            </w:r>
          </w:p>
        </w:tc>
      </w:tr>
      <w:tr>
        <w:trPr>
          <w:trHeight w:val="230"/>
        </w:trPr>
        <w:tc>
          <w:tcPr>
            <w:tcW w:w="5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Canada Defined Benefit Pension Plan Termination</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17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Pennsylvania Rate Change Impact</w:t>
            </w:r>
          </w:p>
        </w:tc>
        <w:tc>
          <w:tcPr>
            <w:tcW w:w="17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7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Tax credits &amp; other</w:t>
            </w:r>
          </w:p>
        </w:tc>
        <w:tc>
          <w:tcPr>
            <w:tcW w:w="17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0.9</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30.6 %</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28.8 %</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effective tax rate is based on expected income, statutory tax rates and tax planning opportunities available to the Company in the various jurisdictions in which it operates. Judgment is required in determining the effective tax rate and in evaluating the tax return positions. Reserves are established when positions are "more likely than not" to be challenged and not sustained. Reserves are adjusted at each financial statement date to reflect the impact of audit settlements, expiration of statutes of limitation, developments in tax law and ongoing discussions with tax authorities. Accrued interest and penalties associated with uncertain tax positions are recognized as part of the income tax provision.</w:t>
      </w:r>
    </w:p>
    <w:p>
      <w:pPr>
        <w:spacing w:after="0" w:line="48"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As of each reporting date, the Company considers existing evidence, both positive and negative, that could impact the need for valuation allowances against DTAs. During fiscal 2022, the Company recorded a benefit to the "Provision (Benefit) for Income Taxes" within the Consolidated Statements of Income (Loss) of $8.5 million for the reversal of a valuation allowance at a subsidiary in the FSS International segment. The valuation allowance reversal was driven by the Company's ability to utilize the DTAs based on future taxable income expected due to the acquisition of a business. During fiscal 2021, the Company recorded a valuation allowance against DTAs based on cumulative losses in certain subsidiaries in the FSS International segment of $22.0 million to the "Provision (Benefit) for Income Taxes" on the Consolidated Statements of Income (Loss). The Company continues to monitor operating performance and believes that based on future reversals of deferred tax liabilities ("DTLs") and future taxable income, it is more likely than not that the remaining NOL carryforwards and DTAs will be realized.</w:t>
      </w:r>
    </w:p>
    <w:p>
      <w:pPr>
        <w:spacing w:after="0" w:line="30" w:lineRule="exact"/>
        <w:rPr>
          <w:sz w:val="20"/>
          <w:szCs w:val="20"/>
          <w:color w:val="auto"/>
        </w:rPr>
      </w:pPr>
    </w:p>
    <w:p>
      <w:pPr>
        <w:jc w:val="both"/>
        <w:ind w:right="220"/>
        <w:spacing w:after="0" w:line="281" w:lineRule="auto"/>
        <w:rPr>
          <w:sz w:val="20"/>
          <w:szCs w:val="20"/>
          <w:color w:val="auto"/>
        </w:rPr>
      </w:pPr>
      <w:r>
        <w:rPr>
          <w:rFonts w:ascii="Times New Roman" w:cs="Times New Roman" w:eastAsia="Times New Roman" w:hAnsi="Times New Roman"/>
          <w:sz w:val="17"/>
          <w:szCs w:val="17"/>
          <w:color w:val="auto"/>
        </w:rPr>
        <w:t>On July 8, 2022, Pennsylvania enacted a corporate net income tax rate reduction over a nine year period. The income tax rate for the 2022 and 2023 tax years are 9.99% and 8.99%, respectively. Starting with the 2024 tax year, the income tax rate is reduced by 0.50% annually until it reaches 4.99% for the 2031 tax year. The Company calculated the impact of the income tax rate reduction on the DTA and DTL balances at September 30, 2022 and recorded a net benefit of $4.2 million to the "Provision (Benefit) for Income Taxes" within the Consolidated Statements of Income (Loss) during fiscal 2022.</w:t>
      </w:r>
    </w:p>
    <w:p>
      <w:pPr>
        <w:spacing w:after="0" w:line="4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March 27, 2020, the CARES Act was enacted in response to COVID-19. The CARES Act, among other things, permitted NOLs incurred in fiscal 2019, 2020 and 2021 to be carried back to each of the five preceding taxable years to generate a refund of previously paid income taxes. NOLs arising in fiscal 2019, 2020, or 2021 are created in years that have a 21.0% federal income tax rate. If these NOLs are carried back to years prior to fiscal 2018, the resulting refund would be in years with a 35.0% federal income tax rate.</w:t>
      </w:r>
    </w:p>
    <w:p>
      <w:pPr>
        <w:spacing w:after="0" w:line="5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During fiscal 2021, the Company recorded, as a result of the CARES Act, a net benefit to the "Provision (Benefit) for Income Taxes" on the Consolidated Statements of Income (Loss) of $12.0 million, of which $50.3 million reflects the NOLs expected to be carried back to Pre-Tax Cuts and Jobs Act ("TCJA") years at 35.0% as opposed to the current year rate of 21.0%, which more than offsets the $36.5 million valuation allowance on DTAs related to foreign tax credit ("FTC") carryforwards and $1.8 million of tax benefits eliminated by the NOLs carried back. For the fiscal year ended October 1, 2021, the NOL carryback</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generated a $3.7 million current taxes receivable, along with $71.3 million of FTCs and $11.0 million of general business credits that will be used to offset future federal income tax liabilities.</w:t>
      </w:r>
    </w:p>
    <w:p>
      <w:pPr>
        <w:spacing w:after="0" w:line="2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recorded a net benefit to the "Provision (Benefit) for Income Taxes" on the Consolidated Statements of Income (Loss) of $4.0 million during fiscal 2021 related to the release of certain stranded tax effects when the Company terminated certain Canadian pension plans (see Note 9).</w:t>
      </w:r>
    </w:p>
    <w:p>
      <w:pPr>
        <w:spacing w:after="0" w:line="4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During fiscal 2020, the Company recorded, as a result of the CARES Act, a net benefit to the "Provision (Benefit) for Income Taxes" on the Consolidated Statements of Income (Loss) of $58.4 million, of which $63.4 million reflects the NOLs expected to be carried back to Pre-TCJA years at 35.0% as opposed to the current year rate of 21.0%. The Company also re-established certain reserves of $5.0 million, which expired due to statutes but were re-opened due to the carryback period. During fiscal 2020, the NOL carryback generated a $62.1 million income tax receivable, along with $65.1 million of FTCs and $35.9 million of general business credits that will be used to offset future federal income tax liabilities.</w:t>
      </w:r>
    </w:p>
    <w:p>
      <w:pPr>
        <w:spacing w:after="0" w:line="62"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During fiscal 2020, based on cumulative losses and the goodwill impairment recorded in the FSS International segment of $198.6 million (see Note 4) as negative evidence, the Company recorded a valuation allowance against DTAs of certain foreign subsidiaries of $21.4 million. The goodwill impairment charge was nondeductible for income tax purposes.</w:t>
      </w:r>
    </w:p>
    <w:p>
      <w:pPr>
        <w:spacing w:after="0" w:line="1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effective tax rate for the fiscal year ended October 2, 2020 also included an income tax benefit of $46.2 million, as a result of an excess tax benefit recognized in relation to equity awards exercised during fiscal 2020, including by the former Chairman, President and Chief Executive Officer. This benefit reflects a federal tax rate of 35.0% due to the NOL being carried back to pre-TCJA tax years.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2022 and October 1, 2021, the components of Deferred Income Taxes are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40" w:type="dxa"/>
            <w:vAlign w:val="bottom"/>
          </w:tcPr>
          <w:p>
            <w:pPr>
              <w:spacing w:after="0"/>
              <w:rPr>
                <w:sz w:val="16"/>
                <w:szCs w:val="16"/>
                <w:color w:val="auto"/>
              </w:rPr>
            </w:pPr>
          </w:p>
        </w:tc>
        <w:tc>
          <w:tcPr>
            <w:tcW w:w="146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October 1, 2021</w:t>
            </w:r>
          </w:p>
        </w:tc>
        <w:tc>
          <w:tcPr>
            <w:tcW w:w="0" w:type="dxa"/>
            <w:vAlign w:val="bottom"/>
          </w:tcPr>
          <w:p>
            <w:pPr>
              <w:spacing w:after="0"/>
              <w:rPr>
                <w:sz w:val="1"/>
                <w:szCs w:val="1"/>
                <w:color w:val="auto"/>
              </w:rPr>
            </w:pPr>
          </w:p>
        </w:tc>
      </w:tr>
      <w:tr>
        <w:trPr>
          <w:trHeight w:val="23"/>
        </w:trPr>
        <w:tc>
          <w:tcPr>
            <w:tcW w:w="7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Derivatives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40,325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Property and equipment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114,435</w:t>
            </w:r>
          </w:p>
        </w:tc>
        <w:tc>
          <w:tcPr>
            <w:tcW w:w="0" w:type="dxa"/>
            <w:vAlign w:val="bottom"/>
          </w:tcPr>
          <w:p>
            <w:pPr>
              <w:spacing w:after="0"/>
              <w:rPr>
                <w:sz w:val="1"/>
                <w:szCs w:val="1"/>
                <w:color w:val="auto"/>
              </w:rPr>
            </w:pPr>
          </w:p>
        </w:tc>
      </w:tr>
      <w:tr>
        <w:trPr>
          <w:trHeight w:val="229"/>
        </w:trPr>
        <w:tc>
          <w:tcPr>
            <w:tcW w:w="7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41,631</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intangible assets, including goodwill</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606,211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544,649</w:t>
            </w:r>
          </w:p>
        </w:tc>
        <w:tc>
          <w:tcPr>
            <w:tcW w:w="0" w:type="dxa"/>
            <w:vAlign w:val="bottom"/>
          </w:tcPr>
          <w:p>
            <w:pPr>
              <w:spacing w:after="0"/>
              <w:rPr>
                <w:sz w:val="1"/>
                <w:szCs w:val="1"/>
                <w:color w:val="auto"/>
              </w:rPr>
            </w:pPr>
          </w:p>
        </w:tc>
      </w:tr>
      <w:tr>
        <w:trPr>
          <w:trHeight w:val="230"/>
        </w:trPr>
        <w:tc>
          <w:tcPr>
            <w:tcW w:w="7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Cost to fulfill - Rental merchandise in-service</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59,188</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88,824</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25,401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26,186</w:t>
            </w: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Gross deferred tax liability</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954,747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874,913</w:t>
            </w:r>
          </w:p>
        </w:tc>
        <w:tc>
          <w:tcPr>
            <w:tcW w:w="0" w:type="dxa"/>
            <w:vAlign w:val="bottom"/>
          </w:tcPr>
          <w:p>
            <w:pPr>
              <w:spacing w:after="0"/>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Derivatives</w:t>
            </w:r>
          </w:p>
        </w:tc>
        <w:tc>
          <w:tcPr>
            <w:tcW w:w="1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17,288</w:t>
            </w:r>
          </w:p>
        </w:tc>
        <w:tc>
          <w:tcPr>
            <w:tcW w:w="0" w:type="dxa"/>
            <w:vAlign w:val="bottom"/>
          </w:tcPr>
          <w:p>
            <w:pPr>
              <w:spacing w:after="0"/>
              <w:rPr>
                <w:sz w:val="1"/>
                <w:szCs w:val="1"/>
                <w:color w:val="auto"/>
              </w:rPr>
            </w:pPr>
          </w:p>
        </w:tc>
      </w:tr>
      <w:tr>
        <w:trPr>
          <w:trHeight w:val="230"/>
        </w:trPr>
        <w:tc>
          <w:tcPr>
            <w:tcW w:w="7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Insurance</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18,758</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104,980</w:t>
            </w:r>
          </w:p>
        </w:tc>
        <w:tc>
          <w:tcPr>
            <w:tcW w:w="0" w:type="dxa"/>
            <w:vAlign w:val="bottom"/>
          </w:tcPr>
          <w:p>
            <w:pPr>
              <w:spacing w:after="0"/>
              <w:rPr>
                <w:sz w:val="1"/>
                <w:szCs w:val="1"/>
                <w:color w:val="auto"/>
              </w:rPr>
            </w:pPr>
          </w:p>
        </w:tc>
      </w:tr>
      <w:tr>
        <w:trPr>
          <w:trHeight w:val="230"/>
        </w:trPr>
        <w:tc>
          <w:tcPr>
            <w:tcW w:w="7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Accruals and allowances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32,457</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97,505</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NOL/credit carryforwards and other</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345,119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364,751</w:t>
            </w: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Gross deferred tax asset, before valuation allowances</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567,968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635,739</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Valuation allowances</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(83,827)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(97,472)</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336,646</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Rollforward of the valuation allowance is as follows: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77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40" w:type="dxa"/>
            <w:vAlign w:val="bottom"/>
          </w:tcPr>
          <w:p>
            <w:pPr>
              <w:spacing w:after="0"/>
              <w:rPr>
                <w:sz w:val="24"/>
                <w:szCs w:val="24"/>
                <w:color w:val="auto"/>
              </w:rPr>
            </w:pPr>
          </w:p>
        </w:tc>
        <w:tc>
          <w:tcPr>
            <w:tcW w:w="146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October 1, 2021</w:t>
            </w:r>
          </w:p>
        </w:tc>
        <w:tc>
          <w:tcPr>
            <w:tcW w:w="0" w:type="dxa"/>
            <w:vAlign w:val="bottom"/>
          </w:tcPr>
          <w:p>
            <w:pPr>
              <w:spacing w:after="0"/>
              <w:rPr>
                <w:sz w:val="1"/>
                <w:szCs w:val="1"/>
                <w:color w:val="auto"/>
              </w:rPr>
            </w:pPr>
          </w:p>
        </w:tc>
      </w:tr>
      <w:tr>
        <w:trPr>
          <w:trHeight w:val="23"/>
        </w:trPr>
        <w:tc>
          <w:tcPr>
            <w:tcW w:w="7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(38,977)</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Additions</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(58,495)</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Subtractions</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(83,827)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(97,472)</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ind w:left="360" w:hanging="334"/>
        <w:spacing w:after="0"/>
        <w:tabs>
          <w:tab w:leader="none" w:pos="36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additions in fiscal 2021 mainly driven by cumulative losses in certain foreign subsidiaries and valuation allowances against FTCs, which are not expected to be utilized before their expiration dates.</w:t>
      </w:r>
    </w:p>
    <w:p>
      <w:pPr>
        <w:spacing w:after="0" w:line="26" w:lineRule="exact"/>
        <w:rPr>
          <w:rFonts w:ascii="Times New Roman" w:cs="Times New Roman" w:eastAsia="Times New Roman" w:hAnsi="Times New Roman"/>
          <w:sz w:val="13"/>
          <w:szCs w:val="13"/>
          <w:color w:val="auto"/>
        </w:rPr>
      </w:pPr>
    </w:p>
    <w:p>
      <w:pPr>
        <w:ind w:left="360" w:right="20" w:hanging="334"/>
        <w:spacing w:after="0" w:line="229" w:lineRule="auto"/>
        <w:tabs>
          <w:tab w:leader="none" w:pos="36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subtractions in fiscal 2022 mainly driven by the reversal of a valuation allowance based on future taxable income expected due to the acquisition of a business in the FSS International segment and the reversal of valuation allowances related to pensions.</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DTLs of $501.4 million and $383.2 million as of September 30, 2022 and October 1, 2021, respectively, are included in "Deferred Income Taxes and Other Noncurrent Liabilities" on the Consolidated Balance Sheets. DTAs of $30.8 million and $46.6 million as of September 30, 2022 and October 1, 2021, respectively, are included in "Other Assets" on the Consolidated Balance Sheets.</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of September 30, 2022, certain subsidiaries have recorded DTAs of $111.0 million associated with accumulated federal, state and foreign NOL carryforwards. The Company believes it is more likely than not that the benefit from certain state and foreign NOL carryforwards will not be realized. As a result, the Company has a valuation allowance of $48.0 million on the DTAs related to these state and foreign NOL carryforwards as of September 30, 2022. State NOL carryforwards generally begin to expire in 2024 and foreign NOL carryforwards generally have no expiration date.</w:t>
      </w:r>
    </w:p>
    <w:p>
      <w:pPr>
        <w:spacing w:after="0" w:line="45"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As of September 30, 2022, the Company has $200.9 million of FTC carryforwards, which begin to expire in 2026, along with $28.8 million of general business credits, which begin to expire in 2035, and $1.7 million of state interest restriction carryforwards, which do not expire. The Company has a valuation allowance of $35.8 million on the DTAs related to FTC carryforwards as of September 30, 2022.</w:t>
      </w:r>
    </w:p>
    <w:p>
      <w:pPr>
        <w:spacing w:after="0" w:line="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Undistributed earnings of certain foreign subsidiaries for which no DTL was recorded amounted to approximately $347.2 million and $329.0 million as of September 30, 2022 and October 1, 2021, respectively. The foreign withholding tax cost associated with remitting these earnings is $20.4 million and $19.8 million as of September 30, 2022 and October 1, 2021, respectively. Such amounts have not been accrued by the Company as it believes those foreign earnings are permanently reinvested.</w:t>
      </w:r>
    </w:p>
    <w:p>
      <w:pPr>
        <w:spacing w:after="0" w:line="5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has $80.2 million of total gross unrecognized tax benefits as of September 30, 2022, of which $54.7 million, if recognized, would impact the effective tax rate and $25.5 million would result in an adjustment to the DTL.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gross unrecognized tax benefits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40" w:type="dxa"/>
            <w:vAlign w:val="bottom"/>
          </w:tcPr>
          <w:p>
            <w:pPr>
              <w:spacing w:after="0"/>
              <w:rPr>
                <w:sz w:val="16"/>
                <w:szCs w:val="16"/>
                <w:color w:val="auto"/>
              </w:rPr>
            </w:pPr>
          </w:p>
        </w:tc>
        <w:tc>
          <w:tcPr>
            <w:tcW w:w="14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October 1, 2021</w:t>
            </w:r>
          </w:p>
        </w:tc>
      </w:tr>
      <w:tr>
        <w:trPr>
          <w:trHeight w:val="23"/>
        </w:trPr>
        <w:tc>
          <w:tcPr>
            <w:tcW w:w="7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34,578</w:t>
            </w: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taken in the current year</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30"/>
        </w:trPr>
        <w:tc>
          <w:tcPr>
            <w:tcW w:w="7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Additions for tax positions taken in prior years</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32,589</w:t>
            </w: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for remeasurements, settlements and payments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w:t>
            </w: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due to statute expiration</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80,220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65,414</w:t>
            </w:r>
          </w:p>
        </w:tc>
      </w:tr>
      <w:tr>
        <w:trPr>
          <w:trHeight w:val="21"/>
        </w:trPr>
        <w:tc>
          <w:tcPr>
            <w:tcW w:w="7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60" w:hanging="334"/>
        <w:spacing w:after="0"/>
        <w:tabs>
          <w:tab w:leader="none" w:pos="36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a $16.2 million reclass from deferred income tax liabilities for a position taken in prior years primarily related to tangible property.</w:t>
      </w:r>
    </w:p>
    <w:p>
      <w:pPr>
        <w:spacing w:after="0" w:line="20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Company has $9.7 million and $6.6 million accrued for interest and penalties as of September 30, 2022 and October 1, 2021, respectively, in the Consolidated Balance Sheets and recorded $3.1 million and $2.0 million in interest and penalties during fiscal 2022 and fiscal 2021, respectively in the Consolidated Statements of Income (Loss). Interest and penalties related to unrecognized tax benefits are recorded in "Provision (Benefit) for Income Taxes" on the Consolidated Statements of Income (Loss). The Company has $20.2 million of general business credits and $7.6 million of FTCs that will reduce the gross unrecognized tax benefit.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Unrecognized tax benefits are not expected to significantly change within the next 12 months.</w:t>
      </w:r>
    </w:p>
    <w:p>
      <w:pPr>
        <w:spacing w:after="0" w:line="10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Generally, a number of years may elapse before a tax reporting year is audited and finally resolved. With few exceptions, the Company is no longer subject to United States federal, state or local examinations by tax authorities before 2015. While it is often difficult to predict the final outcome or the timing of or resolution of a particular tax matter, the Company does not anticipate any adjustments resulting from United States federal, state or foreign tax audits that would result in a material change to the financial condition or results of operations. Adequate amounts are established for any adjustments that may result from examinations for tax years after 2015. However, an unfavorable settlement of a particular issue would require use of the Company's cash and cash equivalents.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STOCKHOLDERS' EQUITY:</w:t>
      </w:r>
    </w:p>
    <w:p>
      <w:pPr>
        <w:spacing w:after="0" w:line="9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On August 6, 2019, the Company's Board of Directors authorized a new share repurchase program providing for purchases up to $200.0 million of Aramark common stock through July 2022. During fiscal 2020, the Company completed a repurchase of 0.3 million shares of its common stock for $6.5 million under this program.</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cash dividend payments to its stockholders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4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1, 2021</w:t>
            </w:r>
          </w:p>
        </w:tc>
        <w:tc>
          <w:tcPr>
            <w:tcW w:w="220" w:type="dxa"/>
            <w:vAlign w:val="bottom"/>
          </w:tcPr>
          <w:p>
            <w:pPr>
              <w:spacing w:after="0"/>
              <w:rPr>
                <w:sz w:val="16"/>
                <w:szCs w:val="16"/>
                <w:color w:val="auto"/>
              </w:rPr>
            </w:pPr>
          </w:p>
        </w:tc>
        <w:tc>
          <w:tcPr>
            <w:tcW w:w="146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October 2, 2020</w:t>
            </w:r>
          </w:p>
        </w:tc>
      </w:tr>
      <w:tr>
        <w:trPr>
          <w:trHeight w:val="23"/>
        </w:trPr>
        <w:tc>
          <w:tcPr>
            <w:tcW w:w="5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payments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r>
    </w:tbl>
    <w:p>
      <w:pPr>
        <w:spacing w:after="0" w:line="15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November 8, 2022, a $0.11 dividend per share of common stock was declared, payable on December 5, 2022, to shareholders of record on the close of business on November 22, 2022.</w:t>
      </w:r>
    </w:p>
    <w:p>
      <w:pPr>
        <w:spacing w:after="0" w:line="4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has 100.0 million shares of preferred stock authorized, with a par value of $0.01 per share. At September 30, 2022 and October 1, 2021, zero shares of preferred stock were issued or outstanding.</w:t>
      </w:r>
    </w:p>
    <w:p>
      <w:pPr>
        <w:spacing w:after="0" w:line="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During fiscal 2020, MR BridgeStone Advisor LLC (“Mantle Ridge”), on behalf of itself and its affiliated funds (such funds, together with Mantle Ridge, collectively, the “Mantle Ridge Group”), transferred cash proceeds of $14.8 million to the Company to fulfill obligations deriving from the short-swing profit provisions of Section 16(b) of the Securities Exchange Act of 1934. These obligations related to the Mantle Ridge Group's trading activity in the Company's common stock. The cash proceeds are reflected in "Other financing activities" on the Consolidated Statements of Cash Flows for the fiscal year ended October 2, 2020. The cash proceeds resulted in the Company recording an income tax provision of $4.1 million in the Consolidated Statements of Income (Loss) for the fiscal year ended of October 2, 2020.</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SHARE-BASED COMPENSATION:</w:t>
      </w:r>
    </w:p>
    <w:p>
      <w:pPr>
        <w:spacing w:after="0" w:line="10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November 12, 2013, the Board of Directors approved, and the stockholders of Aramark adopted by written consent, the Aramark 2013 Stock Incentive Plan (the "Old 2013 Stock Plan"), which became effective on December 1, 2013 and the amended and restated Old 2013 Stock Plan was approved by the Board of Directors on November 9, 2016 and approved by the stockholders of Aramark on February 1, 2017 (as amended, the "2013 Stock Plan"). The 2013 Stock Plan provides that the total number of shares of common stock that may be issued under the 2013 Stock Plan is 25.5 million. On January 29, 2020, the Company's stockholders approved the Second Amended and Restated 2013 Stock Incentive Plan, which amended and restated the 2013 Stock Plan. The Second Amended and Restated 2013 Stock Incentive Plan provides for up to 7.5 million of new shares authorized for issuance to participants, in addition to the shares that remained available for issuance under the 2013 Stock Plan as of January 29, 2020 that are not subject to outstanding awards under the 2013 Stock Plan. On February 2, 2021, the Company's stockholders approved the Third Amended and Restated 2013 Stock Incentive Plan, which amended and restated the Company's 2013 Incentive Plan last amended on January 29, 2020. The Third Amended and Restated 2013 Stock Incentive Plan provides for up to 3.5 million of new shares authorized for issuance to participants, in addition to the shares that remained available for issuance under the 2013 Incentive Plan as of February 2, 2021.</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The following table summarizes the share-based compensation expense (reversal) and related information for Time-Based Options ("TBOs"), Retention Time-Based Options ("TBO-Rs"), Time-Based Restricted Stock Units ("RSUs"), Performance Stock Units ("PSUs"), Deferred Stock Units and Employee Stock Purchase Plan ("ESPP") recorded within "Selling and general corporate expenses" on the Consolidated Statements of Income (Loss) (in millions).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3"/>
        </w:trPr>
        <w:tc>
          <w:tcPr>
            <w:tcW w:w="5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0"/>
        </w:trPr>
        <w:tc>
          <w:tcPr>
            <w:tcW w:w="5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8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October 1, 2021</w:t>
            </w:r>
          </w:p>
        </w:tc>
        <w:tc>
          <w:tcPr>
            <w:tcW w:w="220" w:type="dxa"/>
            <w:vAlign w:val="bottom"/>
          </w:tcPr>
          <w:p>
            <w:pPr>
              <w:spacing w:after="0"/>
              <w:rPr>
                <w:sz w:val="16"/>
                <w:szCs w:val="16"/>
                <w:color w:val="auto"/>
              </w:rPr>
            </w:pPr>
          </w:p>
        </w:tc>
        <w:tc>
          <w:tcPr>
            <w:tcW w:w="146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October 2, 2020</w:t>
            </w:r>
          </w:p>
        </w:tc>
      </w:tr>
      <w:tr>
        <w:trPr>
          <w:trHeight w:val="229"/>
        </w:trPr>
        <w:tc>
          <w:tcPr>
            <w:tcW w:w="5940" w:type="dxa"/>
            <w:vAlign w:val="bottom"/>
            <w:tcBorders>
              <w:top w:val="single" w:sz="8" w:color="CCEEFF"/>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TBOs</w:t>
            </w:r>
            <w:r>
              <w:rPr>
                <w:rFonts w:ascii="Times New Roman" w:cs="Times New Roman" w:eastAsia="Times New Roman" w:hAnsi="Times New Roman"/>
                <w:sz w:val="23"/>
                <w:szCs w:val="23"/>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TBO-Rs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5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RSUs</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29"/>
        </w:trPr>
        <w:tc>
          <w:tcPr>
            <w:tcW w:w="5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PSUs</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Stock Units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59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ESPP</w:t>
            </w:r>
            <w:r>
              <w:rPr>
                <w:rFonts w:ascii="Times New Roman" w:cs="Times New Roman" w:eastAsia="Times New Roman" w:hAnsi="Times New Roman"/>
                <w:sz w:val="23"/>
                <w:szCs w:val="23"/>
                <w:color w:val="auto"/>
                <w:vertAlign w:val="superscript"/>
              </w:rPr>
              <w:t>(3)</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9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related to share-based compensation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Received from Option Exercises/ESPP Purchases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30"/>
        </w:trPr>
        <w:tc>
          <w:tcPr>
            <w:tcW w:w="5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Tax Benefit on Share Deliveries </w:t>
            </w:r>
            <w:r>
              <w:rPr>
                <w:rFonts w:ascii="Times New Roman" w:cs="Times New Roman" w:eastAsia="Times New Roman" w:hAnsi="Times New Roman"/>
                <w:sz w:val="23"/>
                <w:szCs w:val="23"/>
                <w:color w:val="auto"/>
                <w:vertAlign w:val="superscript"/>
              </w:rPr>
              <w:t>(4)</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r>
    </w:tbl>
    <w:p>
      <w:pPr>
        <w:spacing w:after="0" w:line="211" w:lineRule="exact"/>
        <w:rPr>
          <w:sz w:val="20"/>
          <w:szCs w:val="20"/>
          <w:color w:val="auto"/>
        </w:rPr>
      </w:pPr>
    </w:p>
    <w:p>
      <w:pPr>
        <w:ind w:left="360" w:right="60" w:hanging="334"/>
        <w:spacing w:after="0" w:line="236" w:lineRule="auto"/>
        <w:tabs>
          <w:tab w:leader="none" w:pos="36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Share-based compensation expense for TBOs and RSUs increased during fiscal 2022 compared to fiscal 2021 due to an increase in annual RSUs issued in fiscal 2022 compared to fiscal 2021 and due to the shortening of the vesting period on the annual grants issued in November 2021 from four years to three years. Share-based compensation expense for TBOs and RSUs increased during fiscal 2021 compared to fiscal 2020 due to the shortening of the vesting period on the annual grants issued in September 2020 from four years to three years and the accelerated timing of the issuance of the fiscal 2021 annual grant.</w:t>
      </w:r>
    </w:p>
    <w:p>
      <w:pPr>
        <w:spacing w:after="0" w:line="24" w:lineRule="exact"/>
        <w:rPr>
          <w:rFonts w:ascii="Times New Roman" w:cs="Times New Roman" w:eastAsia="Times New Roman" w:hAnsi="Times New Roman"/>
          <w:sz w:val="12"/>
          <w:szCs w:val="12"/>
          <w:color w:val="auto"/>
        </w:rPr>
      </w:pPr>
    </w:p>
    <w:p>
      <w:pPr>
        <w:ind w:left="360" w:right="260" w:hanging="334"/>
        <w:spacing w:after="0" w:line="217" w:lineRule="auto"/>
        <w:tabs>
          <w:tab w:leader="none" w:pos="36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Share-based compensation expense related to PSUs during fiscal 2022 was due to the issuance of new 2022 PSU grants. No PSUs were issued in fiscal 2021. Share-based compensation expense related to PSUs during fiscal 2020 was based on lower than estimated target attainment on plan metrics on each of the fiscal 2018, fiscal 2019 and fiscal 2020 PSU grants, resulting in the reversal of previously recognized share-based compensation expense of $29.8 million.</w:t>
      </w:r>
    </w:p>
    <w:p>
      <w:pPr>
        <w:spacing w:after="0" w:line="26" w:lineRule="exact"/>
        <w:rPr>
          <w:rFonts w:ascii="Times New Roman" w:cs="Times New Roman" w:eastAsia="Times New Roman" w:hAnsi="Times New Roman"/>
          <w:sz w:val="13"/>
          <w:szCs w:val="13"/>
          <w:color w:val="auto"/>
        </w:rPr>
      </w:pPr>
    </w:p>
    <w:p>
      <w:pPr>
        <w:ind w:left="360" w:right="60" w:hanging="334"/>
        <w:spacing w:after="0" w:line="217" w:lineRule="auto"/>
        <w:tabs>
          <w:tab w:leader="none" w:pos="36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Share-based compensation expense related to the ESPP increased during fiscal 2022 compared to fiscal 2021 as the program was available for the entirety of fiscal 2022 as compared to only a portion of fiscal 2021, and the program expanded to additional countries in fiscal 2022. Share-based compensation expense related to the ESPP increased during fiscal 2021 compared to fiscal 2020 as the program began mid-year on April 1, 2021.</w:t>
      </w:r>
    </w:p>
    <w:p>
      <w:pPr>
        <w:spacing w:after="0" w:line="26" w:lineRule="exact"/>
        <w:rPr>
          <w:rFonts w:ascii="Times New Roman" w:cs="Times New Roman" w:eastAsia="Times New Roman" w:hAnsi="Times New Roman"/>
          <w:sz w:val="13"/>
          <w:szCs w:val="13"/>
          <w:color w:val="auto"/>
        </w:rPr>
      </w:pPr>
    </w:p>
    <w:p>
      <w:pPr>
        <w:ind w:left="360" w:hanging="334"/>
        <w:spacing w:after="0"/>
        <w:tabs>
          <w:tab w:leader="none" w:pos="36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tax benefit on option exercises, restricted stock unit and ESPP unit deliveries is included in "Accrued Expenses" on the Consolidated Statements of Cash Flows.</w:t>
      </w:r>
    </w:p>
    <w:p>
      <w:pPr>
        <w:spacing w:after="0" w:line="18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September 3, 2020, the Board of Directors determined a payout level for the fiscal 2018 PSU grants covering a performance period of September 30, 2017 to October 2, 2020 by adjusting the calculation of the performance to moderate the impact of COVID-19 by measuring performance for the first two and a half years of the three year performance period, removing both the results and the portion of the targets attributable to the period when the Company's business was hardest hit by COVID-19. As a result, the Company recognized $3.9 million of additional expense in fiscal 2020 associated with approximately 0.1 million shares due to this modification.</w:t>
      </w:r>
    </w:p>
    <w:p>
      <w:pPr>
        <w:spacing w:after="0" w:line="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No compensation expense was capitalized. Prior to the fourth quarter of fiscal 2020, the Company applied a forfeiture assumption of approximately 6.4% per annum in the calculation of such expenses. During the fourth quarter of fiscal 2020, the Company increased its estimated forfeiture assumption to 9.0% per annum based on actual forfeiture activity, which remained in effect throughout fiscal 2021 and 2022.</w:t>
      </w:r>
    </w:p>
    <w:p>
      <w:pPr>
        <w:spacing w:after="0" w:line="4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below table summarizes the unrecognized compensation expense as of September 30, 2022 related to non-vested awards and the weighted-average period they are expected to be recognized:</w:t>
      </w: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240" w:type="dxa"/>
            <w:vAlign w:val="bottom"/>
          </w:tcPr>
          <w:p>
            <w:pPr>
              <w:spacing w:after="0"/>
              <w:rPr>
                <w:sz w:val="13"/>
                <w:szCs w:val="13"/>
                <w:color w:val="auto"/>
              </w:rPr>
            </w:pP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Unrecognized Compensation</w:t>
            </w:r>
          </w:p>
        </w:tc>
        <w:tc>
          <w:tcPr>
            <w:tcW w:w="120" w:type="dxa"/>
            <w:vAlign w:val="bottom"/>
          </w:tcPr>
          <w:p>
            <w:pPr>
              <w:spacing w:after="0"/>
              <w:rPr>
                <w:sz w:val="13"/>
                <w:szCs w:val="13"/>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 Period</w:t>
            </w:r>
          </w:p>
        </w:tc>
        <w:tc>
          <w:tcPr>
            <w:tcW w:w="0" w:type="dxa"/>
            <w:vAlign w:val="bottom"/>
          </w:tcPr>
          <w:p>
            <w:pPr>
              <w:spacing w:after="0"/>
              <w:rPr>
                <w:sz w:val="1"/>
                <w:szCs w:val="1"/>
                <w:color w:val="auto"/>
              </w:rPr>
            </w:pPr>
          </w:p>
        </w:tc>
      </w:tr>
      <w:tr>
        <w:trPr>
          <w:trHeight w:val="146"/>
        </w:trPr>
        <w:tc>
          <w:tcPr>
            <w:tcW w:w="7240" w:type="dxa"/>
            <w:vAlign w:val="bottom"/>
          </w:tcPr>
          <w:p>
            <w:pPr>
              <w:spacing w:after="0"/>
              <w:rPr>
                <w:sz w:val="12"/>
                <w:szCs w:val="12"/>
                <w:color w:val="auto"/>
              </w:rPr>
            </w:pPr>
          </w:p>
        </w:tc>
        <w:tc>
          <w:tcPr>
            <w:tcW w:w="1400" w:type="dxa"/>
            <w:vAlign w:val="bottom"/>
          </w:tcPr>
          <w:p>
            <w:pPr>
              <w:jc w:val="center"/>
              <w:ind w:left="441"/>
              <w:spacing w:after="0" w:line="146" w:lineRule="exact"/>
              <w:rPr>
                <w:sz w:val="20"/>
                <w:szCs w:val="20"/>
                <w:color w:val="auto"/>
              </w:rPr>
            </w:pPr>
            <w:r>
              <w:rPr>
                <w:rFonts w:ascii="Times New Roman" w:cs="Times New Roman" w:eastAsia="Times New Roman" w:hAnsi="Times New Roman"/>
                <w:sz w:val="14"/>
                <w:szCs w:val="14"/>
                <w:b w:val="1"/>
                <w:bCs w:val="1"/>
                <w:color w:val="auto"/>
              </w:rPr>
              <w:t>Expense</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724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2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TBOs</w:t>
            </w:r>
          </w:p>
        </w:tc>
        <w:tc>
          <w:tcPr>
            <w:tcW w:w="1400" w:type="dxa"/>
            <w:vAlign w:val="bottom"/>
            <w:shd w:val="clear" w:color="auto" w:fill="CCEEFF"/>
          </w:tcPr>
          <w:p>
            <w:pPr>
              <w:jc w:val="right"/>
              <w:ind w:right="122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TBO-Rs</w:t>
            </w:r>
          </w:p>
        </w:tc>
        <w:tc>
          <w:tcPr>
            <w:tcW w:w="14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4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20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PSU</w:t>
            </w:r>
          </w:p>
        </w:tc>
        <w:tc>
          <w:tcPr>
            <w:tcW w:w="14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40" w:type="dxa"/>
            <w:vAlign w:val="bottom"/>
            <w:tcBorders>
              <w:bottom w:val="single" w:sz="8" w:color="CCEEFF"/>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Borders>
              <w:bottom w:val="single" w:sz="8" w:color="auto"/>
            </w:tcBorders>
            <w:shd w:val="clear" w:color="auto" w:fill="CCEEFF"/>
          </w:tcPr>
          <w:p>
            <w:pPr>
              <w:jc w:val="right"/>
              <w:ind w:right="122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Time-Based Options</w:t>
      </w:r>
    </w:p>
    <w:p>
      <w:pPr>
        <w:spacing w:after="0" w:line="10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Company's annual TBO grants for fiscal 2022 were awarded in November 2021, while the Company's annual TBO grants for fiscal 2021 were awarded early in September 2020. The fiscal 2022 and 2021 TBO grants vest solely based upon continued employment over a three year time period. Fiscal 2020 and prior TBO grants vest solely based upon continued employment over a four year time period. All TBOs remain exercisable for 10 years from the date of grant.</w:t>
      </w:r>
    </w:p>
    <w:p>
      <w:pPr>
        <w:spacing w:after="0" w:line="5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fair value of the TBOs granted was estimated using the Black-Scholes option pricing model. Prior to June of fiscal 2020, the expected volatility was based on a blended average of the historic volatility of the Company's and competitors' stock price over the expected term of the stock options. Beginning in June of fiscal 2020, the expected volatility is based on the historic volatility of the Company's stock over the expected term of the stock options. The expected life represents the period of time that options granted are expected to be outstanding and is calculated using the simplified method as permitted under Securities and Exchange Commission ("SEC") rules and regulations due to the method providing a reasonable estimate in comparison to actual experience. The simplified method uses the midpoint between an option's vesting date and contractual term. The risk-free rate is based on the United States Treasury security with terms equal to the expected life of the option as of the grant date. Compensation expense for TBOs is recognized on a straight-line basis over the vesting period during which employees perform related services.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weighted average assumptions and related valuations for TBOs.</w:t>
      </w:r>
    </w:p>
    <w:p>
      <w:pPr>
        <w:spacing w:after="0" w:line="138"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33655</wp:posOffset>
            </wp:positionV>
            <wp:extent cx="334327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5" w:lineRule="exact"/>
        <w:rPr>
          <w:sz w:val="20"/>
          <w:szCs w:val="20"/>
          <w:color w:val="auto"/>
        </w:rPr>
      </w:pPr>
    </w:p>
    <w:p>
      <w:pPr>
        <w:ind w:left="6220"/>
        <w:spacing w:after="0"/>
        <w:tabs>
          <w:tab w:leader="none" w:pos="8100" w:val="left"/>
          <w:tab w:leader="none" w:pos="9900" w:val="left"/>
        </w:tabs>
        <w:rPr>
          <w:sz w:val="20"/>
          <w:szCs w:val="20"/>
          <w:color w:val="auto"/>
        </w:rPr>
      </w:pPr>
      <w:r>
        <w:rPr>
          <w:rFonts w:ascii="Times New Roman" w:cs="Times New Roman" w:eastAsia="Times New Roman" w:hAnsi="Times New Roman"/>
          <w:sz w:val="14"/>
          <w:szCs w:val="14"/>
          <w:b w:val="1"/>
          <w:bCs w:val="1"/>
          <w:color w:val="auto"/>
        </w:rPr>
        <w:t>September 30, 2022</w:t>
      </w:r>
      <w:r>
        <w:rPr>
          <w:sz w:val="20"/>
          <w:szCs w:val="20"/>
          <w:color w:val="auto"/>
        </w:rPr>
        <w:tab/>
      </w:r>
      <w:r>
        <w:rPr>
          <w:rFonts w:ascii="Times New Roman" w:cs="Times New Roman" w:eastAsia="Times New Roman" w:hAnsi="Times New Roman"/>
          <w:sz w:val="14"/>
          <w:szCs w:val="14"/>
          <w:b w:val="1"/>
          <w:bCs w:val="1"/>
          <w:color w:val="auto"/>
        </w:rPr>
        <w:t>October 1, 2021</w:t>
      </w:r>
      <w:r>
        <w:rPr>
          <w:sz w:val="20"/>
          <w:szCs w:val="20"/>
          <w:color w:val="auto"/>
        </w:rPr>
        <w:tab/>
      </w:r>
      <w:r>
        <w:rPr>
          <w:rFonts w:ascii="Times New Roman" w:cs="Times New Roman" w:eastAsia="Times New Roman" w:hAnsi="Times New Roman"/>
          <w:sz w:val="14"/>
          <w:szCs w:val="14"/>
          <w:b w:val="1"/>
          <w:bCs w:val="1"/>
          <w:color w:val="auto"/>
        </w:rPr>
        <w:t>October 2, 2020</w:t>
      </w:r>
    </w:p>
    <w:p>
      <w:pPr>
        <w:sectPr>
          <w:pgSz w:w="11900" w:h="16838" w:orient="portrait"/>
          <w:cols w:equalWidth="0" w:num="1">
            <w:col w:w="11240"/>
          </w:cols>
          <w:pgMar w:left="320" w:top="175" w:right="339" w:bottom="1440" w:gutter="0" w:footer="0" w:header="0"/>
        </w:sectPr>
      </w:pP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Expected volatility</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Expected dividend yield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Expected life (in years)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Risk-free interest rate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Weighted-average grant-date fair value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TBO activity is presented below:</w:t>
      </w: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Options</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180" w:type="dxa"/>
            <w:vAlign w:val="bottom"/>
          </w:tcPr>
          <w:p>
            <w:pPr>
              <w:spacing w:after="0"/>
              <w:rPr>
                <w:sz w:val="20"/>
                <w:szCs w:val="20"/>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0"/>
                <w:szCs w:val="20"/>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30%</w:t>
            </w: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1.18% - 1.30%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1.08% - 1.25%</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 - 2.09%</w:t>
            </w: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1.26% - 2.96%</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0.52% - 1.15%</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0.40% - 1.74%</w:t>
            </w: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$13.27</w:t>
            </w:r>
          </w:p>
        </w:tc>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$13.08</w:t>
            </w:r>
          </w:p>
        </w:tc>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$9.07</w:t>
            </w:r>
          </w:p>
        </w:tc>
        <w:tc>
          <w:tcPr>
            <w:tcW w:w="0" w:type="dxa"/>
            <w:vAlign w:val="bottom"/>
          </w:tcPr>
          <w:p>
            <w:pPr>
              <w:spacing w:after="0"/>
              <w:rPr>
                <w:sz w:val="1"/>
                <w:szCs w:val="1"/>
                <w:color w:val="auto"/>
              </w:rPr>
            </w:pPr>
          </w:p>
        </w:tc>
      </w:tr>
      <w:tr>
        <w:trPr>
          <w:trHeight w:val="650"/>
        </w:trPr>
        <w:tc>
          <w:tcPr>
            <w:tcW w:w="1180" w:type="dxa"/>
            <w:vAlign w:val="bottom"/>
            <w:vMerge w:val="restart"/>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1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7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Aggregate Intrinsic Value</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6"/>
        </w:trPr>
        <w:tc>
          <w:tcPr>
            <w:tcW w:w="1180" w:type="dxa"/>
            <w:vAlign w:val="bottom"/>
            <w:vMerge w:val="continue"/>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6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 Term</w:t>
            </w:r>
          </w:p>
        </w:tc>
        <w:tc>
          <w:tcPr>
            <w:tcW w:w="0" w:type="dxa"/>
            <w:vAlign w:val="bottom"/>
          </w:tcPr>
          <w:p>
            <w:pPr>
              <w:spacing w:after="0"/>
              <w:rPr>
                <w:sz w:val="1"/>
                <w:szCs w:val="1"/>
                <w:color w:val="auto"/>
              </w:rPr>
            </w:pPr>
          </w:p>
        </w:tc>
      </w:tr>
      <w:tr>
        <w:trPr>
          <w:trHeight w:val="193"/>
        </w:trPr>
        <w:tc>
          <w:tcPr>
            <w:tcW w:w="1180" w:type="dxa"/>
            <w:vAlign w:val="bottom"/>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(000s)</w:t>
            </w:r>
          </w:p>
        </w:tc>
        <w:tc>
          <w:tcPr>
            <w:tcW w:w="1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($000s)</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-1364615</wp:posOffset>
            </wp:positionV>
            <wp:extent cx="7132320"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-1064895</wp:posOffset>
            </wp:positionV>
            <wp:extent cx="7132320" cy="1454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-772795</wp:posOffset>
            </wp:positionV>
            <wp:extent cx="7132320" cy="145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080" w:space="720"/>
            <w:col w:w="6440"/>
          </w:cols>
          <w:pgMar w:left="320" w:top="175" w:right="339" w:bottom="1440" w:gutter="0" w:footer="0" w:header="0"/>
          <w:type w:val="continuous"/>
        </w:sectPr>
      </w:pPr>
    </w:p>
    <w:tbl>
      <w:tblPr>
        <w:tblLayout w:type="fixed"/>
        <w:tblInd w:w="0" w:type="dxa"/>
        <w:tblCellMar>
          <w:top w:w="0" w:type="dxa"/>
          <w:left w:w="0" w:type="dxa"/>
          <w:bottom w:w="0" w:type="dxa"/>
          <w:right w:w="0" w:type="dxa"/>
        </w:tblCellMar>
      </w:tblPr>
      <w:tr>
        <w:trPr>
          <w:trHeight w:val="233"/>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October 1, 2021</w:t>
            </w:r>
          </w:p>
        </w:tc>
        <w:tc>
          <w:tcPr>
            <w:tcW w:w="100" w:type="dxa"/>
            <w:vAlign w:val="bottom"/>
            <w:tcBorders>
              <w:top w:val="single" w:sz="8" w:color="CCEEFF"/>
            </w:tcBorders>
            <w:shd w:val="clear" w:color="auto" w:fill="CCEEFF"/>
          </w:tcPr>
          <w:p>
            <w:pPr>
              <w:spacing w:after="0"/>
              <w:rPr>
                <w:sz w:val="20"/>
                <w:szCs w:val="20"/>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7,218</w:t>
            </w:r>
          </w:p>
        </w:tc>
        <w:tc>
          <w:tcPr>
            <w:tcW w:w="100" w:type="dxa"/>
            <w:vAlign w:val="bottom"/>
            <w:tcBorders>
              <w:top w:val="single" w:sz="8" w:color="CCEEFF"/>
            </w:tcBorders>
            <w:gridSpan w:val="2"/>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50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spacing w:after="0"/>
              <w:rPr>
                <w:sz w:val="20"/>
                <w:szCs w:val="20"/>
                <w:color w:val="auto"/>
              </w:rPr>
            </w:pPr>
          </w:p>
        </w:tc>
      </w:tr>
      <w:tr>
        <w:trPr>
          <w:trHeight w:val="229"/>
        </w:trPr>
        <w:tc>
          <w:tcPr>
            <w:tcW w:w="41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41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Exercised</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41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Forfeited and expired</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4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2022</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7,343</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9,618</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4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Exercisable at September 30, 2022</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to vest at September 30, 2022</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rPr>
              <w:t>8.2</w:t>
            </w:r>
          </w:p>
        </w:tc>
      </w:tr>
      <w:tr>
        <w:trPr>
          <w:trHeight w:val="375"/>
        </w:trPr>
        <w:tc>
          <w:tcPr>
            <w:tcW w:w="4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
        </w:trPr>
        <w:tc>
          <w:tcPr>
            <w:tcW w:w="4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0"/>
        </w:trPr>
        <w:tc>
          <w:tcPr>
            <w:tcW w:w="4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80" w:type="dxa"/>
            <w:vAlign w:val="bottom"/>
          </w:tcPr>
          <w:p>
            <w:pPr>
              <w:spacing w:after="0"/>
              <w:rPr>
                <w:sz w:val="16"/>
                <w:szCs w:val="16"/>
                <w:color w:val="auto"/>
              </w:rPr>
            </w:pPr>
          </w:p>
        </w:tc>
        <w:tc>
          <w:tcPr>
            <w:tcW w:w="162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October 1, 2021</w:t>
            </w:r>
          </w:p>
        </w:tc>
        <w:tc>
          <w:tcPr>
            <w:tcW w:w="220" w:type="dxa"/>
            <w:vAlign w:val="bottom"/>
          </w:tcPr>
          <w:p>
            <w:pPr>
              <w:spacing w:after="0"/>
              <w:rPr>
                <w:sz w:val="16"/>
                <w:szCs w:val="16"/>
                <w:color w:val="auto"/>
              </w:rPr>
            </w:pPr>
          </w:p>
        </w:tc>
        <w:tc>
          <w:tcPr>
            <w:tcW w:w="14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October 2, 2020</w:t>
            </w:r>
          </w:p>
        </w:tc>
      </w:tr>
      <w:tr>
        <w:trPr>
          <w:trHeight w:val="229"/>
        </w:trPr>
        <w:tc>
          <w:tcPr>
            <w:tcW w:w="4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intrinsic value exercised (in millions)</w:t>
            </w:r>
          </w:p>
        </w:tc>
        <w:tc>
          <w:tcPr>
            <w:tcW w:w="16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r>
      <w:tr>
        <w:trPr>
          <w:trHeight w:val="234"/>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fair value that vested (in millions)</w:t>
            </w: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Retention Time-Based Options</w:t>
      </w:r>
    </w:p>
    <w:p>
      <w:pPr>
        <w:spacing w:after="0" w:line="9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September 2020, the Board of Directors granted special stock option awards for fiscal 2021 to its key business leaders. The option awards have exercise prices that are in all cases materially above the trading price of the Company's common stock as of the date of grant. The options are awarded in six tranches, with exercise prices that start at $35 and increase in $10 increments to an $85 exercise price. These awards will vest ratably on the third, fourth and fifth anniversaries of the grant date. The fair value of the TBO-Rs granted was estimated using the Black-Scholes option pricing model, following the same assumptions and methodology used to value the TBOs.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weighted average assumptions and related valuations for TBO-Rs.</w:t>
      </w:r>
    </w:p>
    <w:p>
      <w:pPr>
        <w:spacing w:after="0" w:line="124" w:lineRule="exact"/>
        <w:rPr>
          <w:sz w:val="20"/>
          <w:szCs w:val="20"/>
          <w:color w:val="auto"/>
        </w:rPr>
      </w:pPr>
    </w:p>
    <w:p>
      <w:pPr>
        <w:jc w:val="center"/>
        <w:ind w:left="950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33655</wp:posOffset>
            </wp:positionV>
            <wp:extent cx="10801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35" w:lineRule="exact"/>
        <w:rPr>
          <w:sz w:val="20"/>
          <w:szCs w:val="20"/>
          <w:color w:val="auto"/>
        </w:rPr>
      </w:pPr>
    </w:p>
    <w:p>
      <w:pPr>
        <w:jc w:val="center"/>
        <w:ind w:left="9520"/>
        <w:spacing w:after="0"/>
        <w:rPr>
          <w:sz w:val="20"/>
          <w:szCs w:val="20"/>
          <w:color w:val="auto"/>
        </w:rPr>
      </w:pPr>
      <w:r>
        <w:rPr>
          <w:rFonts w:ascii="Times New Roman" w:cs="Times New Roman" w:eastAsia="Times New Roman" w:hAnsi="Times New Roman"/>
          <w:sz w:val="14"/>
          <w:szCs w:val="14"/>
          <w:b w:val="1"/>
          <w:bCs w:val="1"/>
          <w:color w:val="auto"/>
        </w:rPr>
        <w:t>October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Expected volatility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Expected dividend yield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Expected life (in years)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Risk-free interest rate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Weighted-average grant-date fair value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TBO-R activity is presented below:</w:t>
      </w: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Options</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jc w:val="center"/>
        <w:ind w:left="-4399"/>
        <w:spacing w:after="0"/>
        <w:rPr>
          <w:sz w:val="20"/>
          <w:szCs w:val="20"/>
          <w:color w:val="auto"/>
        </w:rPr>
      </w:pPr>
      <w:r>
        <w:rPr>
          <w:rFonts w:ascii="Times New Roman" w:cs="Times New Roman" w:eastAsia="Times New Roman" w:hAnsi="Times New Roman"/>
          <w:sz w:val="18"/>
          <w:szCs w:val="18"/>
          <w:color w:val="auto"/>
        </w:rPr>
        <w:t>38%</w:t>
      </w:r>
    </w:p>
    <w:p>
      <w:pPr>
        <w:spacing w:after="0" w:line="27" w:lineRule="exact"/>
        <w:rPr>
          <w:sz w:val="20"/>
          <w:szCs w:val="20"/>
          <w:color w:val="auto"/>
        </w:rPr>
      </w:pPr>
    </w:p>
    <w:p>
      <w:pPr>
        <w:jc w:val="center"/>
        <w:ind w:left="-439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14605</wp:posOffset>
            </wp:positionV>
            <wp:extent cx="7132320" cy="1454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jc w:val="center"/>
        <w:ind w:left="-4399"/>
        <w:spacing w:after="0"/>
        <w:rPr>
          <w:sz w:val="20"/>
          <w:szCs w:val="20"/>
          <w:color w:val="auto"/>
        </w:rPr>
      </w:pPr>
      <w:r>
        <w:rPr>
          <w:rFonts w:ascii="Times New Roman" w:cs="Times New Roman" w:eastAsia="Times New Roman" w:hAnsi="Times New Roman"/>
          <w:sz w:val="18"/>
          <w:szCs w:val="18"/>
          <w:color w:val="auto"/>
        </w:rPr>
        <w:t>7.00</w:t>
      </w:r>
    </w:p>
    <w:p>
      <w:pPr>
        <w:spacing w:after="0" w:line="23" w:lineRule="exact"/>
        <w:rPr>
          <w:sz w:val="20"/>
          <w:szCs w:val="20"/>
          <w:color w:val="auto"/>
        </w:rPr>
      </w:pPr>
    </w:p>
    <w:p>
      <w:pPr>
        <w:jc w:val="center"/>
        <w:ind w:left="-4399"/>
        <w:spacing w:after="0"/>
        <w:rPr>
          <w:sz w:val="20"/>
          <w:szCs w:val="20"/>
          <w:color w:val="auto"/>
        </w:rPr>
      </w:pPr>
      <w:r>
        <w:rPr>
          <w:rFonts w:ascii="Times New Roman" w:cs="Times New Roman" w:eastAsia="Times New Roman" w:hAnsi="Times New Roman"/>
          <w:sz w:val="18"/>
          <w:szCs w:val="18"/>
          <w:color w:val="auto"/>
        </w:rPr>
        <w:t>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14605</wp:posOffset>
            </wp:positionV>
            <wp:extent cx="7132320" cy="1454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jc w:val="center"/>
        <w:ind w:left="-4399"/>
        <w:spacing w:after="0"/>
        <w:rPr>
          <w:sz w:val="20"/>
          <w:szCs w:val="20"/>
          <w:color w:val="auto"/>
        </w:rPr>
      </w:pPr>
      <w:r>
        <w:rPr>
          <w:rFonts w:ascii="Times New Roman" w:cs="Times New Roman" w:eastAsia="Times New Roman" w:hAnsi="Times New Roman"/>
          <w:sz w:val="18"/>
          <w:szCs w:val="18"/>
          <w:color w:val="auto"/>
        </w:rPr>
        <w:t>$3.93</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1880" w:type="dxa"/>
            <w:vAlign w:val="bottom"/>
            <w:vMerge w:val="restart"/>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Intrinsic Value</w:t>
            </w:r>
          </w:p>
        </w:tc>
        <w:tc>
          <w:tcPr>
            <w:tcW w:w="136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8"/>
        </w:trPr>
        <w:tc>
          <w:tcPr>
            <w:tcW w:w="920" w:type="dxa"/>
            <w:vAlign w:val="bottom"/>
            <w:vMerge w:val="continue"/>
          </w:tcPr>
          <w:p>
            <w:pPr>
              <w:spacing w:after="0"/>
              <w:rPr>
                <w:sz w:val="12"/>
                <w:szCs w:val="12"/>
                <w:color w:val="auto"/>
              </w:rPr>
            </w:pPr>
          </w:p>
        </w:tc>
        <w:tc>
          <w:tcPr>
            <w:tcW w:w="1880" w:type="dxa"/>
            <w:vAlign w:val="bottom"/>
            <w:vMerge w:val="continue"/>
          </w:tcPr>
          <w:p>
            <w:pPr>
              <w:spacing w:after="0"/>
              <w:rPr>
                <w:sz w:val="12"/>
                <w:szCs w:val="12"/>
                <w:color w:val="auto"/>
              </w:rPr>
            </w:pPr>
          </w:p>
        </w:tc>
        <w:tc>
          <w:tcPr>
            <w:tcW w:w="2000" w:type="dxa"/>
            <w:vAlign w:val="bottom"/>
            <w:vMerge w:val="continue"/>
          </w:tcPr>
          <w:p>
            <w:pPr>
              <w:spacing w:after="0"/>
              <w:rPr>
                <w:sz w:val="12"/>
                <w:szCs w:val="12"/>
                <w:color w:val="auto"/>
              </w:rPr>
            </w:pPr>
          </w:p>
        </w:tc>
        <w:tc>
          <w:tcPr>
            <w:tcW w:w="136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Remaining Term</w:t>
            </w:r>
          </w:p>
        </w:tc>
        <w:tc>
          <w:tcPr>
            <w:tcW w:w="0" w:type="dxa"/>
            <w:vAlign w:val="bottom"/>
          </w:tcPr>
          <w:p>
            <w:pPr>
              <w:spacing w:after="0"/>
              <w:rPr>
                <w:sz w:val="1"/>
                <w:szCs w:val="1"/>
                <w:color w:val="auto"/>
              </w:rPr>
            </w:pPr>
          </w:p>
        </w:tc>
      </w:tr>
      <w:tr>
        <w:trPr>
          <w:trHeight w:val="190"/>
        </w:trPr>
        <w:tc>
          <w:tcPr>
            <w:tcW w:w="9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(000s)</w:t>
            </w:r>
          </w:p>
        </w:tc>
        <w:tc>
          <w:tcPr>
            <w:tcW w:w="188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($000s)</w:t>
            </w:r>
          </w:p>
        </w:tc>
        <w:tc>
          <w:tcPr>
            <w:tcW w:w="136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4080" w:space="720"/>
            <w:col w:w="6440"/>
          </w:cols>
          <w:pgMar w:left="320" w:top="175" w:right="339" w:bottom="1440" w:gutter="0" w:footer="0" w:header="0"/>
          <w:type w:val="continuous"/>
        </w:sectPr>
      </w:pPr>
    </w:p>
    <w:tbl>
      <w:tblPr>
        <w:tblLayout w:type="fixed"/>
        <w:tblInd w:w="0" w:type="dxa"/>
        <w:tblCellMar>
          <w:top w:w="0" w:type="dxa"/>
          <w:left w:w="0" w:type="dxa"/>
          <w:bottom w:w="0" w:type="dxa"/>
          <w:right w:w="0" w:type="dxa"/>
        </w:tblCellMar>
      </w:tblPr>
      <w:tr>
        <w:trPr>
          <w:trHeight w:val="233"/>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October 1, 2021</w:t>
            </w:r>
          </w:p>
        </w:tc>
        <w:tc>
          <w:tcPr>
            <w:tcW w:w="100" w:type="dxa"/>
            <w:vAlign w:val="bottom"/>
            <w:tcBorders>
              <w:top w:val="single" w:sz="8" w:color="CCEEFF"/>
            </w:tcBorders>
            <w:shd w:val="clear" w:color="auto" w:fill="CCEEFF"/>
          </w:tcPr>
          <w:p>
            <w:pPr>
              <w:spacing w:after="0"/>
              <w:rPr>
                <w:sz w:val="20"/>
                <w:szCs w:val="20"/>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w:t>
            </w:r>
          </w:p>
        </w:tc>
        <w:tc>
          <w:tcPr>
            <w:tcW w:w="100" w:type="dxa"/>
            <w:vAlign w:val="bottom"/>
            <w:tcBorders>
              <w:top w:val="single" w:sz="8" w:color="CCEEFF"/>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w:t>
            </w:r>
          </w:p>
        </w:tc>
        <w:tc>
          <w:tcPr>
            <w:tcW w:w="120" w:type="dxa"/>
            <w:vAlign w:val="bottom"/>
            <w:tcBorders>
              <w:top w:val="single" w:sz="8" w:color="CCEEFF"/>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680" w:type="dxa"/>
            <w:vAlign w:val="bottom"/>
            <w:tcBorders>
              <w:top w:val="single" w:sz="8" w:color="auto"/>
            </w:tcBorders>
            <w:shd w:val="clear" w:color="auto" w:fill="CCEEFF"/>
          </w:tcPr>
          <w:p>
            <w:pPr>
              <w:spacing w:after="0"/>
              <w:rPr>
                <w:sz w:val="20"/>
                <w:szCs w:val="20"/>
                <w:color w:val="auto"/>
              </w:rPr>
            </w:pPr>
          </w:p>
        </w:tc>
      </w:tr>
      <w:tr>
        <w:trPr>
          <w:trHeight w:val="230"/>
        </w:trPr>
        <w:tc>
          <w:tcPr>
            <w:tcW w:w="41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Granted</w:t>
            </w: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41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Exercised</w:t>
            </w: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30"/>
        </w:trPr>
        <w:tc>
          <w:tcPr>
            <w:tcW w:w="418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Forfeited and expired</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66.15</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r>
      <w:tr>
        <w:trPr>
          <w:trHeight w:val="223"/>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2022</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7.8</w:t>
            </w:r>
          </w:p>
        </w:tc>
      </w:tr>
      <w:tr>
        <w:trPr>
          <w:trHeight w:val="223"/>
        </w:trPr>
        <w:tc>
          <w:tcPr>
            <w:tcW w:w="4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Exercisable at September 30, 2022</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66.15</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to vest at September 30, 2022</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7.9</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Time-Based Restricted Stock Units</w:t>
      </w:r>
    </w:p>
    <w:p>
      <w:pPr>
        <w:spacing w:after="0" w:line="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Company's annual RSU grants for fiscal 2022 were awarded in November 2021, while the Company's annual RSU grants for fiscal 2021 were awarded early in September 2020. For RSU grants awarded during or subsequent to September 2020, the RSU agreement provides that 33% of each grant will vest and be settled in shares on each of the first three anniversaries of the date of grant, subject to the participant's continued employment with the Company through each such anniversary. For RSU grants awarded prior to September 2020, the RSU agreement provides that 25% of each grant will vest and be settled in shares on each of the first four anniversaries of the grant date, subject to the participant's continued employment with the Company through each such anniversary. The grant-date fair value of RSUs is based on the fair value of the Company's common stock. Participants holding RSUs will receive the benefit of any dividends paid on shares in the form of additional RSUs. The unvested units are subject to forfeiture if employment is terminated other than due to death, disability or retirement and the units are nontransferable while subject to forfeiture.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10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95"/>
        </w:trPr>
        <w:tc>
          <w:tcPr>
            <w:tcW w:w="7720" w:type="dxa"/>
            <w:vAlign w:val="bottom"/>
            <w:gridSpan w:val="2"/>
            <w:vMerge w:val="continue"/>
          </w:tcPr>
          <w:p>
            <w:pPr>
              <w:spacing w:after="0"/>
              <w:rPr>
                <w:sz w:val="16"/>
                <w:szCs w:val="16"/>
                <w:color w:val="auto"/>
              </w:rPr>
            </w:pPr>
          </w:p>
        </w:tc>
        <w:tc>
          <w:tcPr>
            <w:tcW w:w="110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(000s)</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28"/>
        </w:trPr>
        <w:tc>
          <w:tcPr>
            <w:tcW w:w="7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October 1, 2021</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0" w:type="dxa"/>
            <w:vAlign w:val="bottom"/>
          </w:tcPr>
          <w:p>
            <w:pPr>
              <w:spacing w:after="0"/>
              <w:rPr>
                <w:sz w:val="1"/>
                <w:szCs w:val="1"/>
                <w:color w:val="auto"/>
              </w:rPr>
            </w:pPr>
          </w:p>
        </w:tc>
      </w:tr>
      <w:tr>
        <w:trPr>
          <w:trHeight w:val="230"/>
        </w:trPr>
        <w:tc>
          <w:tcPr>
            <w:tcW w:w="7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Vested</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Forfeited</w:t>
            </w:r>
          </w:p>
        </w:tc>
        <w:tc>
          <w:tcPr>
            <w:tcW w:w="1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2022</w:t>
            </w:r>
          </w:p>
        </w:tc>
        <w:tc>
          <w:tcPr>
            <w:tcW w:w="1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Stock Units</w:t>
      </w:r>
    </w:p>
    <w:p>
      <w:pPr>
        <w:spacing w:after="0" w:line="54"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18"/>
          <w:szCs w:val="18"/>
          <w:color w:val="auto"/>
        </w:rPr>
        <w:t>Under the 2013 Stock Plan, the Company is authorized to grant PSUs to its employees. A participant is eligible to become vested in a number of PSUs equal to a percentage, higher or lower, of the target number of PSUs granted based on the level of the Company's achievement of the performance condition. During fiscal 2020, the Company granted PSUs subject to the level of achievement of adjusted revenue growth, adjusted operating income growth, return on invested capital and a total shareholder return multiplier for the cumulative performance period of three years and the participant's continued employment with the Company. During fiscal 2022, the Company granted PSUs subject to the level of achievement of adjusted revenue growth, adjusted operating income growth and a total shareholder return multiplier for the cumulative performance period of three years and the participant's continued employment with the Company. The Company also granted PSUs during fiscal 2022 subject to the level of achievement of actual return on invested capital for the cumulative performance period of three years and the participant's continued employment with the Company. The Company is accounting for the fiscal 2022 grants as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1"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performance-based awards, with a market condition, valued utilizing the Monte Carlo Simulation pricing model, which calculates multiple potential outcomes for an award and establishes fair value based on the most likely outcome. The grant-date fair value of the PSUs is based on the fair value of the Company's common stock. No share-based compensation expense was recorded during fiscal 2022 or 2021 related to PSUs granted during fiscal 2019 and fiscal 2020 as the performance targets for the awards were not met.</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Stock Units</w:t>
            </w:r>
          </w:p>
        </w:tc>
        <w:tc>
          <w:tcPr>
            <w:tcW w:w="114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5"/>
        </w:trPr>
        <w:tc>
          <w:tcPr>
            <w:tcW w:w="7720" w:type="dxa"/>
            <w:vAlign w:val="bottom"/>
            <w:gridSpan w:val="2"/>
            <w:vMerge w:val="continue"/>
          </w:tcPr>
          <w:p>
            <w:pPr>
              <w:spacing w:after="0"/>
              <w:rPr>
                <w:sz w:val="16"/>
                <w:szCs w:val="16"/>
                <w:color w:val="auto"/>
              </w:rPr>
            </w:pPr>
          </w:p>
        </w:tc>
        <w:tc>
          <w:tcPr>
            <w:tcW w:w="114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(000s)</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Grant-Date Fair Value</w:t>
            </w:r>
          </w:p>
        </w:tc>
        <w:tc>
          <w:tcPr>
            <w:tcW w:w="0" w:type="dxa"/>
            <w:vAlign w:val="bottom"/>
          </w:tcPr>
          <w:p>
            <w:pPr>
              <w:spacing w:after="0"/>
              <w:rPr>
                <w:sz w:val="1"/>
                <w:szCs w:val="1"/>
                <w:color w:val="auto"/>
              </w:rPr>
            </w:pPr>
          </w:p>
        </w:tc>
      </w:tr>
      <w:tr>
        <w:trPr>
          <w:trHeight w:val="228"/>
        </w:trPr>
        <w:tc>
          <w:tcPr>
            <w:tcW w:w="7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October 1, 2021</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w:t>
            </w:r>
          </w:p>
        </w:tc>
        <w:tc>
          <w:tcPr>
            <w:tcW w:w="0" w:type="dxa"/>
            <w:vAlign w:val="bottom"/>
          </w:tcPr>
          <w:p>
            <w:pPr>
              <w:spacing w:after="0"/>
              <w:rPr>
                <w:sz w:val="1"/>
                <w:szCs w:val="1"/>
                <w:color w:val="auto"/>
              </w:rPr>
            </w:pPr>
          </w:p>
        </w:tc>
      </w:tr>
      <w:tr>
        <w:trPr>
          <w:trHeight w:val="229"/>
        </w:trPr>
        <w:tc>
          <w:tcPr>
            <w:tcW w:w="7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2022</w:t>
            </w:r>
          </w:p>
        </w:tc>
        <w:tc>
          <w:tcPr>
            <w:tcW w:w="1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Stock Units</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Deferred Stock Units are issued only to non-employee members of the Board of Directors and represent the right to receive shares of the Company's common stock in the future. Each Deferred Stock Unit will be converted to one share of the Company's common stock either on the first day of the seventh month after which such director ceases to serve as a member of the Board of Directors or at the director's election upon vesting. The grant-date fair value of Deferred Stock Units is based on the fair value of the Company's common stock. The Deferred Stock Units vest on the day prior to the next annual meeting of stockholders (which is generally one year after grant). The Company granted 61,287 Deferred Stock Units during fiscal 2022. In addition, directors may elect to defer their cash retainer into Deferred Stock Units which are fully vested upon issuance.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0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February 2, 2021, the Company’s stockholders approved the Aramark 2021 ESPP. The ESPP allows eligible employees to contribute up to 10% of their eligible pay toward the quarterly purchase of the Company’s common stock, subject to an annual maximum dollar amount. The purchase price is 85% of the lesser of the i) fair market value per share of the Company’s common stock as determined on the purchase date or ii) fair market value per share of the Company’s common stock as determined on the first trading day of the quarterly offering period. Purchases under the ESPP are made in March, June, September, and December. The aggregate number of shares of common stock that may be issued under the ESPP may not exceed 12.5 million shares. There were 1.3 million and 0.5 million shares purchased under the ESPP during the fiscal year ended September 30, 2022 and October 1, 2021, respectively.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EARNINGS (LOSS) PER SHARE:</w:t>
      </w:r>
    </w:p>
    <w:p>
      <w:pPr>
        <w:spacing w:after="0" w:line="9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Basic earnings (loss) per share is computed using the weighted average number of common shares outstanding during the periods presented. Diluted earnings (loss) per share is computed using the weighted average number of common shares outstanding adjusted to include the potentially dilutive effect of stock awards.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(loss) per share attributable to the Company's stockholders (in thousands, except per share data):</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3"/>
        </w:trPr>
        <w:tc>
          <w:tcPr>
            <w:tcW w:w="5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0"/>
        </w:trPr>
        <w:tc>
          <w:tcPr>
            <w:tcW w:w="5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0" w:type="dxa"/>
            <w:vAlign w:val="bottom"/>
          </w:tcPr>
          <w:p>
            <w:pPr>
              <w:spacing w:after="0"/>
              <w:rPr>
                <w:sz w:val="16"/>
                <w:szCs w:val="16"/>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October 1, 2021</w:t>
            </w:r>
          </w:p>
        </w:tc>
        <w:tc>
          <w:tcPr>
            <w:tcW w:w="240" w:type="dxa"/>
            <w:vAlign w:val="bottom"/>
          </w:tcPr>
          <w:p>
            <w:pPr>
              <w:spacing w:after="0"/>
              <w:rPr>
                <w:sz w:val="16"/>
                <w:szCs w:val="16"/>
                <w:color w:val="auto"/>
              </w:rPr>
            </w:pPr>
          </w:p>
        </w:tc>
        <w:tc>
          <w:tcPr>
            <w:tcW w:w="14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October 2, 2020</w:t>
            </w:r>
          </w:p>
        </w:tc>
      </w:tr>
      <w:tr>
        <w:trPr>
          <w:trHeight w:val="216"/>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w:t>
            </w: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r>
      <w:tr>
        <w:trPr>
          <w:trHeight w:val="229"/>
        </w:trPr>
        <w:tc>
          <w:tcPr>
            <w:tcW w:w="5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income (loss) attributable to Aramark stockholders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194,484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(90,833)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(461,529)</w:t>
            </w: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5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251,828</w:t>
            </w:r>
          </w:p>
        </w:tc>
      </w:tr>
      <w:tr>
        <w:trPr>
          <w:trHeight w:val="229"/>
        </w:trPr>
        <w:tc>
          <w:tcPr>
            <w:tcW w:w="594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Effect of dilutive securities</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18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259,074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254,748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251,828</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37"/>
        </w:trPr>
        <w:tc>
          <w:tcPr>
            <w:tcW w:w="5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income (loss) attributable to Aramark stockholders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income (loss) attributable to Aramark stockholders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bl>
    <w:p>
      <w:pPr>
        <w:spacing w:after="0" w:line="211" w:lineRule="exact"/>
        <w:rPr>
          <w:sz w:val="20"/>
          <w:szCs w:val="20"/>
          <w:color w:val="auto"/>
        </w:rPr>
      </w:pPr>
    </w:p>
    <w:p>
      <w:pPr>
        <w:ind w:left="400" w:right="580" w:hanging="374"/>
        <w:spacing w:after="0" w:line="229" w:lineRule="auto"/>
        <w:tabs>
          <w:tab w:leader="none" w:pos="40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Incremental shares of 2.0 million and 2.3 million have been excluded from the computation of diluted weighted-average shares outstanding for the fiscal years ended October 1, 2021 and October 2, 2020, respectively, because the effect would have been antidilutive due to the net loss attributable to Aramark stockholders during both periods.</w:t>
      </w:r>
    </w:p>
    <w:p>
      <w:pPr>
        <w:spacing w:after="0" w:line="18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Share-based awards to purchase 9.3 million, 8.8 million and 7.7 million shares were outstanding at September 30, 2022, October 1, 2021 and October 2, 2020, respectively, but were not included in the computation of diluted earnings (loss) per common share, as their effect would have been antidilutive. In addition, PSUs related to 0.5 million, 0.6 million and 1.1 million shares were outstanding at September 30, 2022, October 1, 2021 and October 2, 2020, respectively, but were not included in the computation of diluted earnings (loss) per common share, as the performance targets were not yet met. PSUs related to 0.5 million shares did not vest due to performance targets that were not met.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COMMITMENTS AND CONTINGENCIES:</w:t>
      </w:r>
    </w:p>
    <w:p>
      <w:pPr>
        <w:spacing w:after="0" w:line="94"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Company has capital and other purchase commitments of approximately $665.2 million at September 30, 2022, primarily in connection with commitments for capital projects to help finance improvements or renovations at the facilities in which the Company operates.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2022, the Company also has letters of credit outstanding in the amount of $87.5 million.</w:t>
      </w:r>
    </w:p>
    <w:p>
      <w:pPr>
        <w:spacing w:after="0" w:line="104"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From time to time, the Company and its subsidiaries are a party to various legal actions, proceedings and investigations involving claims incidental to the conduct of their business, including actions by clients, customers, employees, government entities and third parties, including under federal, state, international, national, provincial and local employment laws, wage and hour laws, discrimination laws, immigration laws, human health and safety laws, import and export controls and customs laws, environmental laws, false claims or whistleblower statutes, minority, women and disadvantaged business enterprise statutes, tax codes, antitrust and competition laws, customer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the Company does not believe that any such actions are likely to be, individually or in the aggregate, material to its business, financial condition, results of operations or cash flows. However, in the event of unexpected further developments, it is possible that the ultimate resolution of these matters, or other similar matters, if unfavorable, may be materially adverse to the Company's business, financial condition, results of operations or cash flows.</w:t>
      </w:r>
    </w:p>
    <w:p>
      <w:pPr>
        <w:spacing w:after="0" w:line="5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was involved in a dispute with a client regarding Aramark’s provision of services pursuant to a contract. During fiscal 2022, the Company resolved the matter by entering into a settlement agreement with the client whereby the Company's obligations totaled $13.6 million, resulting in a reversal of previously reserved amounts of $5.7 million, which is included in "Cost of services provided (exclusive of depreciation and amortization)" on the Consolidated Statements of Income (Loss).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BUSINESS SEGMENTS:</w:t>
      </w:r>
    </w:p>
    <w:p>
      <w:pPr>
        <w:spacing w:after="0" w:line="9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Company reports its operating results in three reportable segments: FSS United States, FSS International and Uniform. Corporate includes general expenses not specifically allocated to an individual segment and share-based compensation expense (see Note 12). In the Company's Food and Support Services segments, approximately 73% of the global revenue is related to food services and 27% is related to facilities services. COVID-19 had a negative impact on revenue, operating income (loss), capital expenditures and other identifiable assets for all segments in fiscal 2021 and fiscal 2020. The Company's financial results began to improve during the second half of fiscal 2021 and throughout fiscal 2022 as lockdowns were lifted and operations re-opened as well as from actions to reduce variable and fixed costs, including headcount reductions primarily taken during the second half of fiscal 2020. During fiscal 2022, 2021 and 2020, the Company received proceeds of $19.0 million, $10.0 million and $15.3 million, respectively, relating to the recovery of the Company’s investment (possessory interest) at one of the National Park Service sites within the FSS United States segment. The Company recorded a gain related to the recovery of its investment, which is included in “Cost of services provided (exclusive of depreciation and amortization)” on the Consolidated Statements of Income (Loss). During fiscal 2021, the Company identified an observable price change related to an equity investment without a readily determinable fair value and recognized a $137.9 million non-cash gain on the Consolidated Statements of Income (Loss). The Company terminated certain Canadian defined benefit pension plans and recognized a $60.9 million non-cash loss on the Consolidated Statements of Income (Loss) during fiscal 2021. During fiscal 2020, the Company recognized a $198.6 million impairment charge related to one reporting unit in its FSS International segment (see Note 4). During fiscal 2020, each reportable segment recorded severance charges related to COVID-19 totaling $145.8 million (see Note 3). During fiscal 2020, the Company reversed $29.8 million of previously recognized share-based compensation expense based on lower than estimated target attainment on plan metrics on each of the fiscal 2018, fiscal 2019 and fiscal 2020 PSU grants (see Note 12). Financial information by segment is as follows (in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3"/>
        </w:trPr>
        <w:tc>
          <w:tcPr>
            <w:tcW w:w="5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0"/>
        </w:trPr>
        <w:tc>
          <w:tcPr>
            <w:tcW w:w="5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196"/>
        </w:trPr>
        <w:tc>
          <w:tcPr>
            <w:tcW w:w="5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October 1, 2021</w:t>
            </w:r>
          </w:p>
        </w:tc>
        <w:tc>
          <w:tcPr>
            <w:tcW w:w="240" w:type="dxa"/>
            <w:vAlign w:val="bottom"/>
          </w:tcPr>
          <w:p>
            <w:pPr>
              <w:spacing w:after="0"/>
              <w:rPr>
                <w:sz w:val="17"/>
                <w:szCs w:val="17"/>
                <w:color w:val="auto"/>
              </w:rPr>
            </w:pPr>
          </w:p>
        </w:tc>
        <w:tc>
          <w:tcPr>
            <w:tcW w:w="146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October 2, 2020</w:t>
            </w:r>
          </w:p>
        </w:tc>
      </w:tr>
      <w:tr>
        <w:trPr>
          <w:trHeight w:val="229"/>
        </w:trPr>
        <w:tc>
          <w:tcPr>
            <w:tcW w:w="5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10,030.8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6,809.3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7,366.7</w:t>
            </w: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2,945.8</w:t>
            </w: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Uniform</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2,517.1</w:t>
            </w:r>
          </w:p>
        </w:tc>
      </w:tr>
      <w:tr>
        <w:trPr>
          <w:trHeight w:val="223"/>
        </w:trPr>
        <w:tc>
          <w:tcPr>
            <w:tcW w:w="59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16,326.6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12,096.0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12,829.6</w:t>
            </w:r>
          </w:p>
        </w:tc>
      </w:tr>
      <w:tr>
        <w:trPr>
          <w:trHeight w:val="21"/>
        </w:trPr>
        <w:tc>
          <w:tcPr>
            <w:tcW w:w="5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375"/>
        </w:trPr>
        <w:tc>
          <w:tcPr>
            <w:tcW w:w="5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
        </w:trPr>
        <w:tc>
          <w:tcPr>
            <w:tcW w:w="5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0"/>
        </w:trPr>
        <w:tc>
          <w:tcPr>
            <w:tcW w:w="5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196"/>
        </w:trPr>
        <w:tc>
          <w:tcPr>
            <w:tcW w:w="5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October 1, 2021</w:t>
            </w:r>
          </w:p>
        </w:tc>
        <w:tc>
          <w:tcPr>
            <w:tcW w:w="240" w:type="dxa"/>
            <w:vAlign w:val="bottom"/>
          </w:tcPr>
          <w:p>
            <w:pPr>
              <w:spacing w:after="0"/>
              <w:rPr>
                <w:sz w:val="17"/>
                <w:szCs w:val="17"/>
                <w:color w:val="auto"/>
              </w:rPr>
            </w:pPr>
          </w:p>
        </w:tc>
        <w:tc>
          <w:tcPr>
            <w:tcW w:w="146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October 2, 2020</w:t>
            </w:r>
          </w:p>
        </w:tc>
      </w:tr>
      <w:tr>
        <w:trPr>
          <w:trHeight w:val="229"/>
        </w:trPr>
        <w:tc>
          <w:tcPr>
            <w:tcW w:w="5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w:t>
            </w: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Uniform</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r>
      <w:tr>
        <w:trPr>
          <w:trHeight w:val="223"/>
        </w:trPr>
        <w:tc>
          <w:tcPr>
            <w:tcW w:w="5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w:t>
            </w: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r>
      <w:tr>
        <w:trPr>
          <w:trHeight w:val="22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w:t>
            </w: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Equity Investment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Defined Benefit Pension Plan Termination</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Financing Costs, net</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w:t>
            </w:r>
          </w:p>
        </w:tc>
      </w:tr>
      <w:tr>
        <w:trPr>
          <w:trHeight w:val="22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(647.7)</w:t>
            </w:r>
          </w:p>
        </w:tc>
      </w:tr>
      <w:tr>
        <w:trPr>
          <w:trHeight w:val="20"/>
        </w:trPr>
        <w:tc>
          <w:tcPr>
            <w:tcW w:w="5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389"/>
        </w:trPr>
        <w:tc>
          <w:tcPr>
            <w:tcW w:w="5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9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Depreciation and Amortization</w:t>
            </w: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
        </w:trPr>
        <w:tc>
          <w:tcPr>
            <w:tcW w:w="5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0"/>
        </w:trPr>
        <w:tc>
          <w:tcPr>
            <w:tcW w:w="5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196"/>
        </w:trPr>
        <w:tc>
          <w:tcPr>
            <w:tcW w:w="5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October 1, 2021</w:t>
            </w:r>
          </w:p>
        </w:tc>
        <w:tc>
          <w:tcPr>
            <w:tcW w:w="240" w:type="dxa"/>
            <w:vAlign w:val="bottom"/>
          </w:tcPr>
          <w:p>
            <w:pPr>
              <w:spacing w:after="0"/>
              <w:rPr>
                <w:sz w:val="17"/>
                <w:szCs w:val="17"/>
                <w:color w:val="auto"/>
              </w:rPr>
            </w:pPr>
          </w:p>
        </w:tc>
        <w:tc>
          <w:tcPr>
            <w:tcW w:w="146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October 2, 2020</w:t>
            </w:r>
          </w:p>
        </w:tc>
      </w:tr>
      <w:tr>
        <w:trPr>
          <w:trHeight w:val="229"/>
        </w:trPr>
        <w:tc>
          <w:tcPr>
            <w:tcW w:w="5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w:t>
            </w: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Uniform</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r>
      <w:tr>
        <w:trPr>
          <w:trHeight w:val="230"/>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8"/>
        </w:trPr>
        <w:tc>
          <w:tcPr>
            <w:tcW w:w="5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20" w:type="dxa"/>
            <w:vAlign w:val="bottom"/>
            <w:gridSpan w:val="6"/>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Capital Expenditures and Other*</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October 1, 2021</w:t>
            </w:r>
          </w:p>
        </w:tc>
        <w:tc>
          <w:tcPr>
            <w:tcW w:w="240" w:type="dxa"/>
            <w:vAlign w:val="bottom"/>
          </w:tcPr>
          <w:p>
            <w:pPr>
              <w:spacing w:after="0"/>
              <w:rPr>
                <w:sz w:val="17"/>
                <w:szCs w:val="17"/>
                <w:color w:val="auto"/>
              </w:rPr>
            </w:pPr>
          </w:p>
        </w:tc>
        <w:tc>
          <w:tcPr>
            <w:tcW w:w="14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October 2, 2020</w:t>
            </w:r>
          </w:p>
        </w:tc>
        <w:tc>
          <w:tcPr>
            <w:tcW w:w="0" w:type="dxa"/>
            <w:vAlign w:val="bottom"/>
          </w:tcPr>
          <w:p>
            <w:pPr>
              <w:spacing w:after="0"/>
              <w:rPr>
                <w:sz w:val="1"/>
                <w:szCs w:val="1"/>
                <w:color w:val="auto"/>
              </w:rPr>
            </w:pPr>
          </w:p>
        </w:tc>
      </w:tr>
      <w:tr>
        <w:trPr>
          <w:trHeight w:val="229"/>
        </w:trPr>
        <w:tc>
          <w:tcPr>
            <w:tcW w:w="5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0" w:type="dxa"/>
            <w:vAlign w:val="bottom"/>
          </w:tcPr>
          <w:p>
            <w:pPr>
              <w:spacing w:after="0"/>
              <w:rPr>
                <w:sz w:val="1"/>
                <w:szCs w:val="1"/>
                <w:color w:val="auto"/>
              </w:rPr>
            </w:pP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Uniform</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30"/>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8"/>
        </w:trPr>
        <w:tc>
          <w:tcPr>
            <w:tcW w:w="5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3"/>
                <w:szCs w:val="13"/>
                <w:color w:val="auto"/>
              </w:rPr>
              <w:t>* Includes amounts acquired in business combinations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59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40" w:type="dxa"/>
            <w:vAlign w:val="bottom"/>
            <w:gridSpan w:val="4"/>
          </w:tcPr>
          <w:p>
            <w:pPr>
              <w:jc w:val="right"/>
              <w:ind w:right="1093"/>
              <w:spacing w:after="0"/>
              <w:rPr>
                <w:sz w:val="20"/>
                <w:szCs w:val="20"/>
                <w:color w:val="auto"/>
              </w:rPr>
            </w:pPr>
            <w:r>
              <w:rPr>
                <w:rFonts w:ascii="Times New Roman" w:cs="Times New Roman" w:eastAsia="Times New Roman" w:hAnsi="Times New Roman"/>
                <w:sz w:val="14"/>
                <w:szCs w:val="14"/>
                <w:b w:val="1"/>
                <w:bCs w:val="1"/>
                <w:color w:val="auto"/>
              </w:rPr>
              <w:t>Identifiable Assets</w:t>
            </w:r>
          </w:p>
        </w:tc>
        <w:tc>
          <w:tcPr>
            <w:tcW w:w="0" w:type="dxa"/>
            <w:vAlign w:val="bottom"/>
          </w:tcPr>
          <w:p>
            <w:pPr>
              <w:spacing w:after="0"/>
              <w:rPr>
                <w:sz w:val="1"/>
                <w:szCs w:val="1"/>
                <w:color w:val="auto"/>
              </w:rPr>
            </w:pPr>
          </w:p>
        </w:tc>
      </w:tr>
      <w:tr>
        <w:trPr>
          <w:trHeight w:val="23"/>
        </w:trPr>
        <w:tc>
          <w:tcPr>
            <w:tcW w:w="5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40" w:type="dxa"/>
            <w:vAlign w:val="bottom"/>
          </w:tcPr>
          <w:p>
            <w:pPr>
              <w:spacing w:after="0"/>
              <w:rPr>
                <w:sz w:val="16"/>
                <w:szCs w:val="16"/>
                <w:color w:val="auto"/>
              </w:rPr>
            </w:pPr>
          </w:p>
        </w:tc>
        <w:tc>
          <w:tcPr>
            <w:tcW w:w="14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October 1, 2021</w:t>
            </w:r>
          </w:p>
        </w:tc>
        <w:tc>
          <w:tcPr>
            <w:tcW w:w="0" w:type="dxa"/>
            <w:vAlign w:val="bottom"/>
          </w:tcPr>
          <w:p>
            <w:pPr>
              <w:spacing w:after="0"/>
              <w:rPr>
                <w:sz w:val="1"/>
                <w:szCs w:val="1"/>
                <w:color w:val="auto"/>
              </w:rPr>
            </w:pPr>
          </w:p>
        </w:tc>
      </w:tr>
      <w:tr>
        <w:trPr>
          <w:trHeight w:val="229"/>
        </w:trPr>
        <w:tc>
          <w:tcPr>
            <w:tcW w:w="5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1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gridSpan w:val="2"/>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9,639.7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8,905.5</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2,028.2</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Uniform</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3,200.8</w:t>
            </w:r>
          </w:p>
        </w:tc>
        <w:tc>
          <w:tcPr>
            <w:tcW w:w="0" w:type="dxa"/>
            <w:vAlign w:val="bottom"/>
          </w:tcPr>
          <w:p>
            <w:pPr>
              <w:spacing w:after="0"/>
              <w:rPr>
                <w:sz w:val="1"/>
                <w:szCs w:val="1"/>
                <w:color w:val="auto"/>
              </w:rPr>
            </w:pPr>
          </w:p>
        </w:tc>
      </w:tr>
      <w:tr>
        <w:trPr>
          <w:trHeight w:val="229"/>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0" w:type="dxa"/>
            <w:vAlign w:val="bottom"/>
          </w:tcPr>
          <w:p>
            <w:pPr>
              <w:spacing w:after="0"/>
              <w:rPr>
                <w:sz w:val="1"/>
                <w:szCs w:val="1"/>
                <w:color w:val="auto"/>
              </w:rPr>
            </w:pPr>
          </w:p>
        </w:tc>
      </w:tr>
      <w:tr>
        <w:trPr>
          <w:trHeight w:val="248"/>
        </w:trPr>
        <w:tc>
          <w:tcPr>
            <w:tcW w:w="5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14,376.2</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geographic data include revenue generated by subsidiaries within that geographic area and net property &amp; equipment based on physical location (in millions):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3"/>
        </w:trPr>
        <w:tc>
          <w:tcPr>
            <w:tcW w:w="5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0"/>
        </w:trPr>
        <w:tc>
          <w:tcPr>
            <w:tcW w:w="5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196"/>
        </w:trPr>
        <w:tc>
          <w:tcPr>
            <w:tcW w:w="5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80" w:type="dxa"/>
            <w:vAlign w:val="bottom"/>
          </w:tcPr>
          <w:p>
            <w:pPr>
              <w:spacing w:after="0"/>
              <w:rPr>
                <w:sz w:val="17"/>
                <w:szCs w:val="17"/>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October 1, 2021</w:t>
            </w:r>
          </w:p>
        </w:tc>
        <w:tc>
          <w:tcPr>
            <w:tcW w:w="240" w:type="dxa"/>
            <w:vAlign w:val="bottom"/>
          </w:tcPr>
          <w:p>
            <w:pPr>
              <w:spacing w:after="0"/>
              <w:rPr>
                <w:sz w:val="17"/>
                <w:szCs w:val="17"/>
                <w:color w:val="auto"/>
              </w:rPr>
            </w:pPr>
          </w:p>
        </w:tc>
        <w:tc>
          <w:tcPr>
            <w:tcW w:w="14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October 2, 2020</w:t>
            </w:r>
          </w:p>
        </w:tc>
      </w:tr>
      <w:tr>
        <w:trPr>
          <w:trHeight w:val="229"/>
        </w:trPr>
        <w:tc>
          <w:tcPr>
            <w:tcW w:w="5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12,277.0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8,947.8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9,560.9</w:t>
            </w:r>
          </w:p>
        </w:tc>
      </w:tr>
      <w:tr>
        <w:trPr>
          <w:trHeight w:val="230"/>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4,049.6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3,148.2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3,268.7</w:t>
            </w:r>
          </w:p>
        </w:tc>
      </w:tr>
      <w:tr>
        <w:trPr>
          <w:trHeight w:val="248"/>
        </w:trPr>
        <w:tc>
          <w:tcPr>
            <w:tcW w:w="5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12,829.6</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gridSpan w:val="2"/>
          </w:tcPr>
          <w:p>
            <w:pPr>
              <w:spacing w:after="0" w:line="20" w:lineRule="exact"/>
              <w:rPr>
                <w:sz w:val="1"/>
                <w:szCs w:val="1"/>
                <w:color w:val="auto"/>
              </w:rPr>
            </w:pPr>
          </w:p>
        </w:tc>
      </w:tr>
      <w:tr>
        <w:trPr>
          <w:trHeight w:val="355"/>
        </w:trPr>
        <w:tc>
          <w:tcPr>
            <w:tcW w:w="5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40" w:type="dxa"/>
            <w:vAlign w:val="bottom"/>
            <w:gridSpan w:val="4"/>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Property and Equipment, net</w:t>
            </w:r>
          </w:p>
        </w:tc>
      </w:tr>
      <w:tr>
        <w:trPr>
          <w:trHeight w:val="23"/>
        </w:trPr>
        <w:tc>
          <w:tcPr>
            <w:tcW w:w="5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0"/>
        </w:trPr>
        <w:tc>
          <w:tcPr>
            <w:tcW w:w="5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40" w:type="dxa"/>
            <w:vAlign w:val="bottom"/>
          </w:tcPr>
          <w:p>
            <w:pPr>
              <w:spacing w:after="0"/>
              <w:rPr>
                <w:sz w:val="16"/>
                <w:szCs w:val="16"/>
                <w:color w:val="auto"/>
              </w:rPr>
            </w:pPr>
          </w:p>
        </w:tc>
        <w:tc>
          <w:tcPr>
            <w:tcW w:w="14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October 1, 2021</w:t>
            </w:r>
          </w:p>
        </w:tc>
      </w:tr>
      <w:tr>
        <w:trPr>
          <w:trHeight w:val="229"/>
        </w:trPr>
        <w:tc>
          <w:tcPr>
            <w:tcW w:w="5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1,755.2</w:t>
            </w:r>
          </w:p>
        </w:tc>
      </w:tr>
      <w:tr>
        <w:trPr>
          <w:trHeight w:val="230"/>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8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283.2</w:t>
            </w:r>
          </w:p>
        </w:tc>
      </w:tr>
      <w:tr>
        <w:trPr>
          <w:trHeight w:val="248"/>
        </w:trPr>
        <w:tc>
          <w:tcPr>
            <w:tcW w:w="5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2,038.4</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FAIR VALUE OF FINANCIAL ASSETS AND FINANCIAL LIABILITIES:</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Assets and liabilities recorded at fair value are classified based upon the level of judgment associated with the inputs used to measure their fair value. The hierarchical levels related to the subjectivity of the valuation inputs are defined as follows:</w:t>
      </w:r>
    </w:p>
    <w:p>
      <w:pPr>
        <w:spacing w:after="0" w:line="54" w:lineRule="exact"/>
        <w:rPr>
          <w:sz w:val="20"/>
          <w:szCs w:val="20"/>
          <w:color w:val="auto"/>
        </w:rPr>
      </w:pPr>
    </w:p>
    <w:p>
      <w:pPr>
        <w:ind w:left="580" w:hanging="248"/>
        <w:spacing w:after="0"/>
        <w:tabs>
          <w:tab w:leader="none" w:pos="5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1—inputs to the valuation methodology are quoted prices (unadjusted) for identical assets or liabilities in active markets</w:t>
      </w:r>
    </w:p>
    <w:p>
      <w:pPr>
        <w:spacing w:after="0" w:line="90" w:lineRule="exact"/>
        <w:rPr>
          <w:rFonts w:ascii="Times New Roman" w:cs="Times New Roman" w:eastAsia="Times New Roman" w:hAnsi="Times New Roman"/>
          <w:sz w:val="18"/>
          <w:szCs w:val="18"/>
          <w:color w:val="auto"/>
        </w:rPr>
      </w:pPr>
    </w:p>
    <w:p>
      <w:pPr>
        <w:ind w:left="660" w:right="780" w:hanging="328"/>
        <w:spacing w:after="0" w:line="282" w:lineRule="auto"/>
        <w:tabs>
          <w:tab w:leader="none" w:pos="57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40"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3—inputs to the valuation methodology are unobservable and significant to the fair value measurement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94" w:lineRule="exact"/>
        <w:rPr>
          <w:sz w:val="20"/>
          <w:szCs w:val="20"/>
          <w:color w:val="auto"/>
        </w:rPr>
      </w:pPr>
    </w:p>
    <w:p>
      <w:pPr>
        <w:ind w:right="500"/>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consist primarily of cash and cash equivalents, marketable securities, accounts receivable, accounts payable, borrowings and derivatives. Management believes that the carrying value of cash and cash equivalents, accounts receivable and accounts payable are representative of their respective fair values. In conjunction with the fair value measurement of the derivative instruments, the Company made an accounting policy election to measure the credit risk of its derivative instruments that are subject to master netting agreements on a net basis by counterparty portfolio, as the gross values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5" w:name="page106"/>
    <w:bookmarkEnd w:id="105"/>
    <w:p>
      <w:pPr>
        <w:spacing w:after="0" w:line="258" w:lineRule="auto"/>
        <w:rPr>
          <w:sz w:val="20"/>
          <w:szCs w:val="20"/>
          <w:color w:val="auto"/>
        </w:rPr>
      </w:pPr>
      <w:r>
        <w:rPr>
          <w:rFonts w:ascii="Times New Roman" w:cs="Times New Roman" w:eastAsia="Times New Roman" w:hAnsi="Times New Roman"/>
          <w:sz w:val="18"/>
          <w:szCs w:val="18"/>
          <w:color w:val="auto"/>
        </w:rPr>
        <w:t>would not be materially different. The fair value of the Company's debt at September 30, 2022 and October 1, 2021 was $7,153.4 million and $7,580.7 million, respectively. The carrying value of the Company's debt at September 30, 2022 and October 1, 2021 was $7,410.9 million and $7,452.3 million, respectively. The fair values were computed using market quotes, if available, or based on discounted cash flows using market interest rates as of the end of the respective periods. The inputs utilized in estimating the fair value of the Company's debt has been classified as Level 2 in the fair value hierarchy levels.</w:t>
      </w:r>
    </w:p>
    <w:p>
      <w:pPr>
        <w:spacing w:after="0" w:line="4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part of the Union Supply acquisition (see Note 2), the Company recorded a contingent consideration obligation based on the fair value of the expected payments. The Company performed a fair value assessment of the contingent consideration obligation based on the terms and conditions of the purchase agreement. The inputs utilized in estimating the fair value of the contingent consideration have been classified as Level 3 in the fair value hierarchy levels and are subject to risk and uncertainty. The calculation of fair value is dependent on several subjective factors including future earnings and profitability. If assumptions or estimates vary from what was expected, the fair value of the contingent consideration liability may materially change. The fair value of the contingent consideration liability at September 30, 2022, which was recorded as part of the acquisition, was $40.2 million.</w:t>
      </w:r>
    </w:p>
    <w:p>
      <w:pPr>
        <w:spacing w:after="0" w:line="6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As part of the Next Level acquisition completed in fiscal 2021, the Company recorded a contingent consideration obligation based on the fair value of the expected payments. During the second quarter of fiscal 2022, the unit purchase agreement with the former owners of Next Level was amended to modify the terms and conditions associated with the contingent consideration. The amended agreement includes calendar year 2023, in addition to calendar years 2022 and 2021, as a performance period to earn consideration should Next Level achieve certain adjusted EBITDA levels. The Company accounted for the agreement prospectively and did not modify its allocation of the purchase price for the transaction, which was finalized in fiscal 2021. The Company performed a fair value assessment of the contingent consideration obligation based on the terms and conditions of the amended agreement, using internal models. The inputs utilized in estimating the fair value of the contingent consideration have been classified as Level 3 in the fair value hierarchy levels and are subject to risk and uncertainty. The calculation of fair value is dependent on several subjective factors including future earnings and profitability. If assumptions or estimates vary from what was expected, the fair value of the contingent consideration liability may materially change. The fair value of the contingent consideration liability at September 30, 2022 and October 1, 2021 was $48.4 million and $78.4 million, respectively. During fiscal 2022, the Company paid $9.3 million related to the contingent consideration liability, which was for the calendar 2021 performance period. Furthermore, due to lower performance than expected from inflationary cost pressures, the Company adjusted the contingent consideration liability to the fair value of future expected payments during fiscal 2022, resulting in a $20.7 million gain, which is included in "Cost of services provided (exclusive of depreciation and amortization)" on the Consolidated Statements of Income (Loss).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 AND RESERVES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YEARS ENDED SEPTEMBER 30, 2022, OCTOBER 1, 2021 AND OCTOBER 2, 2020</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20" w:type="dxa"/>
            <w:vAlign w:val="bottom"/>
          </w:tcPr>
          <w:p>
            <w:pPr>
              <w:spacing w:after="0"/>
              <w:rPr>
                <w:sz w:val="16"/>
                <w:szCs w:val="16"/>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Reductions</w:t>
            </w: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vMerge w:val="restart"/>
          </w:tcPr>
          <w:p>
            <w:pPr>
              <w:jc w:val="center"/>
              <w:ind w:right="295"/>
              <w:spacing w:after="0" w:line="15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15"/>
        </w:trPr>
        <w:tc>
          <w:tcPr>
            <w:tcW w:w="4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Balance, Beginning of</w:t>
            </w:r>
          </w:p>
        </w:tc>
        <w:tc>
          <w:tcPr>
            <w:tcW w:w="300" w:type="dxa"/>
            <w:vAlign w:val="bottom"/>
          </w:tcPr>
          <w:p>
            <w:pPr>
              <w:spacing w:after="0"/>
              <w:rPr>
                <w:sz w:val="10"/>
                <w:szCs w:val="10"/>
                <w:color w:val="auto"/>
              </w:rPr>
            </w:pPr>
          </w:p>
        </w:tc>
        <w:tc>
          <w:tcPr>
            <w:tcW w:w="150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Charged to</w:t>
            </w:r>
          </w:p>
        </w:tc>
        <w:tc>
          <w:tcPr>
            <w:tcW w:w="220" w:type="dxa"/>
            <w:vAlign w:val="bottom"/>
          </w:tcPr>
          <w:p>
            <w:pPr>
              <w:spacing w:after="0"/>
              <w:rPr>
                <w:sz w:val="10"/>
                <w:szCs w:val="10"/>
                <w:color w:val="auto"/>
              </w:rPr>
            </w:pPr>
          </w:p>
        </w:tc>
        <w:tc>
          <w:tcPr>
            <w:tcW w:w="15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Deductions from</w:t>
            </w:r>
          </w:p>
        </w:tc>
        <w:tc>
          <w:tcPr>
            <w:tcW w:w="3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tcPr>
          <w:p>
            <w:pPr>
              <w:jc w:val="center"/>
              <w:ind w:right="295"/>
              <w:spacing w:after="0" w:line="149" w:lineRule="exact"/>
              <w:rPr>
                <w:sz w:val="20"/>
                <w:szCs w:val="20"/>
                <w:color w:val="auto"/>
              </w:rPr>
            </w:pPr>
            <w:r>
              <w:rPr>
                <w:rFonts w:ascii="Times New Roman" w:cs="Times New Roman" w:eastAsia="Times New Roman" w:hAnsi="Times New Roman"/>
                <w:sz w:val="14"/>
                <w:szCs w:val="14"/>
                <w:b w:val="1"/>
                <w:bCs w:val="1"/>
                <w:color w:val="auto"/>
                <w:w w:val="99"/>
              </w:rPr>
              <w:t>End of</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300" w:type="dxa"/>
            <w:vAlign w:val="bottom"/>
          </w:tcPr>
          <w:p>
            <w:pPr>
              <w:spacing w:after="0"/>
              <w:rPr>
                <w:sz w:val="17"/>
                <w:szCs w:val="17"/>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20" w:type="dxa"/>
            <w:vAlign w:val="bottom"/>
          </w:tcPr>
          <w:p>
            <w:pPr>
              <w:spacing w:after="0"/>
              <w:rPr>
                <w:sz w:val="17"/>
                <w:szCs w:val="17"/>
                <w:color w:val="auto"/>
              </w:rPr>
            </w:pPr>
          </w:p>
        </w:tc>
        <w:tc>
          <w:tcPr>
            <w:tcW w:w="1580" w:type="dxa"/>
            <w:vAlign w:val="bottom"/>
            <w:gridSpan w:val="2"/>
          </w:tcPr>
          <w:p>
            <w:pPr>
              <w:jc w:val="center"/>
              <w:ind w:right="340"/>
              <w:spacing w:after="0" w:line="202" w:lineRule="exact"/>
              <w:rPr>
                <w:sz w:val="20"/>
                <w:szCs w:val="20"/>
                <w:color w:val="auto"/>
              </w:rPr>
            </w:pPr>
            <w:r>
              <w:rPr>
                <w:rFonts w:ascii="Times New Roman" w:cs="Times New Roman" w:eastAsia="Times New Roman" w:hAnsi="Times New Roman"/>
                <w:sz w:val="14"/>
                <w:szCs w:val="14"/>
                <w:b w:val="1"/>
                <w:bCs w:val="1"/>
                <w:color w:val="auto"/>
                <w:w w:val="96"/>
              </w:rPr>
              <w:t>Reserves</w:t>
            </w:r>
            <w:r>
              <w:rPr>
                <w:rFonts w:ascii="Times New Roman" w:cs="Times New Roman" w:eastAsia="Times New Roman" w:hAnsi="Times New Roman"/>
                <w:sz w:val="23"/>
                <w:szCs w:val="23"/>
                <w:b w:val="1"/>
                <w:bCs w:val="1"/>
                <w:color w:val="auto"/>
                <w:w w:val="96"/>
                <w:vertAlign w:val="superscript"/>
              </w:rPr>
              <w:t>(1)</w:t>
            </w:r>
          </w:p>
        </w:tc>
        <w:tc>
          <w:tcPr>
            <w:tcW w:w="340" w:type="dxa"/>
            <w:vAlign w:val="bottom"/>
          </w:tcPr>
          <w:p>
            <w:pPr>
              <w:spacing w:after="0"/>
              <w:rPr>
                <w:sz w:val="17"/>
                <w:szCs w:val="17"/>
                <w:color w:val="auto"/>
              </w:rPr>
            </w:pPr>
          </w:p>
        </w:tc>
        <w:tc>
          <w:tcPr>
            <w:tcW w:w="1340" w:type="dxa"/>
            <w:vAlign w:val="bottom"/>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09"/>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2022</w:t>
            </w: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79,644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1,923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25,179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56,388</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2021</w:t>
            </w: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74,925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13,544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8,825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79,644</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2020</w:t>
            </w: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49,566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64,655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39,296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74,925</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440" w:hanging="380"/>
        <w:spacing w:after="0"/>
        <w:tabs>
          <w:tab w:leader="none" w:pos="440" w:val="left"/>
        </w:tabs>
        <w:numPr>
          <w:ilvl w:val="0"/>
          <w:numId w:val="6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3"/>
          <w:szCs w:val="13"/>
          <w:color w:val="auto"/>
        </w:rPr>
        <w:t>Amounts determined not to be collectible and charged against the reserve and translation.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9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Copies of any of the following exhibits are available to Stockholders for the cost of reproduction upon written request to the Secretary, Aramark, 2400 Market Street, Philadelphia, PA 19103.</w:t>
      </w:r>
    </w:p>
    <w:p>
      <w:pPr>
        <w:spacing w:after="0" w:line="79" w:lineRule="exact"/>
        <w:rPr>
          <w:sz w:val="20"/>
          <w:szCs w:val="20"/>
          <w:color w:val="auto"/>
        </w:rPr>
      </w:pPr>
    </w:p>
    <w:p>
      <w:pPr>
        <w:ind w:left="520"/>
        <w:spacing w:after="0"/>
        <w:tabs>
          <w:tab w:leader="none" w:pos="5900" w:val="left"/>
        </w:tabs>
        <w:rPr>
          <w:sz w:val="20"/>
          <w:szCs w:val="20"/>
          <w:color w:val="auto"/>
        </w:rPr>
      </w:pPr>
      <w:r>
        <w:rPr>
          <w:rFonts w:ascii="Times New Roman" w:cs="Times New Roman" w:eastAsia="Times New Roman" w:hAnsi="Times New Roman"/>
          <w:sz w:val="13"/>
          <w:szCs w:val="13"/>
          <w:b w:val="1"/>
          <w:bCs w:val="1"/>
          <w:color w:val="auto"/>
        </w:rPr>
        <w:t>Exhibit No.</w:t>
      </w:r>
      <w:r>
        <w:rPr>
          <w:sz w:val="20"/>
          <w:szCs w:val="20"/>
          <w:color w:val="auto"/>
        </w:rPr>
        <w:tab/>
      </w:r>
      <w:r>
        <w:rPr>
          <w:rFonts w:ascii="Times New Roman" w:cs="Times New Roman" w:eastAsia="Times New Roman" w:hAnsi="Times New Roman"/>
          <w:sz w:val="12"/>
          <w:szCs w:val="12"/>
          <w:b w:val="1"/>
          <w:bCs w:val="1"/>
          <w:color w:val="auto"/>
        </w:rPr>
        <w:t>Description</w:t>
      </w:r>
    </w:p>
    <w:p>
      <w:pPr>
        <w:spacing w:after="0" w:line="28" w:lineRule="exact"/>
        <w:rPr>
          <w:sz w:val="20"/>
          <w:szCs w:val="20"/>
          <w:color w:val="auto"/>
        </w:rPr>
      </w:pPr>
    </w:p>
    <w:p>
      <w:pPr>
        <w:ind w:left="1280" w:right="100" w:hanging="458"/>
        <w:spacing w:after="0" w:line="236" w:lineRule="auto"/>
        <w:tabs>
          <w:tab w:leader="none" w:pos="1260" w:val="left"/>
        </w:tabs>
        <w:rPr>
          <w:rFonts w:ascii="Times New Roman" w:cs="Times New Roman" w:eastAsia="Times New Roman" w:hAnsi="Times New Roman"/>
          <w:sz w:val="17"/>
          <w:szCs w:val="17"/>
          <w:u w:val="single" w:color="auto"/>
          <w:color w:val="0000FF"/>
        </w:rPr>
      </w:pPr>
      <w:hyperlink r:id="rId135">
        <w:r>
          <w:rPr>
            <w:rFonts w:ascii="Times New Roman" w:cs="Times New Roman" w:eastAsia="Times New Roman" w:hAnsi="Times New Roman"/>
            <w:sz w:val="18"/>
            <w:szCs w:val="18"/>
            <w:u w:val="single" w:color="auto"/>
            <w:color w:val="0000FF"/>
          </w:rPr>
          <w:t>2.1#</w:t>
        </w:r>
      </w:hyperlink>
      <w:r>
        <w:rPr>
          <w:rFonts w:ascii="Times New Roman" w:cs="Times New Roman" w:eastAsia="Times New Roman" w:hAnsi="Times New Roman"/>
          <w:sz w:val="18"/>
          <w:szCs w:val="18"/>
          <w:u w:val="single" w:color="auto"/>
          <w:color w:val="0000FF"/>
        </w:rPr>
        <w:tab/>
      </w:r>
      <w:hyperlink r:id="rId135">
        <w:r>
          <w:rPr>
            <w:rFonts w:ascii="Times New Roman" w:cs="Times New Roman" w:eastAsia="Times New Roman" w:hAnsi="Times New Roman"/>
            <w:sz w:val="17"/>
            <w:szCs w:val="17"/>
            <w:u w:val="single" w:color="auto"/>
            <w:color w:val="0000FF"/>
          </w:rPr>
          <w:t>Agreement and Plan of Merger, dated October 13, 2017, by and among Avendra LLC, Aramark, Capital Merger Sub, LLC, and Marriott</w:t>
        </w:r>
      </w:hyperlink>
      <w:r>
        <w:rPr>
          <w:rFonts w:ascii="Times New Roman" w:cs="Times New Roman" w:eastAsia="Times New Roman" w:hAnsi="Times New Roman"/>
          <w:sz w:val="17"/>
          <w:szCs w:val="17"/>
          <w:u w:val="single" w:color="auto"/>
          <w:color w:val="0000FF"/>
        </w:rPr>
        <w:t xml:space="preserve"> </w:t>
      </w:r>
      <w:hyperlink r:id="rId135">
        <w:r>
          <w:rPr>
            <w:rFonts w:ascii="Times New Roman" w:cs="Times New Roman" w:eastAsia="Times New Roman" w:hAnsi="Times New Roman"/>
            <w:sz w:val="17"/>
            <w:szCs w:val="17"/>
            <w:u w:val="single" w:color="auto"/>
            <w:color w:val="0000FF"/>
          </w:rPr>
          <w:t>International, Inc., as Holder Representative (incorporated by reference to Exhibit 2.1 to Aramark's Current Report on Form 8-K filed</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802005</wp:posOffset>
            </wp:positionH>
            <wp:positionV relativeFrom="paragraph">
              <wp:posOffset>-240665</wp:posOffset>
            </wp:positionV>
            <wp:extent cx="632650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6326505" cy="8255"/>
                    </a:xfrm>
                    <a:prstGeom prst="rect">
                      <a:avLst/>
                    </a:prstGeom>
                    <a:noFill/>
                  </pic:spPr>
                </pic:pic>
              </a:graphicData>
            </a:graphic>
          </wp:anchor>
        </w:drawing>
      </w:r>
    </w:p>
    <w:p>
      <w:pPr>
        <w:ind w:left="1280"/>
        <w:spacing w:after="0"/>
        <w:rPr>
          <w:rFonts w:ascii="Times New Roman" w:cs="Times New Roman" w:eastAsia="Times New Roman" w:hAnsi="Times New Roman"/>
          <w:sz w:val="18"/>
          <w:szCs w:val="18"/>
          <w:u w:val="single" w:color="auto"/>
          <w:color w:val="0000FF"/>
        </w:rPr>
      </w:pPr>
      <w:hyperlink r:id="rId135">
        <w:r>
          <w:rPr>
            <w:rFonts w:ascii="Times New Roman" w:cs="Times New Roman" w:eastAsia="Times New Roman" w:hAnsi="Times New Roman"/>
            <w:sz w:val="18"/>
            <w:szCs w:val="18"/>
            <w:u w:val="single" w:color="auto"/>
            <w:color w:val="0000FF"/>
          </w:rPr>
          <w:t>with the SEC on October 16, 2017, pursuant to the Exchange Act (file number 001-36223)).</w:t>
        </w:r>
      </w:hyperlink>
    </w:p>
    <w:p>
      <w:pPr>
        <w:spacing w:after="0" w:line="7" w:lineRule="exact"/>
        <w:rPr>
          <w:rFonts w:ascii="Times New Roman" w:cs="Times New Roman" w:eastAsia="Times New Roman" w:hAnsi="Times New Roman"/>
          <w:sz w:val="18"/>
          <w:szCs w:val="18"/>
          <w:u w:val="single" w:color="auto"/>
          <w:color w:val="0000FF"/>
        </w:rPr>
      </w:pPr>
    </w:p>
    <w:p>
      <w:pPr>
        <w:ind w:left="1280" w:right="80" w:hanging="458"/>
        <w:spacing w:after="0" w:line="233" w:lineRule="auto"/>
        <w:tabs>
          <w:tab w:leader="none" w:pos="1260" w:val="left"/>
        </w:tabs>
        <w:rPr>
          <w:rFonts w:ascii="Times New Roman" w:cs="Times New Roman" w:eastAsia="Times New Roman" w:hAnsi="Times New Roman"/>
          <w:sz w:val="17"/>
          <w:szCs w:val="17"/>
          <w:u w:val="single" w:color="auto"/>
          <w:color w:val="0000FF"/>
        </w:rPr>
      </w:pPr>
      <w:hyperlink r:id="rId137">
        <w:r>
          <w:rPr>
            <w:rFonts w:ascii="Times New Roman" w:cs="Times New Roman" w:eastAsia="Times New Roman" w:hAnsi="Times New Roman"/>
            <w:sz w:val="18"/>
            <w:szCs w:val="18"/>
            <w:u w:val="single" w:color="auto"/>
            <w:color w:val="0000FF"/>
          </w:rPr>
          <w:t>2.2#</w:t>
        </w:r>
      </w:hyperlink>
      <w:r>
        <w:rPr>
          <w:rFonts w:ascii="Times New Roman" w:cs="Times New Roman" w:eastAsia="Times New Roman" w:hAnsi="Times New Roman"/>
          <w:sz w:val="18"/>
          <w:szCs w:val="18"/>
          <w:u w:val="single" w:color="auto"/>
          <w:color w:val="0000FF"/>
        </w:rPr>
        <w:tab/>
      </w:r>
      <w:hyperlink r:id="rId137">
        <w:r>
          <w:rPr>
            <w:rFonts w:ascii="Times New Roman" w:cs="Times New Roman" w:eastAsia="Times New Roman" w:hAnsi="Times New Roman"/>
            <w:sz w:val="17"/>
            <w:szCs w:val="17"/>
            <w:u w:val="single" w:color="auto"/>
            <w:color w:val="0000FF"/>
          </w:rPr>
          <w:t>Agreement and Plan of Merger, dated October 13, 2017, by and among AmeriPride Services Inc., Aramark, Timberwolf Acquisition</w:t>
        </w:r>
      </w:hyperlink>
      <w:r>
        <w:rPr>
          <w:rFonts w:ascii="Times New Roman" w:cs="Times New Roman" w:eastAsia="Times New Roman" w:hAnsi="Times New Roman"/>
          <w:sz w:val="17"/>
          <w:szCs w:val="17"/>
          <w:u w:val="single" w:color="auto"/>
          <w:color w:val="0000FF"/>
        </w:rPr>
        <w:t xml:space="preserve"> </w:t>
      </w:r>
      <w:hyperlink r:id="rId137">
        <w:r>
          <w:rPr>
            <w:rFonts w:ascii="Times New Roman" w:cs="Times New Roman" w:eastAsia="Times New Roman" w:hAnsi="Times New Roman"/>
            <w:sz w:val="17"/>
            <w:szCs w:val="17"/>
            <w:u w:val="single" w:color="auto"/>
            <w:color w:val="0000FF"/>
          </w:rPr>
          <w:t>Corporation, and Bruce M. Steiner, as Stockholder Representative (incorporated by reference to Exhibit 2.2 to Aramark's Current Report</w:t>
        </w:r>
      </w:hyperlink>
    </w:p>
    <w:p>
      <w:pPr>
        <w:ind w:left="1280"/>
        <w:spacing w:after="0"/>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on Form 8-K filed with the SEC on October 16, 2017, pursuant to the Exchange Act (file number 001-36223)).</w:t>
        </w:r>
      </w:hyperlink>
    </w:p>
    <w:p>
      <w:pPr>
        <w:spacing w:after="0" w:line="7" w:lineRule="exact"/>
        <w:rPr>
          <w:rFonts w:ascii="Times New Roman" w:cs="Times New Roman" w:eastAsia="Times New Roman" w:hAnsi="Times New Roman"/>
          <w:sz w:val="18"/>
          <w:szCs w:val="18"/>
          <w:u w:val="single" w:color="auto"/>
          <w:color w:val="0000FF"/>
        </w:rPr>
      </w:pPr>
    </w:p>
    <w:p>
      <w:pPr>
        <w:ind w:left="1280" w:right="200" w:hanging="368"/>
        <w:spacing w:after="0" w:line="234" w:lineRule="auto"/>
        <w:tabs>
          <w:tab w:leader="none" w:pos="1260" w:val="left"/>
        </w:tabs>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3.1</w:t>
        </w:r>
      </w:hyperlink>
      <w:r>
        <w:rPr>
          <w:rFonts w:ascii="Times New Roman" w:cs="Times New Roman" w:eastAsia="Times New Roman" w:hAnsi="Times New Roman"/>
          <w:sz w:val="18"/>
          <w:szCs w:val="18"/>
          <w:u w:val="single" w:color="auto"/>
          <w:color w:val="0000FF"/>
        </w:rPr>
        <w:tab/>
      </w:r>
      <w:hyperlink r:id="rId138">
        <w:r>
          <w:rPr>
            <w:rFonts w:ascii="Times New Roman" w:cs="Times New Roman" w:eastAsia="Times New Roman" w:hAnsi="Times New Roman"/>
            <w:sz w:val="18"/>
            <w:szCs w:val="18"/>
            <w:u w:val="single" w:color="auto"/>
            <w:color w:val="0000FF"/>
          </w:rPr>
          <w:t>Second Amended and Restated Certificate of Incorporation of Aramark (incorporated by reference to Exhibit 3.1 to Aramark’s Current</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Report on Form 8-K filed with the SEC on January 31, 2020, pursuant to the Exchange Act (file number 001-36223)).</w:t>
        </w:r>
      </w:hyperlink>
    </w:p>
    <w:p>
      <w:pPr>
        <w:spacing w:after="0" w:line="10" w:lineRule="exact"/>
        <w:rPr>
          <w:rFonts w:ascii="Times New Roman" w:cs="Times New Roman" w:eastAsia="Times New Roman" w:hAnsi="Times New Roman"/>
          <w:sz w:val="18"/>
          <w:szCs w:val="18"/>
          <w:u w:val="single" w:color="auto"/>
          <w:color w:val="0000FF"/>
        </w:rPr>
      </w:pPr>
    </w:p>
    <w:p>
      <w:pPr>
        <w:ind w:left="1280" w:right="160" w:hanging="368"/>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3.2</w:t>
        </w:r>
      </w:hyperlink>
      <w:r>
        <w:rPr>
          <w:rFonts w:ascii="Times New Roman" w:cs="Times New Roman" w:eastAsia="Times New Roman" w:hAnsi="Times New Roman"/>
          <w:sz w:val="18"/>
          <w:szCs w:val="18"/>
          <w:u w:val="single" w:color="auto"/>
          <w:color w:val="0000FF"/>
        </w:rPr>
        <w:tab/>
      </w:r>
      <w:hyperlink r:id="rId139">
        <w:r>
          <w:rPr>
            <w:rFonts w:ascii="Times New Roman" w:cs="Times New Roman" w:eastAsia="Times New Roman" w:hAnsi="Times New Roman"/>
            <w:sz w:val="18"/>
            <w:szCs w:val="18"/>
            <w:u w:val="single" w:color="auto"/>
            <w:color w:val="0000FF"/>
          </w:rPr>
          <w:t>Certificate of Ownership and Merger (incorporated by reference to Exhibit 3.1 to Aramark’s Current Report on Form 8-K filed with the</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SEC on May 15, 2014, pursuant to the Exchange Act (file number 001-36223)).</w:t>
        </w:r>
      </w:hyperlink>
    </w:p>
    <w:p>
      <w:pPr>
        <w:spacing w:after="0" w:line="10" w:lineRule="exact"/>
        <w:rPr>
          <w:rFonts w:ascii="Times New Roman" w:cs="Times New Roman" w:eastAsia="Times New Roman" w:hAnsi="Times New Roman"/>
          <w:sz w:val="18"/>
          <w:szCs w:val="18"/>
          <w:u w:val="single" w:color="auto"/>
          <w:color w:val="0000FF"/>
        </w:rPr>
      </w:pPr>
    </w:p>
    <w:p>
      <w:pPr>
        <w:ind w:left="1280" w:right="200" w:hanging="368"/>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3.3</w:t>
        </w:r>
      </w:hyperlink>
      <w:r>
        <w:rPr>
          <w:rFonts w:ascii="Times New Roman" w:cs="Times New Roman" w:eastAsia="Times New Roman" w:hAnsi="Times New Roman"/>
          <w:sz w:val="18"/>
          <w:szCs w:val="18"/>
          <w:u w:val="single" w:color="auto"/>
          <w:color w:val="0000FF"/>
        </w:rPr>
        <w:tab/>
      </w:r>
      <w:hyperlink r:id="rId140">
        <w:r>
          <w:rPr>
            <w:rFonts w:ascii="Times New Roman" w:cs="Times New Roman" w:eastAsia="Times New Roman" w:hAnsi="Times New Roman"/>
            <w:sz w:val="18"/>
            <w:szCs w:val="18"/>
            <w:u w:val="single" w:color="auto"/>
            <w:color w:val="0000FF"/>
          </w:rPr>
          <w:t>Third Amended and Restated By-laws of Aramark (incorporated by reference to Exhibit 3.1 to Aramark’s Current Report on Form 8-K</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filed with the SEC on December 16, 2020, pursuant to the Exchange Act (file number 001-36223)).</w:t>
        </w:r>
      </w:hyperlink>
    </w:p>
    <w:p>
      <w:pPr>
        <w:spacing w:after="0" w:line="10" w:lineRule="exact"/>
        <w:rPr>
          <w:rFonts w:ascii="Times New Roman" w:cs="Times New Roman" w:eastAsia="Times New Roman" w:hAnsi="Times New Roman"/>
          <w:sz w:val="18"/>
          <w:szCs w:val="18"/>
          <w:u w:val="single" w:color="auto"/>
          <w:color w:val="0000FF"/>
        </w:rPr>
      </w:pPr>
    </w:p>
    <w:p>
      <w:pPr>
        <w:ind w:left="1280" w:right="140" w:hanging="368"/>
        <w:spacing w:after="0" w:line="236" w:lineRule="auto"/>
        <w:tabs>
          <w:tab w:leader="none" w:pos="1260" w:val="left"/>
        </w:tabs>
        <w:rPr>
          <w:rFonts w:ascii="Times New Roman" w:cs="Times New Roman" w:eastAsia="Times New Roman" w:hAnsi="Times New Roman"/>
          <w:sz w:val="17"/>
          <w:szCs w:val="17"/>
          <w:u w:val="single" w:color="auto"/>
          <w:color w:val="0000FF"/>
        </w:rPr>
      </w:pPr>
      <w:hyperlink r:id="rId141">
        <w:r>
          <w:rPr>
            <w:rFonts w:ascii="Times New Roman" w:cs="Times New Roman" w:eastAsia="Times New Roman" w:hAnsi="Times New Roman"/>
            <w:sz w:val="18"/>
            <w:szCs w:val="18"/>
            <w:u w:val="single" w:color="auto"/>
            <w:color w:val="0000FF"/>
          </w:rPr>
          <w:t>4.1</w:t>
        </w:r>
      </w:hyperlink>
      <w:r>
        <w:rPr>
          <w:rFonts w:ascii="Times New Roman" w:cs="Times New Roman" w:eastAsia="Times New Roman" w:hAnsi="Times New Roman"/>
          <w:sz w:val="18"/>
          <w:szCs w:val="18"/>
          <w:u w:val="single" w:color="auto"/>
          <w:color w:val="0000FF"/>
        </w:rPr>
        <w:tab/>
      </w:r>
      <w:hyperlink r:id="rId141">
        <w:r>
          <w:rPr>
            <w:rFonts w:ascii="Times New Roman" w:cs="Times New Roman" w:eastAsia="Times New Roman" w:hAnsi="Times New Roman"/>
            <w:sz w:val="17"/>
            <w:szCs w:val="17"/>
            <w:u w:val="single" w:color="auto"/>
            <w:color w:val="0000FF"/>
          </w:rPr>
          <w:t>Indenture dated as of March 22, 2017, among Aramark Services, Inc., as issuer, Aramark, as parent guarantor, the subsidiary guarantors</w:t>
        </w:r>
      </w:hyperlink>
      <w:r>
        <w:rPr>
          <w:rFonts w:ascii="Times New Roman" w:cs="Times New Roman" w:eastAsia="Times New Roman" w:hAnsi="Times New Roman"/>
          <w:sz w:val="17"/>
          <w:szCs w:val="17"/>
          <w:u w:val="single" w:color="auto"/>
          <w:color w:val="0000FF"/>
        </w:rPr>
        <w:t xml:space="preserve"> </w:t>
      </w:r>
      <w:hyperlink r:id="rId141">
        <w:r>
          <w:rPr>
            <w:rFonts w:ascii="Times New Roman" w:cs="Times New Roman" w:eastAsia="Times New Roman" w:hAnsi="Times New Roman"/>
            <w:sz w:val="17"/>
            <w:szCs w:val="17"/>
            <w:u w:val="single" w:color="auto"/>
            <w:color w:val="0000FF"/>
          </w:rPr>
          <w:t>named therein and The Bank of New York Mellon, as trustee (incorporated by reference to Exhibit 4.1 of Aramark's Current Report on</w:t>
        </w:r>
      </w:hyperlink>
    </w:p>
    <w:p>
      <w:pPr>
        <w:ind w:left="1280"/>
        <w:spacing w:after="0"/>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Form 8-K filed with the SEC on March 28, 2017, pursuant to the Exchange Act (file number 001-36223)).</w:t>
        </w:r>
      </w:hyperlink>
    </w:p>
    <w:p>
      <w:pPr>
        <w:spacing w:after="0" w:line="7" w:lineRule="exact"/>
        <w:rPr>
          <w:rFonts w:ascii="Times New Roman" w:cs="Times New Roman" w:eastAsia="Times New Roman" w:hAnsi="Times New Roman"/>
          <w:sz w:val="18"/>
          <w:szCs w:val="18"/>
          <w:u w:val="single" w:color="auto"/>
          <w:color w:val="0000FF"/>
        </w:rPr>
      </w:pPr>
    </w:p>
    <w:p>
      <w:pPr>
        <w:ind w:left="1280" w:right="240" w:hanging="368"/>
        <w:spacing w:after="0" w:line="233" w:lineRule="auto"/>
        <w:tabs>
          <w:tab w:leader="none" w:pos="1260" w:val="left"/>
        </w:tabs>
        <w:rPr>
          <w:rFonts w:ascii="Times New Roman" w:cs="Times New Roman" w:eastAsia="Times New Roman" w:hAnsi="Times New Roman"/>
          <w:sz w:val="17"/>
          <w:szCs w:val="17"/>
          <w:u w:val="single" w:color="auto"/>
          <w:color w:val="0000FF"/>
        </w:rPr>
      </w:pPr>
      <w:hyperlink r:id="rId142">
        <w:r>
          <w:rPr>
            <w:rFonts w:ascii="Times New Roman" w:cs="Times New Roman" w:eastAsia="Times New Roman" w:hAnsi="Times New Roman"/>
            <w:sz w:val="18"/>
            <w:szCs w:val="18"/>
            <w:u w:val="single" w:color="auto"/>
            <w:color w:val="0000FF"/>
          </w:rPr>
          <w:t>4.2</w:t>
        </w:r>
      </w:hyperlink>
      <w:r>
        <w:rPr>
          <w:rFonts w:ascii="Times New Roman" w:cs="Times New Roman" w:eastAsia="Times New Roman" w:hAnsi="Times New Roman"/>
          <w:sz w:val="18"/>
          <w:szCs w:val="18"/>
          <w:u w:val="single" w:color="auto"/>
          <w:color w:val="0000FF"/>
        </w:rPr>
        <w:tab/>
      </w:r>
      <w:hyperlink r:id="rId142">
        <w:r>
          <w:rPr>
            <w:rFonts w:ascii="Times New Roman" w:cs="Times New Roman" w:eastAsia="Times New Roman" w:hAnsi="Times New Roman"/>
            <w:sz w:val="17"/>
            <w:szCs w:val="17"/>
            <w:u w:val="single" w:color="auto"/>
            <w:color w:val="0000FF"/>
          </w:rPr>
          <w:t>Indenture dated as of March 27, 2017, among Aramark International Finance S.à.r.l., as issuer, Aramark, as parent guarantor, Aramark</w:t>
        </w:r>
      </w:hyperlink>
      <w:r>
        <w:rPr>
          <w:rFonts w:ascii="Times New Roman" w:cs="Times New Roman" w:eastAsia="Times New Roman" w:hAnsi="Times New Roman"/>
          <w:sz w:val="17"/>
          <w:szCs w:val="17"/>
          <w:u w:val="single" w:color="auto"/>
          <w:color w:val="0000FF"/>
        </w:rPr>
        <w:t xml:space="preserve"> </w:t>
      </w:r>
      <w:hyperlink r:id="rId142">
        <w:r>
          <w:rPr>
            <w:rFonts w:ascii="Times New Roman" w:cs="Times New Roman" w:eastAsia="Times New Roman" w:hAnsi="Times New Roman"/>
            <w:sz w:val="17"/>
            <w:szCs w:val="17"/>
            <w:u w:val="single" w:color="auto"/>
            <w:color w:val="0000FF"/>
          </w:rPr>
          <w:t>Services, Inc., the other guarantors named therein and The Bank of New York Mellon, as trustee and registrar, and The Bank of New</w:t>
        </w:r>
      </w:hyperlink>
    </w:p>
    <w:p>
      <w:pPr>
        <w:ind w:left="1280" w:right="160"/>
        <w:spacing w:after="0" w:line="226" w:lineRule="auto"/>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York Mellon, London Branch, as paying agent and transfer agent (incorporated by reference to Exhibit 4.2 of Aramark's Current Report</w:t>
        </w:r>
      </w:hyperlink>
      <w:r>
        <w:rPr>
          <w:rFonts w:ascii="Times New Roman" w:cs="Times New Roman" w:eastAsia="Times New Roman" w:hAnsi="Times New Roman"/>
          <w:sz w:val="18"/>
          <w:szCs w:val="18"/>
          <w:u w:val="single" w:color="auto"/>
          <w:color w:val="0000FF"/>
        </w:rPr>
        <w:t xml:space="preserve"> </w:t>
      </w:r>
      <w:hyperlink r:id="rId142">
        <w:r>
          <w:rPr>
            <w:rFonts w:ascii="Times New Roman" w:cs="Times New Roman" w:eastAsia="Times New Roman" w:hAnsi="Times New Roman"/>
            <w:sz w:val="18"/>
            <w:szCs w:val="18"/>
            <w:u w:val="single" w:color="auto"/>
            <w:color w:val="0000FF"/>
          </w:rPr>
          <w:t>on Form 8-K filed with the SEC on March 28, 2017, pursuant to the Exchange Act (file number 001-36223)).</w:t>
        </w:r>
      </w:hyperlink>
    </w:p>
    <w:p>
      <w:pPr>
        <w:ind w:left="1280" w:hanging="368"/>
        <w:spacing w:after="0" w:line="233" w:lineRule="auto"/>
        <w:tabs>
          <w:tab w:leader="none" w:pos="1260" w:val="left"/>
        </w:tabs>
        <w:rPr>
          <w:rFonts w:ascii="Times New Roman" w:cs="Times New Roman" w:eastAsia="Times New Roman" w:hAnsi="Times New Roman"/>
          <w:sz w:val="17"/>
          <w:szCs w:val="17"/>
          <w:u w:val="single" w:color="auto"/>
          <w:color w:val="0000FF"/>
        </w:rPr>
      </w:pPr>
      <w:hyperlink r:id="rId143">
        <w:r>
          <w:rPr>
            <w:rFonts w:ascii="Times New Roman" w:cs="Times New Roman" w:eastAsia="Times New Roman" w:hAnsi="Times New Roman"/>
            <w:sz w:val="18"/>
            <w:szCs w:val="18"/>
            <w:u w:val="single" w:color="auto"/>
            <w:color w:val="0000FF"/>
          </w:rPr>
          <w:t>4.3</w:t>
        </w:r>
      </w:hyperlink>
      <w:r>
        <w:rPr>
          <w:rFonts w:ascii="Times New Roman" w:cs="Times New Roman" w:eastAsia="Times New Roman" w:hAnsi="Times New Roman"/>
          <w:sz w:val="18"/>
          <w:szCs w:val="18"/>
          <w:u w:val="single" w:color="auto"/>
          <w:color w:val="0000FF"/>
        </w:rPr>
        <w:tab/>
      </w:r>
      <w:hyperlink r:id="rId143">
        <w:r>
          <w:rPr>
            <w:rFonts w:ascii="Times New Roman" w:cs="Times New Roman" w:eastAsia="Times New Roman" w:hAnsi="Times New Roman"/>
            <w:sz w:val="17"/>
            <w:szCs w:val="17"/>
            <w:u w:val="single" w:color="auto"/>
            <w:color w:val="0000FF"/>
          </w:rPr>
          <w:t>Indenture, dated as of January 18, 2018, among Aramark Services, Inc., as issuer, Aramark, as parent guarantor, the subsidiary guarantors</w:t>
        </w:r>
      </w:hyperlink>
      <w:r>
        <w:rPr>
          <w:rFonts w:ascii="Times New Roman" w:cs="Times New Roman" w:eastAsia="Times New Roman" w:hAnsi="Times New Roman"/>
          <w:sz w:val="17"/>
          <w:szCs w:val="17"/>
          <w:u w:val="single" w:color="auto"/>
          <w:color w:val="0000FF"/>
        </w:rPr>
        <w:t xml:space="preserve"> </w:t>
      </w:r>
      <w:hyperlink r:id="rId143">
        <w:r>
          <w:rPr>
            <w:rFonts w:ascii="Times New Roman" w:cs="Times New Roman" w:eastAsia="Times New Roman" w:hAnsi="Times New Roman"/>
            <w:sz w:val="17"/>
            <w:szCs w:val="17"/>
            <w:u w:val="single" w:color="auto"/>
            <w:color w:val="0000FF"/>
          </w:rPr>
          <w:t>named therein and U.S. Bank National Association, as trustee (incorporated by reference to Exhibit 4.1 to Aramark’s Current Report on</w:t>
        </w:r>
      </w:hyperlink>
    </w:p>
    <w:p>
      <w:pPr>
        <w:ind w:left="1280"/>
        <w:spacing w:after="0"/>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Form 8-K filed with the SEC on January 24, 2018 pursuant to the Exchange Act (file number 001-36223)).</w:t>
        </w:r>
      </w:hyperlink>
    </w:p>
    <w:p>
      <w:pPr>
        <w:spacing w:after="0" w:line="7" w:lineRule="exact"/>
        <w:rPr>
          <w:rFonts w:ascii="Times New Roman" w:cs="Times New Roman" w:eastAsia="Times New Roman" w:hAnsi="Times New Roman"/>
          <w:sz w:val="18"/>
          <w:szCs w:val="18"/>
          <w:u w:val="single" w:color="auto"/>
          <w:color w:val="0000FF"/>
        </w:rPr>
      </w:pPr>
    </w:p>
    <w:p>
      <w:pPr>
        <w:ind w:left="1280" w:right="140" w:hanging="368"/>
        <w:spacing w:after="0" w:line="233" w:lineRule="auto"/>
        <w:tabs>
          <w:tab w:leader="none" w:pos="1260" w:val="left"/>
        </w:tabs>
        <w:rPr>
          <w:rFonts w:ascii="Times New Roman" w:cs="Times New Roman" w:eastAsia="Times New Roman" w:hAnsi="Times New Roman"/>
          <w:sz w:val="17"/>
          <w:szCs w:val="17"/>
          <w:u w:val="single" w:color="auto"/>
          <w:color w:val="0000FF"/>
        </w:rPr>
      </w:pPr>
      <w:hyperlink r:id="rId144">
        <w:r>
          <w:rPr>
            <w:rFonts w:ascii="Times New Roman" w:cs="Times New Roman" w:eastAsia="Times New Roman" w:hAnsi="Times New Roman"/>
            <w:sz w:val="18"/>
            <w:szCs w:val="18"/>
            <w:u w:val="single" w:color="auto"/>
            <w:color w:val="0000FF"/>
          </w:rPr>
          <w:t>4.4</w:t>
        </w:r>
      </w:hyperlink>
      <w:r>
        <w:rPr>
          <w:rFonts w:ascii="Times New Roman" w:cs="Times New Roman" w:eastAsia="Times New Roman" w:hAnsi="Times New Roman"/>
          <w:sz w:val="18"/>
          <w:szCs w:val="18"/>
          <w:u w:val="single" w:color="auto"/>
          <w:color w:val="0000FF"/>
        </w:rPr>
        <w:tab/>
      </w:r>
      <w:hyperlink r:id="rId144">
        <w:r>
          <w:rPr>
            <w:rFonts w:ascii="Times New Roman" w:cs="Times New Roman" w:eastAsia="Times New Roman" w:hAnsi="Times New Roman"/>
            <w:sz w:val="17"/>
            <w:szCs w:val="17"/>
            <w:u w:val="single" w:color="auto"/>
            <w:color w:val="0000FF"/>
          </w:rPr>
          <w:t>Indenture, dated as of April 27, 2020, among Aramark Services, Inc., as issuer, Aramark Intermediate Holdco Corporation, as parent</w:t>
        </w:r>
      </w:hyperlink>
      <w:r>
        <w:rPr>
          <w:rFonts w:ascii="Times New Roman" w:cs="Times New Roman" w:eastAsia="Times New Roman" w:hAnsi="Times New Roman"/>
          <w:sz w:val="17"/>
          <w:szCs w:val="17"/>
          <w:u w:val="single" w:color="auto"/>
          <w:color w:val="0000FF"/>
        </w:rPr>
        <w:t xml:space="preserve"> </w:t>
      </w:r>
      <w:hyperlink r:id="rId144">
        <w:r>
          <w:rPr>
            <w:rFonts w:ascii="Times New Roman" w:cs="Times New Roman" w:eastAsia="Times New Roman" w:hAnsi="Times New Roman"/>
            <w:sz w:val="17"/>
            <w:szCs w:val="17"/>
            <w:u w:val="single" w:color="auto"/>
            <w:color w:val="0000FF"/>
          </w:rPr>
          <w:t>guarantor, the subsidiary guarantors named therein and U.S. Bank National Association, as trustee (incorporated by reference to Exhibit</w:t>
        </w:r>
      </w:hyperlink>
    </w:p>
    <w:p>
      <w:pPr>
        <w:ind w:left="1280"/>
        <w:spacing w:after="0" w:line="203" w:lineRule="auto"/>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4.1 of Aramark’s Current Report on Form 8-K filed with the SEC on April 28, 2020, pursuant to the Exchange Act (file number 001-</w:t>
        </w:r>
      </w:hyperlink>
    </w:p>
    <w:p>
      <w:pPr>
        <w:spacing w:after="0" w:line="1" w:lineRule="exact"/>
        <w:rPr>
          <w:rFonts w:ascii="Times New Roman" w:cs="Times New Roman" w:eastAsia="Times New Roman" w:hAnsi="Times New Roman"/>
          <w:sz w:val="18"/>
          <w:szCs w:val="18"/>
          <w:u w:val="single" w:color="auto"/>
          <w:color w:val="0000FF"/>
        </w:rPr>
      </w:pPr>
    </w:p>
    <w:p>
      <w:pPr>
        <w:ind w:left="1280"/>
        <w:spacing w:after="0"/>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36223)).</w:t>
        </w:r>
      </w:hyperlink>
    </w:p>
    <w:p>
      <w:pPr>
        <w:spacing w:after="0" w:line="7" w:lineRule="exact"/>
        <w:rPr>
          <w:rFonts w:ascii="Times New Roman" w:cs="Times New Roman" w:eastAsia="Times New Roman" w:hAnsi="Times New Roman"/>
          <w:sz w:val="18"/>
          <w:szCs w:val="18"/>
          <w:u w:val="single" w:color="auto"/>
          <w:color w:val="0000FF"/>
        </w:rPr>
      </w:pPr>
    </w:p>
    <w:p>
      <w:pPr>
        <w:jc w:val="right"/>
        <w:ind w:left="920" w:right="220"/>
        <w:spacing w:after="0" w:line="220" w:lineRule="auto"/>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4.5  Second Supplemental Indenture governing the 5.000% Senior Notes due April 2025, dated as of April 30, 2021, among the subsidiary</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guarantors named therein, each a subsidiary of Aramark Services, Inc., and The Bank of New York Mellon, as trustee (incorporated by</w:t>
        </w:r>
      </w:hyperlink>
    </w:p>
    <w:p>
      <w:pPr>
        <w:ind w:left="1280" w:right="40"/>
        <w:spacing w:after="0" w:line="226" w:lineRule="auto"/>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reference to Exhibit 4.1 to Aramark's Quarterly Report on Form 10-Q filed with the SEC on May 11, 2021, pursuant to the Exchange Act</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(file number 001-36223)).</w:t>
        </w:r>
      </w:hyperlink>
    </w:p>
    <w:p>
      <w:pPr>
        <w:jc w:val="right"/>
        <w:ind w:left="920" w:right="220"/>
        <w:spacing w:after="0" w:line="220" w:lineRule="auto"/>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4.6  Second Supplemental Indenture governing the 3.125% Senior Notes due April 2025, dated as of April 30, 2021, among the subsidiary</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guarantors named therein, each a subsidiary of Aramark Services, Inc., and The Bank of New York Mellon, as trustee (incorporated by</w:t>
        </w:r>
      </w:hyperlink>
    </w:p>
    <w:p>
      <w:pPr>
        <w:ind w:left="1280" w:right="40"/>
        <w:spacing w:after="0" w:line="226" w:lineRule="auto"/>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reference to Exhibit 4.2 to Aramark's Quarterly Report on Form 10-Q filed with the SEC on May 11, 2021, pursuant to the Exchange Act</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(file number 001-36223)).</w:t>
        </w:r>
      </w:hyperlink>
    </w:p>
    <w:p>
      <w:pPr>
        <w:ind w:left="1280" w:right="160" w:hanging="368"/>
        <w:spacing w:after="0" w:line="233" w:lineRule="auto"/>
        <w:tabs>
          <w:tab w:leader="none" w:pos="1260" w:val="left"/>
        </w:tabs>
        <w:rPr>
          <w:rFonts w:ascii="Times New Roman" w:cs="Times New Roman" w:eastAsia="Times New Roman" w:hAnsi="Times New Roman"/>
          <w:sz w:val="17"/>
          <w:szCs w:val="17"/>
          <w:u w:val="single" w:color="auto"/>
          <w:color w:val="0000FF"/>
        </w:rPr>
      </w:pPr>
      <w:hyperlink r:id="rId147">
        <w:r>
          <w:rPr>
            <w:rFonts w:ascii="Times New Roman" w:cs="Times New Roman" w:eastAsia="Times New Roman" w:hAnsi="Times New Roman"/>
            <w:sz w:val="18"/>
            <w:szCs w:val="18"/>
            <w:u w:val="single" w:color="auto"/>
            <w:color w:val="0000FF"/>
          </w:rPr>
          <w:t>4.7</w:t>
        </w:r>
      </w:hyperlink>
      <w:r>
        <w:rPr>
          <w:rFonts w:ascii="Times New Roman" w:cs="Times New Roman" w:eastAsia="Times New Roman" w:hAnsi="Times New Roman"/>
          <w:sz w:val="18"/>
          <w:szCs w:val="18"/>
          <w:u w:val="single" w:color="auto"/>
          <w:color w:val="0000FF"/>
        </w:rPr>
        <w:tab/>
      </w:r>
      <w:hyperlink r:id="rId147">
        <w:r>
          <w:rPr>
            <w:rFonts w:ascii="Times New Roman" w:cs="Times New Roman" w:eastAsia="Times New Roman" w:hAnsi="Times New Roman"/>
            <w:sz w:val="17"/>
            <w:szCs w:val="17"/>
            <w:u w:val="single" w:color="auto"/>
            <w:color w:val="0000FF"/>
          </w:rPr>
          <w:t>First Supplemental Indenture governing the 6.375% Senior Notes due May 2025, dated as of April 30, 2021, among the subsidiary</w:t>
        </w:r>
      </w:hyperlink>
      <w:r>
        <w:rPr>
          <w:rFonts w:ascii="Times New Roman" w:cs="Times New Roman" w:eastAsia="Times New Roman" w:hAnsi="Times New Roman"/>
          <w:sz w:val="17"/>
          <w:szCs w:val="17"/>
          <w:u w:val="single" w:color="auto"/>
          <w:color w:val="0000FF"/>
        </w:rPr>
        <w:t xml:space="preserve"> </w:t>
      </w:r>
      <w:hyperlink r:id="rId147">
        <w:r>
          <w:rPr>
            <w:rFonts w:ascii="Times New Roman" w:cs="Times New Roman" w:eastAsia="Times New Roman" w:hAnsi="Times New Roman"/>
            <w:sz w:val="17"/>
            <w:szCs w:val="17"/>
            <w:u w:val="single" w:color="auto"/>
            <w:color w:val="0000FF"/>
          </w:rPr>
          <w:t>guarantors named therein, each a subsidiary of Aramark Services, Inc., and U.S. Bank National Association, as trustee (incorporated by</w:t>
        </w:r>
      </w:hyperlink>
    </w:p>
    <w:p>
      <w:pPr>
        <w:ind w:left="1280" w:right="40"/>
        <w:spacing w:after="0" w:line="226" w:lineRule="auto"/>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reference to Exhibit 4.3 to Aramark's Quarterly Report on Form 10-Q filed with the SEC on May 11, 2021, pursuant to the Exchange Act</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(file number 001-36223)).</w:t>
        </w:r>
      </w:hyperlink>
    </w:p>
    <w:p>
      <w:pPr>
        <w:ind w:left="1280" w:hanging="368"/>
        <w:spacing w:after="0" w:line="233" w:lineRule="auto"/>
        <w:tabs>
          <w:tab w:leader="none" w:pos="1260" w:val="left"/>
        </w:tabs>
        <w:rPr>
          <w:rFonts w:ascii="Times New Roman" w:cs="Times New Roman" w:eastAsia="Times New Roman" w:hAnsi="Times New Roman"/>
          <w:sz w:val="17"/>
          <w:szCs w:val="17"/>
          <w:u w:val="single" w:color="auto"/>
          <w:color w:val="0000FF"/>
        </w:rPr>
      </w:pPr>
      <w:hyperlink r:id="rId148">
        <w:r>
          <w:rPr>
            <w:rFonts w:ascii="Times New Roman" w:cs="Times New Roman" w:eastAsia="Times New Roman" w:hAnsi="Times New Roman"/>
            <w:sz w:val="18"/>
            <w:szCs w:val="18"/>
            <w:u w:val="single" w:color="auto"/>
            <w:color w:val="0000FF"/>
          </w:rPr>
          <w:t>4.8</w:t>
        </w:r>
      </w:hyperlink>
      <w:r>
        <w:rPr>
          <w:rFonts w:ascii="Times New Roman" w:cs="Times New Roman" w:eastAsia="Times New Roman" w:hAnsi="Times New Roman"/>
          <w:sz w:val="18"/>
          <w:szCs w:val="18"/>
          <w:u w:val="single" w:color="auto"/>
          <w:color w:val="0000FF"/>
        </w:rPr>
        <w:tab/>
      </w:r>
      <w:hyperlink r:id="rId148">
        <w:r>
          <w:rPr>
            <w:rFonts w:ascii="Times New Roman" w:cs="Times New Roman" w:eastAsia="Times New Roman" w:hAnsi="Times New Roman"/>
            <w:sz w:val="17"/>
            <w:szCs w:val="17"/>
            <w:u w:val="single" w:color="auto"/>
            <w:color w:val="0000FF"/>
          </w:rPr>
          <w:t>Second Supplemental Indenture governing the 5.000% Senior Notes due February 2028, dated as of April 30, 2021, among the subsidiary</w:t>
        </w:r>
      </w:hyperlink>
      <w:r>
        <w:rPr>
          <w:rFonts w:ascii="Times New Roman" w:cs="Times New Roman" w:eastAsia="Times New Roman" w:hAnsi="Times New Roman"/>
          <w:sz w:val="17"/>
          <w:szCs w:val="17"/>
          <w:u w:val="single" w:color="auto"/>
          <w:color w:val="0000FF"/>
        </w:rPr>
        <w:t xml:space="preserve"> </w:t>
      </w:r>
      <w:hyperlink r:id="rId148">
        <w:r>
          <w:rPr>
            <w:rFonts w:ascii="Times New Roman" w:cs="Times New Roman" w:eastAsia="Times New Roman" w:hAnsi="Times New Roman"/>
            <w:sz w:val="17"/>
            <w:szCs w:val="17"/>
            <w:u w:val="single" w:color="auto"/>
            <w:color w:val="0000FF"/>
          </w:rPr>
          <w:t>guarantors named therein, each a subsidiary of Aramark Services, Inc., and U.S. Bank National Association, as trustee (incorporated by</w:t>
        </w:r>
      </w:hyperlink>
    </w:p>
    <w:p>
      <w:pPr>
        <w:ind w:left="1280" w:right="40"/>
        <w:spacing w:after="0" w:line="226" w:lineRule="auto"/>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reference to Exhibit 4.5 to Aramark's Quarterly Report on Form 10-Q filed with the SEC on May 11, 2021, pursuant to the Exchange Act</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(file number 001-36223)).</w:t>
        </w:r>
      </w:hyperlink>
    </w:p>
    <w:p>
      <w:pPr>
        <w:ind w:left="1280" w:right="160" w:hanging="368"/>
        <w:spacing w:after="0" w:line="234" w:lineRule="auto"/>
        <w:tabs>
          <w:tab w:leader="none" w:pos="1260" w:val="left"/>
        </w:tabs>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u w:val="single" w:color="auto"/>
            <w:color w:val="0000FF"/>
          </w:rPr>
          <w:t>4.9</w:t>
        </w:r>
      </w:hyperlink>
      <w:r>
        <w:rPr>
          <w:rFonts w:ascii="Times New Roman" w:cs="Times New Roman" w:eastAsia="Times New Roman" w:hAnsi="Times New Roman"/>
          <w:sz w:val="18"/>
          <w:szCs w:val="18"/>
          <w:u w:val="single" w:color="auto"/>
          <w:color w:val="0000FF"/>
        </w:rPr>
        <w:tab/>
      </w:r>
      <w:hyperlink r:id="rId149">
        <w:r>
          <w:rPr>
            <w:rFonts w:ascii="Times New Roman" w:cs="Times New Roman" w:eastAsia="Times New Roman" w:hAnsi="Times New Roman"/>
            <w:sz w:val="18"/>
            <w:szCs w:val="18"/>
            <w:u w:val="single" w:color="auto"/>
            <w:color w:val="0000FF"/>
          </w:rPr>
          <w:t>Description of the Company's Common Stock, par value $0.01 per share (incorporated by reference to Exhibit 4.6 to Aramark’s Annual</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Report on Form 10-K filed with the SEC on November 24, 2020 pursuant to the Exchange Act (file number 001-36223)).</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45" w:lineRule="exact"/>
        <w:rPr>
          <w:rFonts w:ascii="Times New Roman" w:cs="Times New Roman" w:eastAsia="Times New Roman" w:hAnsi="Times New Roman"/>
          <w:sz w:val="18"/>
          <w:szCs w:val="18"/>
          <w:u w:val="single" w:color="auto"/>
          <w:color w:val="0000FF"/>
        </w:rPr>
      </w:pPr>
    </w:p>
    <w:p>
      <w:pPr>
        <w:jc w:val="center"/>
        <w:ind w:right="-39"/>
        <w:spacing w:after="0"/>
        <w:rPr>
          <w:sz w:val="20"/>
          <w:szCs w:val="20"/>
          <w:color w:val="auto"/>
        </w:rPr>
      </w:pPr>
      <w:r>
        <w:rPr>
          <w:rFonts w:ascii="Times New Roman" w:cs="Times New Roman" w:eastAsia="Times New Roman" w:hAnsi="Times New Roman"/>
          <w:sz w:val="18"/>
          <w:szCs w:val="18"/>
          <w:color w:val="auto"/>
        </w:rPr>
        <w:t>S-54</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80" w:right="60" w:hanging="458"/>
        <w:spacing w:after="0" w:line="229" w:lineRule="auto"/>
        <w:tabs>
          <w:tab w:leader="none" w:pos="1260" w:val="left"/>
        </w:tabs>
        <w:rPr>
          <w:rFonts w:ascii="Times New Roman" w:cs="Times New Roman" w:eastAsia="Times New Roman" w:hAnsi="Times New Roman"/>
          <w:sz w:val="17"/>
          <w:szCs w:val="17"/>
          <w:u w:val="single" w:color="auto"/>
          <w:color w:val="0000FF"/>
        </w:rPr>
      </w:pPr>
      <w:hyperlink r:id="rId151">
        <w:r>
          <w:rPr>
            <w:rFonts w:ascii="Times New Roman" w:cs="Times New Roman" w:eastAsia="Times New Roman" w:hAnsi="Times New Roman"/>
            <w:sz w:val="18"/>
            <w:szCs w:val="18"/>
            <w:u w:val="single" w:color="auto"/>
            <w:color w:val="0000FF"/>
          </w:rPr>
          <w:t>10.1</w:t>
        </w:r>
      </w:hyperlink>
      <w:r>
        <w:rPr>
          <w:rFonts w:ascii="Times New Roman" w:cs="Times New Roman" w:eastAsia="Times New Roman" w:hAnsi="Times New Roman"/>
          <w:sz w:val="18"/>
          <w:szCs w:val="18"/>
          <w:u w:val="single" w:color="auto"/>
          <w:color w:val="0000FF"/>
        </w:rPr>
        <w:tab/>
      </w:r>
      <w:hyperlink r:id="rId151">
        <w:r>
          <w:rPr>
            <w:rFonts w:ascii="Times New Roman" w:cs="Times New Roman" w:eastAsia="Times New Roman" w:hAnsi="Times New Roman"/>
            <w:sz w:val="17"/>
            <w:szCs w:val="17"/>
            <w:u w:val="single" w:color="auto"/>
            <w:color w:val="0000FF"/>
          </w:rPr>
          <w:t>Credit Agreement, dated as of March 28, 2017, among Aramark Services, Inc., Aramark Intermediate HoldCo Corporation, ARAMARK</w:t>
        </w:r>
      </w:hyperlink>
      <w:r>
        <w:rPr>
          <w:rFonts w:ascii="Times New Roman" w:cs="Times New Roman" w:eastAsia="Times New Roman" w:hAnsi="Times New Roman"/>
          <w:sz w:val="17"/>
          <w:szCs w:val="17"/>
          <w:u w:val="single" w:color="auto"/>
          <w:color w:val="0000FF"/>
        </w:rPr>
        <w:t xml:space="preserve"> </w:t>
      </w:r>
      <w:hyperlink r:id="rId151">
        <w:r>
          <w:rPr>
            <w:rFonts w:ascii="Times New Roman" w:cs="Times New Roman" w:eastAsia="Times New Roman" w:hAnsi="Times New Roman"/>
            <w:sz w:val="17"/>
            <w:szCs w:val="17"/>
            <w:u w:val="single" w:color="auto"/>
            <w:color w:val="0000FF"/>
          </w:rPr>
          <w:t>Canada Ltd., ARAMARK Investments Limited, ARAMARK Ireland Holdings Limited, ARAMARK Regional Treasury Europe,</w:t>
        </w:r>
      </w:hyperlink>
      <w:r>
        <w:rPr>
          <w:rFonts w:ascii="Times New Roman" w:cs="Times New Roman" w:eastAsia="Times New Roman" w:hAnsi="Times New Roman"/>
          <w:sz w:val="17"/>
          <w:szCs w:val="17"/>
          <w:u w:val="single" w:color="auto"/>
          <w:color w:val="0000FF"/>
        </w:rPr>
        <w:t xml:space="preserve"> </w:t>
      </w:r>
      <w:hyperlink r:id="rId151">
        <w:r>
          <w:rPr>
            <w:rFonts w:ascii="Times New Roman" w:cs="Times New Roman" w:eastAsia="Times New Roman" w:hAnsi="Times New Roman"/>
            <w:sz w:val="17"/>
            <w:szCs w:val="17"/>
            <w:u w:val="single" w:color="auto"/>
            <w:color w:val="0000FF"/>
          </w:rPr>
          <w:t>Designated Activity Company, ARAMARK Holdings GmbH &amp; Co. KG, Aramark International Finance S.à.r.l., each subsidiary of the</w:t>
        </w:r>
      </w:hyperlink>
    </w:p>
    <w:p>
      <w:pPr>
        <w:ind w:left="1280" w:right="140"/>
        <w:spacing w:after="0" w:line="220" w:lineRule="auto"/>
        <w:rPr>
          <w:rFonts w:ascii="Times New Roman" w:cs="Times New Roman" w:eastAsia="Times New Roman" w:hAnsi="Times New Roman"/>
          <w:sz w:val="17"/>
          <w:szCs w:val="17"/>
          <w:u w:val="single" w:color="auto"/>
          <w:color w:val="0000FF"/>
        </w:rPr>
      </w:pPr>
      <w:hyperlink r:id="rId151">
        <w:r>
          <w:rPr>
            <w:rFonts w:ascii="Times New Roman" w:cs="Times New Roman" w:eastAsia="Times New Roman" w:hAnsi="Times New Roman"/>
            <w:sz w:val="17"/>
            <w:szCs w:val="17"/>
            <w:u w:val="single" w:color="auto"/>
            <w:color w:val="0000FF"/>
          </w:rPr>
          <w:t>United States Borrower that from time to time becomes a party thereto, the financial institutions from time to time party thereto, the</w:t>
        </w:r>
      </w:hyperlink>
      <w:r>
        <w:rPr>
          <w:rFonts w:ascii="Times New Roman" w:cs="Times New Roman" w:eastAsia="Times New Roman" w:hAnsi="Times New Roman"/>
          <w:sz w:val="17"/>
          <w:szCs w:val="17"/>
          <w:u w:val="single" w:color="auto"/>
          <w:color w:val="0000FF"/>
        </w:rPr>
        <w:t xml:space="preserve"> </w:t>
      </w:r>
      <w:hyperlink r:id="rId151">
        <w:r>
          <w:rPr>
            <w:rFonts w:ascii="Times New Roman" w:cs="Times New Roman" w:eastAsia="Times New Roman" w:hAnsi="Times New Roman"/>
            <w:sz w:val="17"/>
            <w:szCs w:val="17"/>
            <w:u w:val="single" w:color="auto"/>
            <w:color w:val="0000FF"/>
          </w:rPr>
          <w:t>issuing banks named therein, JPMorgan Chase Bank, N.A., as administrative agent for the lenders and collateral agent for the secured</w:t>
        </w:r>
      </w:hyperlink>
      <w:r>
        <w:rPr>
          <w:rFonts w:ascii="Times New Roman" w:cs="Times New Roman" w:eastAsia="Times New Roman" w:hAnsi="Times New Roman"/>
          <w:sz w:val="17"/>
          <w:szCs w:val="17"/>
          <w:u w:val="single" w:color="auto"/>
          <w:color w:val="0000FF"/>
        </w:rPr>
        <w:t xml:space="preserve"> </w:t>
      </w:r>
      <w:hyperlink r:id="rId151">
        <w:r>
          <w:rPr>
            <w:rFonts w:ascii="Times New Roman" w:cs="Times New Roman" w:eastAsia="Times New Roman" w:hAnsi="Times New Roman"/>
            <w:sz w:val="17"/>
            <w:szCs w:val="17"/>
            <w:u w:val="single" w:color="auto"/>
            <w:color w:val="0000FF"/>
          </w:rPr>
          <w:t>parties thereunder (incorporated by reference to Exhibit 10.1 of Aramark’s Current Report on Form 8-K/A filed with the SEC on March</w:t>
        </w:r>
      </w:hyperlink>
    </w:p>
    <w:p>
      <w:pPr>
        <w:spacing w:after="0" w:line="2" w:lineRule="exact"/>
        <w:rPr>
          <w:rFonts w:ascii="Times New Roman" w:cs="Times New Roman" w:eastAsia="Times New Roman" w:hAnsi="Times New Roman"/>
          <w:sz w:val="17"/>
          <w:szCs w:val="17"/>
          <w:u w:val="single" w:color="auto"/>
          <w:color w:val="0000FF"/>
        </w:rPr>
      </w:pPr>
    </w:p>
    <w:p>
      <w:pPr>
        <w:ind w:left="1280"/>
        <w:spacing w:after="0"/>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29, 2017, pursuant to the Exchange Act (file number 001-36223)).</w:t>
        </w:r>
      </w:hyperlink>
    </w:p>
    <w:p>
      <w:pPr>
        <w:spacing w:after="0" w:line="7" w:lineRule="exact"/>
        <w:rPr>
          <w:rFonts w:ascii="Times New Roman" w:cs="Times New Roman" w:eastAsia="Times New Roman" w:hAnsi="Times New Roman"/>
          <w:sz w:val="17"/>
          <w:szCs w:val="17"/>
          <w:u w:val="single" w:color="auto"/>
          <w:color w:val="0000FF"/>
        </w:rPr>
      </w:pPr>
    </w:p>
    <w:p>
      <w:pPr>
        <w:ind w:left="1280" w:right="120" w:hanging="458"/>
        <w:spacing w:after="0" w:line="227" w:lineRule="auto"/>
        <w:tabs>
          <w:tab w:leader="none" w:pos="1260" w:val="left"/>
        </w:tabs>
        <w:rPr>
          <w:rFonts w:ascii="Times New Roman" w:cs="Times New Roman" w:eastAsia="Times New Roman" w:hAnsi="Times New Roman"/>
          <w:sz w:val="17"/>
          <w:szCs w:val="17"/>
          <w:u w:val="single" w:color="auto"/>
          <w:color w:val="0000FF"/>
        </w:rPr>
      </w:pPr>
      <w:hyperlink r:id="rId152">
        <w:r>
          <w:rPr>
            <w:rFonts w:ascii="Times New Roman" w:cs="Times New Roman" w:eastAsia="Times New Roman" w:hAnsi="Times New Roman"/>
            <w:sz w:val="18"/>
            <w:szCs w:val="18"/>
            <w:u w:val="single" w:color="auto"/>
            <w:color w:val="0000FF"/>
          </w:rPr>
          <w:t>10.2</w:t>
        </w:r>
      </w:hyperlink>
      <w:r>
        <w:rPr>
          <w:rFonts w:ascii="Times New Roman" w:cs="Times New Roman" w:eastAsia="Times New Roman" w:hAnsi="Times New Roman"/>
          <w:sz w:val="18"/>
          <w:szCs w:val="18"/>
          <w:u w:val="single" w:color="auto"/>
          <w:color w:val="0000FF"/>
        </w:rPr>
        <w:tab/>
      </w:r>
      <w:hyperlink r:id="rId152">
        <w:r>
          <w:rPr>
            <w:rFonts w:ascii="Times New Roman" w:cs="Times New Roman" w:eastAsia="Times New Roman" w:hAnsi="Times New Roman"/>
            <w:sz w:val="17"/>
            <w:szCs w:val="17"/>
            <w:u w:val="single" w:color="auto"/>
            <w:color w:val="0000FF"/>
          </w:rPr>
          <w:t>Incremental Amendment No. 1, dated as of September 20, 2017, among Aramark Services, Inc. (the “Company”) Aramark Intermediate</w:t>
        </w:r>
      </w:hyperlink>
      <w:r>
        <w:rPr>
          <w:rFonts w:ascii="Times New Roman" w:cs="Times New Roman" w:eastAsia="Times New Roman" w:hAnsi="Times New Roman"/>
          <w:sz w:val="17"/>
          <w:szCs w:val="17"/>
          <w:u w:val="single" w:color="auto"/>
          <w:color w:val="0000FF"/>
        </w:rPr>
        <w:t xml:space="preserve"> </w:t>
      </w:r>
      <w:hyperlink r:id="rId152">
        <w:r>
          <w:rPr>
            <w:rFonts w:ascii="Times New Roman" w:cs="Times New Roman" w:eastAsia="Times New Roman" w:hAnsi="Times New Roman"/>
            <w:sz w:val="17"/>
            <w:szCs w:val="17"/>
            <w:u w:val="single" w:color="auto"/>
            <w:color w:val="0000FF"/>
          </w:rPr>
          <w:t>HoldCo Corporation, ARAMARK Canada Ltd. (“Aramark Canada”), ARAMARK Investments Limited (“Aramark UK”), and certain</w:t>
        </w:r>
      </w:hyperlink>
      <w:r>
        <w:rPr>
          <w:rFonts w:ascii="Times New Roman" w:cs="Times New Roman" w:eastAsia="Times New Roman" w:hAnsi="Times New Roman"/>
          <w:sz w:val="17"/>
          <w:szCs w:val="17"/>
          <w:u w:val="single" w:color="auto"/>
          <w:color w:val="0000FF"/>
        </w:rPr>
        <w:t xml:space="preserve"> </w:t>
      </w:r>
      <w:hyperlink r:id="rId152">
        <w:r>
          <w:rPr>
            <w:rFonts w:ascii="Times New Roman" w:cs="Times New Roman" w:eastAsia="Times New Roman" w:hAnsi="Times New Roman"/>
            <w:sz w:val="17"/>
            <w:szCs w:val="17"/>
            <w:u w:val="single" w:color="auto"/>
            <w:color w:val="0000FF"/>
          </w:rPr>
          <w:t>wholly-owned subsidiaries of the Company, the financial institutions party thereto and JPMorgan Chase Bank, N.A. as administrative</w:t>
        </w:r>
      </w:hyperlink>
    </w:p>
    <w:p>
      <w:pPr>
        <w:jc w:val="both"/>
        <w:ind w:left="1280" w:right="140"/>
        <w:spacing w:after="0" w:line="220" w:lineRule="auto"/>
        <w:rPr>
          <w:rFonts w:ascii="Times New Roman" w:cs="Times New Roman" w:eastAsia="Times New Roman" w:hAnsi="Times New Roman"/>
          <w:sz w:val="17"/>
          <w:szCs w:val="17"/>
          <w:u w:val="single" w:color="auto"/>
          <w:color w:val="0000FF"/>
        </w:rPr>
      </w:pPr>
      <w:hyperlink r:id="rId152">
        <w:r>
          <w:rPr>
            <w:rFonts w:ascii="Times New Roman" w:cs="Times New Roman" w:eastAsia="Times New Roman" w:hAnsi="Times New Roman"/>
            <w:sz w:val="17"/>
            <w:szCs w:val="17"/>
            <w:u w:val="single" w:color="auto"/>
            <w:color w:val="0000FF"/>
          </w:rPr>
          <w:t>agent for the Lenders (as defined below) and collateral agent for the secured parties thereunder to the credit agreement, dated March 28,</w:t>
        </w:r>
      </w:hyperlink>
      <w:r>
        <w:rPr>
          <w:rFonts w:ascii="Times New Roman" w:cs="Times New Roman" w:eastAsia="Times New Roman" w:hAnsi="Times New Roman"/>
          <w:sz w:val="17"/>
          <w:szCs w:val="17"/>
          <w:u w:val="single" w:color="auto"/>
          <w:color w:val="0000FF"/>
        </w:rPr>
        <w:t xml:space="preserve"> </w:t>
      </w:r>
      <w:hyperlink r:id="rId152">
        <w:r>
          <w:rPr>
            <w:rFonts w:ascii="Times New Roman" w:cs="Times New Roman" w:eastAsia="Times New Roman" w:hAnsi="Times New Roman"/>
            <w:sz w:val="17"/>
            <w:szCs w:val="17"/>
            <w:u w:val="single" w:color="auto"/>
            <w:color w:val="0000FF"/>
          </w:rPr>
          <w:t>2017, among the Company, Aramark Intermediate HoldCo Corporation, Aramark Canada, Aramark UK, ARAMARK Ireland Holdings</w:t>
        </w:r>
      </w:hyperlink>
      <w:r>
        <w:rPr>
          <w:rFonts w:ascii="Times New Roman" w:cs="Times New Roman" w:eastAsia="Times New Roman" w:hAnsi="Times New Roman"/>
          <w:sz w:val="17"/>
          <w:szCs w:val="17"/>
          <w:u w:val="single" w:color="auto"/>
          <w:color w:val="0000FF"/>
        </w:rPr>
        <w:t xml:space="preserve"> </w:t>
      </w:r>
      <w:hyperlink r:id="rId152">
        <w:r>
          <w:rPr>
            <w:rFonts w:ascii="Times New Roman" w:cs="Times New Roman" w:eastAsia="Times New Roman" w:hAnsi="Times New Roman"/>
            <w:sz w:val="17"/>
            <w:szCs w:val="17"/>
            <w:u w:val="single" w:color="auto"/>
            <w:color w:val="0000FF"/>
          </w:rPr>
          <w:t>Limited, ARAMARK Regional Treasury Europe, Designated Activity Company, ARAMARK Holdings GmbH &amp; Co. KG, Aramark</w:t>
        </w:r>
      </w:hyperlink>
    </w:p>
    <w:p>
      <w:pPr>
        <w:spacing w:after="0" w:line="2" w:lineRule="exact"/>
        <w:rPr>
          <w:rFonts w:ascii="Times New Roman" w:cs="Times New Roman" w:eastAsia="Times New Roman" w:hAnsi="Times New Roman"/>
          <w:sz w:val="17"/>
          <w:szCs w:val="17"/>
          <w:u w:val="single" w:color="auto"/>
          <w:color w:val="0000FF"/>
        </w:rPr>
      </w:pPr>
    </w:p>
    <w:p>
      <w:pPr>
        <w:ind w:left="1280" w:right="40"/>
        <w:spacing w:after="0" w:line="208" w:lineRule="auto"/>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International Finance S.à.r.l. and certain wholly-owned domestic subsidiaries of the Company, the financial institutions from time to time</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party thereto (including the financial institutions party to the Incremental Amendment, the “Lenders”), the issuing banks named therein</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and JPMorgan Chase Bank, N.A., as administrative agent for the Lenders and collateral agent for the secured parties thereunder</w:t>
        </w:r>
      </w:hyperlink>
    </w:p>
    <w:p>
      <w:pPr>
        <w:spacing w:after="0" w:line="2" w:lineRule="exact"/>
        <w:rPr>
          <w:rFonts w:ascii="Times New Roman" w:cs="Times New Roman" w:eastAsia="Times New Roman" w:hAnsi="Times New Roman"/>
          <w:sz w:val="18"/>
          <w:szCs w:val="18"/>
          <w:u w:val="single" w:color="auto"/>
          <w:color w:val="0000FF"/>
        </w:rPr>
      </w:pPr>
    </w:p>
    <w:p>
      <w:pPr>
        <w:ind w:left="1280"/>
        <w:spacing w:after="0" w:line="226" w:lineRule="auto"/>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(incorporated by reference to Exhibit 10.1 to Aramark's Current Report on Form 8-K filed with the SEC on September 26, 2017, pursuant</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to the Exchange Act (file number 001-36223)).</w:t>
        </w:r>
      </w:hyperlink>
    </w:p>
    <w:p>
      <w:pPr>
        <w:spacing w:after="0" w:line="9" w:lineRule="exact"/>
        <w:rPr>
          <w:sz w:val="20"/>
          <w:szCs w:val="20"/>
          <w:color w:val="auto"/>
        </w:rPr>
      </w:pPr>
    </w:p>
    <w:p>
      <w:pPr>
        <w:ind w:left="1280" w:right="260" w:hanging="458"/>
        <w:spacing w:after="0" w:line="229" w:lineRule="auto"/>
        <w:tabs>
          <w:tab w:leader="none" w:pos="1260" w:val="left"/>
        </w:tabs>
        <w:rPr>
          <w:rFonts w:ascii="Times New Roman" w:cs="Times New Roman" w:eastAsia="Times New Roman" w:hAnsi="Times New Roman"/>
          <w:sz w:val="17"/>
          <w:szCs w:val="17"/>
          <w:u w:val="single" w:color="auto"/>
          <w:color w:val="0000FF"/>
        </w:rPr>
      </w:pPr>
      <w:hyperlink r:id="rId153">
        <w:r>
          <w:rPr>
            <w:rFonts w:ascii="Times New Roman" w:cs="Times New Roman" w:eastAsia="Times New Roman" w:hAnsi="Times New Roman"/>
            <w:sz w:val="18"/>
            <w:szCs w:val="18"/>
            <w:u w:val="single" w:color="auto"/>
            <w:color w:val="0000FF"/>
          </w:rPr>
          <w:t>10.3</w:t>
        </w:r>
      </w:hyperlink>
      <w:r>
        <w:rPr>
          <w:rFonts w:ascii="Times New Roman" w:cs="Times New Roman" w:eastAsia="Times New Roman" w:hAnsi="Times New Roman"/>
          <w:sz w:val="18"/>
          <w:szCs w:val="18"/>
          <w:u w:val="single" w:color="auto"/>
          <w:color w:val="0000FF"/>
        </w:rPr>
        <w:tab/>
      </w:r>
      <w:hyperlink r:id="rId153">
        <w:r>
          <w:rPr>
            <w:rFonts w:ascii="Times New Roman" w:cs="Times New Roman" w:eastAsia="Times New Roman" w:hAnsi="Times New Roman"/>
            <w:sz w:val="17"/>
            <w:szCs w:val="17"/>
            <w:u w:val="single" w:color="auto"/>
            <w:color w:val="0000FF"/>
          </w:rPr>
          <w:t>Incremental Amendment No. 2, dated as of December 11, 2017, among Aramark Services, Inc., Aramark Intermediate HoldCo</w:t>
        </w:r>
      </w:hyperlink>
      <w:r>
        <w:rPr>
          <w:rFonts w:ascii="Times New Roman" w:cs="Times New Roman" w:eastAsia="Times New Roman" w:hAnsi="Times New Roman"/>
          <w:sz w:val="17"/>
          <w:szCs w:val="17"/>
          <w:u w:val="single" w:color="auto"/>
          <w:color w:val="0000FF"/>
        </w:rPr>
        <w:t xml:space="preserve"> </w:t>
      </w:r>
      <w:hyperlink r:id="rId153">
        <w:r>
          <w:rPr>
            <w:rFonts w:ascii="Times New Roman" w:cs="Times New Roman" w:eastAsia="Times New Roman" w:hAnsi="Times New Roman"/>
            <w:sz w:val="17"/>
            <w:szCs w:val="17"/>
            <w:u w:val="single" w:color="auto"/>
            <w:color w:val="0000FF"/>
          </w:rPr>
          <w:t>Corporation (“Holdings”) and certain wholly-owned subsidiaries of Aramark Services, Inc., the financial institutions party thereto and</w:t>
        </w:r>
      </w:hyperlink>
      <w:r>
        <w:rPr>
          <w:rFonts w:ascii="Times New Roman" w:cs="Times New Roman" w:eastAsia="Times New Roman" w:hAnsi="Times New Roman"/>
          <w:sz w:val="17"/>
          <w:szCs w:val="17"/>
          <w:u w:val="single" w:color="auto"/>
          <w:color w:val="0000FF"/>
        </w:rPr>
        <w:t xml:space="preserve"> </w:t>
      </w:r>
      <w:hyperlink r:id="rId153">
        <w:r>
          <w:rPr>
            <w:rFonts w:ascii="Times New Roman" w:cs="Times New Roman" w:eastAsia="Times New Roman" w:hAnsi="Times New Roman"/>
            <w:sz w:val="17"/>
            <w:szCs w:val="17"/>
            <w:u w:val="single" w:color="auto"/>
            <w:color w:val="0000FF"/>
          </w:rPr>
          <w:t>JPMorgan Chase Bank, N.A. as administrative agent for the Lenders (as defined below) and collateral agent for the secured parties</w:t>
        </w:r>
      </w:hyperlink>
    </w:p>
    <w:p>
      <w:pPr>
        <w:ind w:left="1280" w:right="100"/>
        <w:spacing w:after="0" w:line="208" w:lineRule="auto"/>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thereunder to the credit agreement, dated March 28, 2017, among Aramark Services, Inc., Holdings, ARAMARK Canada Ltd.,</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ARAMARK Investments Limited, ARAMARK Ireland Holdings Limited, ARAMARK Regional Treasury Europe, Designated Activity</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Company, ARAMARK Holdings GmbH &amp; Co. KG, Aramark International Finance S.à.r.l. and certain wholly-owned domestic</w:t>
        </w:r>
      </w:hyperlink>
    </w:p>
    <w:p>
      <w:pPr>
        <w:spacing w:after="0" w:line="2" w:lineRule="exact"/>
        <w:rPr>
          <w:rFonts w:ascii="Times New Roman" w:cs="Times New Roman" w:eastAsia="Times New Roman" w:hAnsi="Times New Roman"/>
          <w:sz w:val="18"/>
          <w:szCs w:val="18"/>
          <w:u w:val="single" w:color="auto"/>
          <w:color w:val="0000FF"/>
        </w:rPr>
      </w:pPr>
    </w:p>
    <w:p>
      <w:pPr>
        <w:ind w:left="1280" w:right="60"/>
        <w:spacing w:after="0" w:line="220" w:lineRule="auto"/>
        <w:rPr>
          <w:rFonts w:ascii="Times New Roman" w:cs="Times New Roman" w:eastAsia="Times New Roman" w:hAnsi="Times New Roman"/>
          <w:sz w:val="17"/>
          <w:szCs w:val="17"/>
          <w:u w:val="single" w:color="auto"/>
          <w:color w:val="0000FF"/>
        </w:rPr>
      </w:pPr>
      <w:hyperlink r:id="rId153">
        <w:r>
          <w:rPr>
            <w:rFonts w:ascii="Times New Roman" w:cs="Times New Roman" w:eastAsia="Times New Roman" w:hAnsi="Times New Roman"/>
            <w:sz w:val="17"/>
            <w:szCs w:val="17"/>
            <w:u w:val="single" w:color="auto"/>
            <w:color w:val="0000FF"/>
          </w:rPr>
          <w:t>subsidiaries of Aramark Services, Inc., the financial institutions from time to time party thereto (the “Lenders”), the issuing banks named</w:t>
        </w:r>
      </w:hyperlink>
      <w:r>
        <w:rPr>
          <w:rFonts w:ascii="Times New Roman" w:cs="Times New Roman" w:eastAsia="Times New Roman" w:hAnsi="Times New Roman"/>
          <w:sz w:val="17"/>
          <w:szCs w:val="17"/>
          <w:u w:val="single" w:color="auto"/>
          <w:color w:val="0000FF"/>
        </w:rPr>
        <w:t xml:space="preserve"> </w:t>
      </w:r>
      <w:hyperlink r:id="rId153">
        <w:r>
          <w:rPr>
            <w:rFonts w:ascii="Times New Roman" w:cs="Times New Roman" w:eastAsia="Times New Roman" w:hAnsi="Times New Roman"/>
            <w:sz w:val="17"/>
            <w:szCs w:val="17"/>
            <w:u w:val="single" w:color="auto"/>
            <w:color w:val="0000FF"/>
          </w:rPr>
          <w:t>therein and JPMorgan Chase Bank, N.A., as administrative agent for the Lenders and collateral agent for the secured parties thereunder</w:t>
        </w:r>
      </w:hyperlink>
      <w:r>
        <w:rPr>
          <w:rFonts w:ascii="Times New Roman" w:cs="Times New Roman" w:eastAsia="Times New Roman" w:hAnsi="Times New Roman"/>
          <w:sz w:val="17"/>
          <w:szCs w:val="17"/>
          <w:u w:val="single" w:color="auto"/>
          <w:color w:val="0000FF"/>
        </w:rPr>
        <w:t xml:space="preserve"> </w:t>
      </w:r>
      <w:hyperlink r:id="rId153">
        <w:r>
          <w:rPr>
            <w:rFonts w:ascii="Times New Roman" w:cs="Times New Roman" w:eastAsia="Times New Roman" w:hAnsi="Times New Roman"/>
            <w:sz w:val="17"/>
            <w:szCs w:val="17"/>
            <w:u w:val="single" w:color="auto"/>
            <w:color w:val="0000FF"/>
          </w:rPr>
          <w:t>(incorporated by reference to Exhibit 10.1 to Aramark’s Current Report on Form 8-K filed with the SEC on December 12, 2017 pursuant</w:t>
        </w:r>
      </w:hyperlink>
    </w:p>
    <w:p>
      <w:pPr>
        <w:spacing w:after="0" w:line="2" w:lineRule="exact"/>
        <w:rPr>
          <w:rFonts w:ascii="Times New Roman" w:cs="Times New Roman" w:eastAsia="Times New Roman" w:hAnsi="Times New Roman"/>
          <w:sz w:val="17"/>
          <w:szCs w:val="17"/>
          <w:u w:val="single" w:color="auto"/>
          <w:color w:val="0000FF"/>
        </w:rPr>
      </w:pPr>
    </w:p>
    <w:p>
      <w:pPr>
        <w:ind w:left="1280"/>
        <w:spacing w:after="0"/>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to the Exchange Act (file number 001-36223)).</w:t>
        </w:r>
      </w:hyperlink>
    </w:p>
    <w:p>
      <w:pPr>
        <w:spacing w:after="0" w:line="7" w:lineRule="exact"/>
        <w:rPr>
          <w:rFonts w:ascii="Times New Roman" w:cs="Times New Roman" w:eastAsia="Times New Roman" w:hAnsi="Times New Roman"/>
          <w:sz w:val="17"/>
          <w:szCs w:val="17"/>
          <w:u w:val="single" w:color="auto"/>
          <w:color w:val="0000FF"/>
        </w:rPr>
      </w:pPr>
    </w:p>
    <w:p>
      <w:pPr>
        <w:ind w:left="1280" w:hanging="458"/>
        <w:spacing w:after="0" w:line="227" w:lineRule="auto"/>
        <w:tabs>
          <w:tab w:leader="none" w:pos="1260" w:val="left"/>
        </w:tabs>
        <w:rPr>
          <w:rFonts w:ascii="Times New Roman" w:cs="Times New Roman" w:eastAsia="Times New Roman" w:hAnsi="Times New Roman"/>
          <w:sz w:val="17"/>
          <w:szCs w:val="17"/>
          <w:u w:val="single" w:color="auto"/>
          <w:color w:val="0000FF"/>
        </w:rPr>
      </w:pPr>
      <w:hyperlink r:id="rId154">
        <w:r>
          <w:rPr>
            <w:rFonts w:ascii="Times New Roman" w:cs="Times New Roman" w:eastAsia="Times New Roman" w:hAnsi="Times New Roman"/>
            <w:sz w:val="18"/>
            <w:szCs w:val="18"/>
            <w:u w:val="single" w:color="auto"/>
            <w:color w:val="0000FF"/>
          </w:rPr>
          <w:t>10.4</w:t>
        </w:r>
      </w:hyperlink>
      <w:r>
        <w:rPr>
          <w:rFonts w:ascii="Times New Roman" w:cs="Times New Roman" w:eastAsia="Times New Roman" w:hAnsi="Times New Roman"/>
          <w:sz w:val="18"/>
          <w:szCs w:val="18"/>
          <w:u w:val="single" w:color="auto"/>
          <w:color w:val="0000FF"/>
        </w:rPr>
        <w:tab/>
      </w:r>
      <w:hyperlink r:id="rId154">
        <w:r>
          <w:rPr>
            <w:rFonts w:ascii="Times New Roman" w:cs="Times New Roman" w:eastAsia="Times New Roman" w:hAnsi="Times New Roman"/>
            <w:sz w:val="17"/>
            <w:szCs w:val="17"/>
            <w:u w:val="single" w:color="auto"/>
            <w:color w:val="0000FF"/>
          </w:rPr>
          <w:t>Incremental Amendment No. 3, dated as of February 28, 2018, among Aramark Services, Inc., ARAMARK Canada Ltd., and Aramark</w:t>
        </w:r>
      </w:hyperlink>
      <w:r>
        <w:rPr>
          <w:rFonts w:ascii="Times New Roman" w:cs="Times New Roman" w:eastAsia="Times New Roman" w:hAnsi="Times New Roman"/>
          <w:sz w:val="17"/>
          <w:szCs w:val="17"/>
          <w:u w:val="single" w:color="auto"/>
          <w:color w:val="0000FF"/>
        </w:rPr>
        <w:t xml:space="preserve"> </w:t>
      </w:r>
      <w:hyperlink r:id="rId154">
        <w:r>
          <w:rPr>
            <w:rFonts w:ascii="Times New Roman" w:cs="Times New Roman" w:eastAsia="Times New Roman" w:hAnsi="Times New Roman"/>
            <w:sz w:val="17"/>
            <w:szCs w:val="17"/>
            <w:u w:val="single" w:color="auto"/>
            <w:color w:val="0000FF"/>
          </w:rPr>
          <w:t>Intermediate HoldCo Corporation (“Holdings”), the financial institutions party thereto and JPMorgan Chase Bank, N.A. as administrative</w:t>
        </w:r>
      </w:hyperlink>
      <w:r>
        <w:rPr>
          <w:rFonts w:ascii="Times New Roman" w:cs="Times New Roman" w:eastAsia="Times New Roman" w:hAnsi="Times New Roman"/>
          <w:sz w:val="17"/>
          <w:szCs w:val="17"/>
          <w:u w:val="single" w:color="auto"/>
          <w:color w:val="0000FF"/>
        </w:rPr>
        <w:t xml:space="preserve"> </w:t>
      </w:r>
      <w:hyperlink r:id="rId154">
        <w:r>
          <w:rPr>
            <w:rFonts w:ascii="Times New Roman" w:cs="Times New Roman" w:eastAsia="Times New Roman" w:hAnsi="Times New Roman"/>
            <w:sz w:val="17"/>
            <w:szCs w:val="17"/>
            <w:u w:val="single" w:color="auto"/>
            <w:color w:val="0000FF"/>
          </w:rPr>
          <w:t>agent for the Lenders (as defined below) and collateral agent for the secured parties thereunder to the credit agreement, dated March 28,</w:t>
        </w:r>
      </w:hyperlink>
    </w:p>
    <w:p>
      <w:pPr>
        <w:ind w:left="1280" w:right="340"/>
        <w:spacing w:after="0" w:line="208" w:lineRule="auto"/>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2017, among Aramark Services, Inc., Holdings, ARAMARK Canada Ltd., ARAMARK Investments Limited, ARAMARK Ireland</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Holdings Limited, ARAMARK Regional Treasury Europe, Designated Activity Company, ARAMARK Holdings GmbH &amp; Co. KG,</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Aramark International Finance S.à.r.l. and certain wholly-owned domestic subsidiaries of Aramark Services, Inc., the financial</w:t>
        </w:r>
      </w:hyperlink>
    </w:p>
    <w:p>
      <w:pPr>
        <w:spacing w:after="0" w:line="2" w:lineRule="exact"/>
        <w:rPr>
          <w:rFonts w:ascii="Times New Roman" w:cs="Times New Roman" w:eastAsia="Times New Roman" w:hAnsi="Times New Roman"/>
          <w:sz w:val="18"/>
          <w:szCs w:val="18"/>
          <w:u w:val="single" w:color="auto"/>
          <w:color w:val="0000FF"/>
        </w:rPr>
      </w:pPr>
    </w:p>
    <w:p>
      <w:pPr>
        <w:ind w:left="1280" w:right="120"/>
        <w:spacing w:after="0" w:line="231" w:lineRule="auto"/>
        <w:rPr>
          <w:rFonts w:ascii="Times New Roman" w:cs="Times New Roman" w:eastAsia="Times New Roman" w:hAnsi="Times New Roman"/>
          <w:sz w:val="17"/>
          <w:szCs w:val="17"/>
          <w:u w:val="single" w:color="auto"/>
          <w:color w:val="0000FF"/>
        </w:rPr>
      </w:pPr>
      <w:hyperlink r:id="rId154">
        <w:r>
          <w:rPr>
            <w:rFonts w:ascii="Times New Roman" w:cs="Times New Roman" w:eastAsia="Times New Roman" w:hAnsi="Times New Roman"/>
            <w:sz w:val="17"/>
            <w:szCs w:val="17"/>
            <w:u w:val="single" w:color="auto"/>
            <w:color w:val="0000FF"/>
          </w:rPr>
          <w:t>institutions from time to time party thereto (the “Lenders”), the issuing banks named therein and JPMorgan Chase Bank, N.A., as</w:t>
        </w:r>
      </w:hyperlink>
      <w:r>
        <w:rPr>
          <w:rFonts w:ascii="Times New Roman" w:cs="Times New Roman" w:eastAsia="Times New Roman" w:hAnsi="Times New Roman"/>
          <w:sz w:val="17"/>
          <w:szCs w:val="17"/>
          <w:u w:val="single" w:color="auto"/>
          <w:color w:val="0000FF"/>
        </w:rPr>
        <w:t xml:space="preserve"> </w:t>
      </w:r>
      <w:hyperlink r:id="rId154">
        <w:r>
          <w:rPr>
            <w:rFonts w:ascii="Times New Roman" w:cs="Times New Roman" w:eastAsia="Times New Roman" w:hAnsi="Times New Roman"/>
            <w:sz w:val="17"/>
            <w:szCs w:val="17"/>
            <w:u w:val="single" w:color="auto"/>
            <w:color w:val="0000FF"/>
          </w:rPr>
          <w:t>administrative agent for the Lenders and collateral agent for the secured parties thereunder (incorporated by reference to Exhibit 10.1 to</w:t>
        </w:r>
      </w:hyperlink>
      <w:r>
        <w:rPr>
          <w:rFonts w:ascii="Times New Roman" w:cs="Times New Roman" w:eastAsia="Times New Roman" w:hAnsi="Times New Roman"/>
          <w:sz w:val="17"/>
          <w:szCs w:val="17"/>
          <w:u w:val="single" w:color="auto"/>
          <w:color w:val="0000FF"/>
        </w:rPr>
        <w:t xml:space="preserve"> </w:t>
      </w:r>
      <w:hyperlink r:id="rId154">
        <w:r>
          <w:rPr>
            <w:rFonts w:ascii="Times New Roman" w:cs="Times New Roman" w:eastAsia="Times New Roman" w:hAnsi="Times New Roman"/>
            <w:sz w:val="17"/>
            <w:szCs w:val="17"/>
            <w:u w:val="single" w:color="auto"/>
            <w:color w:val="0000FF"/>
          </w:rPr>
          <w:t>Aramark's Quarterly Report on Form 10-Q filed with the SEC on May 8, 2018, pursuant to the Exchange Act (file number 001-36223)).</w:t>
        </w:r>
      </w:hyperlink>
    </w:p>
    <w:p>
      <w:pPr>
        <w:spacing w:after="0" w:line="10" w:lineRule="exact"/>
        <w:rPr>
          <w:rFonts w:ascii="Times New Roman" w:cs="Times New Roman" w:eastAsia="Times New Roman" w:hAnsi="Times New Roman"/>
          <w:sz w:val="17"/>
          <w:szCs w:val="17"/>
          <w:u w:val="single" w:color="auto"/>
          <w:color w:val="0000FF"/>
        </w:rPr>
      </w:pPr>
    </w:p>
    <w:p>
      <w:pPr>
        <w:ind w:left="1280" w:right="160" w:hanging="458"/>
        <w:spacing w:after="0" w:line="229" w:lineRule="auto"/>
        <w:tabs>
          <w:tab w:leader="none" w:pos="1260" w:val="left"/>
        </w:tabs>
        <w:rPr>
          <w:rFonts w:ascii="Times New Roman" w:cs="Times New Roman" w:eastAsia="Times New Roman" w:hAnsi="Times New Roman"/>
          <w:sz w:val="17"/>
          <w:szCs w:val="17"/>
          <w:u w:val="single" w:color="auto"/>
          <w:color w:val="0000FF"/>
        </w:rPr>
      </w:pPr>
      <w:hyperlink r:id="rId155">
        <w:r>
          <w:rPr>
            <w:rFonts w:ascii="Times New Roman" w:cs="Times New Roman" w:eastAsia="Times New Roman" w:hAnsi="Times New Roman"/>
            <w:sz w:val="18"/>
            <w:szCs w:val="18"/>
            <w:u w:val="single" w:color="auto"/>
            <w:color w:val="0000FF"/>
          </w:rPr>
          <w:t>10.5</w:t>
        </w:r>
      </w:hyperlink>
      <w:r>
        <w:rPr>
          <w:rFonts w:ascii="Times New Roman" w:cs="Times New Roman" w:eastAsia="Times New Roman" w:hAnsi="Times New Roman"/>
          <w:sz w:val="18"/>
          <w:szCs w:val="18"/>
          <w:u w:val="single" w:color="auto"/>
          <w:color w:val="0000FF"/>
        </w:rPr>
        <w:tab/>
      </w:r>
      <w:hyperlink r:id="rId155">
        <w:r>
          <w:rPr>
            <w:rFonts w:ascii="Times New Roman" w:cs="Times New Roman" w:eastAsia="Times New Roman" w:hAnsi="Times New Roman"/>
            <w:sz w:val="17"/>
            <w:szCs w:val="17"/>
            <w:u w:val="single" w:color="auto"/>
            <w:color w:val="0000FF"/>
          </w:rPr>
          <w:t>Amendment No. 4, dated as of May 11, 2018, among Aramark Services, Inc. (the “Company”), Sumitomo Mitsui Banking Corp. (the</w:t>
        </w:r>
      </w:hyperlink>
      <w:r>
        <w:rPr>
          <w:rFonts w:ascii="Times New Roman" w:cs="Times New Roman" w:eastAsia="Times New Roman" w:hAnsi="Times New Roman"/>
          <w:sz w:val="17"/>
          <w:szCs w:val="17"/>
          <w:u w:val="single" w:color="auto"/>
          <w:color w:val="0000FF"/>
        </w:rPr>
        <w:t xml:space="preserve"> </w:t>
      </w:r>
      <w:hyperlink r:id="rId155">
        <w:r>
          <w:rPr>
            <w:rFonts w:ascii="Times New Roman" w:cs="Times New Roman" w:eastAsia="Times New Roman" w:hAnsi="Times New Roman"/>
            <w:sz w:val="17"/>
            <w:szCs w:val="17"/>
            <w:u w:val="single" w:color="auto"/>
            <w:color w:val="0000FF"/>
          </w:rPr>
          <w:t>“Yen Term C Lender”) and JPMorgan Chase Bank, N.A. as administrative agent for the Lenders (as defined below) and collateral agent</w:t>
        </w:r>
      </w:hyperlink>
      <w:r>
        <w:rPr>
          <w:rFonts w:ascii="Times New Roman" w:cs="Times New Roman" w:eastAsia="Times New Roman" w:hAnsi="Times New Roman"/>
          <w:sz w:val="17"/>
          <w:szCs w:val="17"/>
          <w:u w:val="single" w:color="auto"/>
          <w:color w:val="0000FF"/>
        </w:rPr>
        <w:t xml:space="preserve"> </w:t>
      </w:r>
      <w:hyperlink r:id="rId155">
        <w:r>
          <w:rPr>
            <w:rFonts w:ascii="Times New Roman" w:cs="Times New Roman" w:eastAsia="Times New Roman" w:hAnsi="Times New Roman"/>
            <w:sz w:val="17"/>
            <w:szCs w:val="17"/>
            <w:u w:val="single" w:color="auto"/>
            <w:color w:val="0000FF"/>
          </w:rPr>
          <w:t>for the secured parties thereunder to the credit agreement, dated March 28, 2017, among the Company, Aramark Intermediate Holdco</w:t>
        </w:r>
      </w:hyperlink>
    </w:p>
    <w:p>
      <w:pPr>
        <w:ind w:left="1280" w:right="340"/>
        <w:spacing w:after="0" w:line="220" w:lineRule="auto"/>
        <w:rPr>
          <w:rFonts w:ascii="Times New Roman" w:cs="Times New Roman" w:eastAsia="Times New Roman" w:hAnsi="Times New Roman"/>
          <w:sz w:val="17"/>
          <w:szCs w:val="17"/>
          <w:u w:val="single" w:color="auto"/>
          <w:color w:val="0000FF"/>
        </w:rPr>
      </w:pPr>
      <w:hyperlink r:id="rId155">
        <w:r>
          <w:rPr>
            <w:rFonts w:ascii="Times New Roman" w:cs="Times New Roman" w:eastAsia="Times New Roman" w:hAnsi="Times New Roman"/>
            <w:sz w:val="17"/>
            <w:szCs w:val="17"/>
            <w:u w:val="single" w:color="auto"/>
            <w:color w:val="0000FF"/>
          </w:rPr>
          <w:t>Corporation, ARAMARK Canada Ltd., ARAMARK Investments Limited, ARAMARK Ireland Holdings Limited, ARAMARK</w:t>
        </w:r>
      </w:hyperlink>
      <w:r>
        <w:rPr>
          <w:rFonts w:ascii="Times New Roman" w:cs="Times New Roman" w:eastAsia="Times New Roman" w:hAnsi="Times New Roman"/>
          <w:sz w:val="17"/>
          <w:szCs w:val="17"/>
          <w:u w:val="single" w:color="auto"/>
          <w:color w:val="0000FF"/>
        </w:rPr>
        <w:t xml:space="preserve"> </w:t>
      </w:r>
      <w:hyperlink r:id="rId155">
        <w:r>
          <w:rPr>
            <w:rFonts w:ascii="Times New Roman" w:cs="Times New Roman" w:eastAsia="Times New Roman" w:hAnsi="Times New Roman"/>
            <w:sz w:val="17"/>
            <w:szCs w:val="17"/>
            <w:u w:val="single" w:color="auto"/>
            <w:color w:val="0000FF"/>
          </w:rPr>
          <w:t>Regional Treasury Europe, Designated Activity Company, ARAMARK Holdings GmbH &amp; Co. KG, Aramark International Finance</w:t>
        </w:r>
      </w:hyperlink>
      <w:r>
        <w:rPr>
          <w:rFonts w:ascii="Times New Roman" w:cs="Times New Roman" w:eastAsia="Times New Roman" w:hAnsi="Times New Roman"/>
          <w:sz w:val="17"/>
          <w:szCs w:val="17"/>
          <w:u w:val="single" w:color="auto"/>
          <w:color w:val="0000FF"/>
        </w:rPr>
        <w:t xml:space="preserve"> </w:t>
      </w:r>
      <w:hyperlink r:id="rId155">
        <w:r>
          <w:rPr>
            <w:rFonts w:ascii="Times New Roman" w:cs="Times New Roman" w:eastAsia="Times New Roman" w:hAnsi="Times New Roman"/>
            <w:sz w:val="17"/>
            <w:szCs w:val="17"/>
            <w:u w:val="single" w:color="auto"/>
            <w:color w:val="0000FF"/>
          </w:rPr>
          <w:t>S.à.r.l. and certain wholly-owned domestic subsidiaries of the Company, the financial institutions from time to time party thereto (the</w:t>
        </w:r>
      </w:hyperlink>
    </w:p>
    <w:p>
      <w:pPr>
        <w:spacing w:after="0" w:line="2" w:lineRule="exact"/>
        <w:rPr>
          <w:rFonts w:ascii="Times New Roman" w:cs="Times New Roman" w:eastAsia="Times New Roman" w:hAnsi="Times New Roman"/>
          <w:sz w:val="17"/>
          <w:szCs w:val="17"/>
          <w:u w:val="single" w:color="auto"/>
          <w:color w:val="0000FF"/>
        </w:rPr>
      </w:pPr>
    </w:p>
    <w:p>
      <w:pPr>
        <w:jc w:val="both"/>
        <w:ind w:left="1280" w:right="320"/>
        <w:spacing w:after="0" w:line="218" w:lineRule="auto"/>
        <w:rPr>
          <w:rFonts w:ascii="Times New Roman" w:cs="Times New Roman" w:eastAsia="Times New Roman" w:hAnsi="Times New Roman"/>
          <w:sz w:val="18"/>
          <w:szCs w:val="18"/>
          <w:u w:val="single" w:color="auto"/>
          <w:color w:val="0000FF"/>
        </w:rPr>
      </w:pPr>
      <w:hyperlink r:id="rId155">
        <w:r>
          <w:rPr>
            <w:rFonts w:ascii="Times New Roman" w:cs="Times New Roman" w:eastAsia="Times New Roman" w:hAnsi="Times New Roman"/>
            <w:sz w:val="18"/>
            <w:szCs w:val="18"/>
            <w:u w:val="single" w:color="auto"/>
            <w:color w:val="0000FF"/>
          </w:rPr>
          <w:t>“Lenders”), the issuing banks named therein and JPMorgan Chase Bank, N.A., as administrative agent for the Lenders and collateral</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agent for the secured parties thereunder (incorporated by reference to Exhibit 10.1 to Aramark's Quarterly Report on Form 10-Q filed</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with the SEC on August 7, 2018, pursuant to the Exchange Act (file number 001-36223)).</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31" w:lineRule="exact"/>
        <w:rPr>
          <w:rFonts w:ascii="Times New Roman" w:cs="Times New Roman" w:eastAsia="Times New Roman" w:hAnsi="Times New Roman"/>
          <w:sz w:val="18"/>
          <w:szCs w:val="18"/>
          <w:u w:val="single" w:color="auto"/>
          <w:color w:val="0000FF"/>
        </w:rPr>
      </w:pPr>
    </w:p>
    <w:p>
      <w:pPr>
        <w:jc w:val="center"/>
        <w:ind w:right="-59"/>
        <w:spacing w:after="0"/>
        <w:rPr>
          <w:sz w:val="20"/>
          <w:szCs w:val="20"/>
          <w:color w:val="auto"/>
        </w:rPr>
      </w:pPr>
      <w:r>
        <w:rPr>
          <w:rFonts w:ascii="Times New Roman" w:cs="Times New Roman" w:eastAsia="Times New Roman" w:hAnsi="Times New Roman"/>
          <w:sz w:val="18"/>
          <w:szCs w:val="18"/>
          <w:color w:val="auto"/>
        </w:rPr>
        <w:t>S-55</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80" w:right="40" w:hanging="458"/>
        <w:spacing w:after="0" w:line="229" w:lineRule="auto"/>
        <w:tabs>
          <w:tab w:leader="none" w:pos="1260" w:val="left"/>
        </w:tabs>
        <w:rPr>
          <w:rFonts w:ascii="Times New Roman" w:cs="Times New Roman" w:eastAsia="Times New Roman" w:hAnsi="Times New Roman"/>
          <w:sz w:val="17"/>
          <w:szCs w:val="17"/>
          <w:u w:val="single" w:color="auto"/>
          <w:color w:val="0000FF"/>
        </w:rPr>
      </w:pPr>
      <w:hyperlink r:id="rId157">
        <w:r>
          <w:rPr>
            <w:rFonts w:ascii="Times New Roman" w:cs="Times New Roman" w:eastAsia="Times New Roman" w:hAnsi="Times New Roman"/>
            <w:sz w:val="18"/>
            <w:szCs w:val="18"/>
            <w:u w:val="single" w:color="auto"/>
            <w:color w:val="0000FF"/>
          </w:rPr>
          <w:t>10.6</w:t>
        </w:r>
      </w:hyperlink>
      <w:r>
        <w:rPr>
          <w:rFonts w:ascii="Times New Roman" w:cs="Times New Roman" w:eastAsia="Times New Roman" w:hAnsi="Times New Roman"/>
          <w:sz w:val="18"/>
          <w:szCs w:val="18"/>
          <w:u w:val="single" w:color="auto"/>
          <w:color w:val="0000FF"/>
        </w:rPr>
        <w:tab/>
      </w:r>
      <w:hyperlink r:id="rId157">
        <w:r>
          <w:rPr>
            <w:rFonts w:ascii="Times New Roman" w:cs="Times New Roman" w:eastAsia="Times New Roman" w:hAnsi="Times New Roman"/>
            <w:sz w:val="17"/>
            <w:szCs w:val="17"/>
            <w:u w:val="single" w:color="auto"/>
            <w:color w:val="0000FF"/>
          </w:rPr>
          <w:t>Amendment No. 5, dated as of May 24, 2018, among Aramark Services, Inc. (the “Company”), Aramark Intermediate HoldCo</w:t>
        </w:r>
      </w:hyperlink>
      <w:r>
        <w:rPr>
          <w:rFonts w:ascii="Times New Roman" w:cs="Times New Roman" w:eastAsia="Times New Roman" w:hAnsi="Times New Roman"/>
          <w:sz w:val="17"/>
          <w:szCs w:val="17"/>
          <w:u w:val="single" w:color="auto"/>
          <w:color w:val="0000FF"/>
        </w:rPr>
        <w:t xml:space="preserve"> </w:t>
      </w:r>
      <w:hyperlink r:id="rId157">
        <w:r>
          <w:rPr>
            <w:rFonts w:ascii="Times New Roman" w:cs="Times New Roman" w:eastAsia="Times New Roman" w:hAnsi="Times New Roman"/>
            <w:sz w:val="17"/>
            <w:szCs w:val="17"/>
            <w:u w:val="single" w:color="auto"/>
            <w:color w:val="0000FF"/>
          </w:rPr>
          <w:t>Corporation (“Holdings”), certain wholly-owned subsidiaries of the Company, each Converting United States Term B-2 Lender (as</w:t>
        </w:r>
      </w:hyperlink>
      <w:r>
        <w:rPr>
          <w:rFonts w:ascii="Times New Roman" w:cs="Times New Roman" w:eastAsia="Times New Roman" w:hAnsi="Times New Roman"/>
          <w:sz w:val="17"/>
          <w:szCs w:val="17"/>
          <w:u w:val="single" w:color="auto"/>
          <w:color w:val="0000FF"/>
        </w:rPr>
        <w:t xml:space="preserve"> </w:t>
      </w:r>
      <w:hyperlink r:id="rId157">
        <w:r>
          <w:rPr>
            <w:rFonts w:ascii="Times New Roman" w:cs="Times New Roman" w:eastAsia="Times New Roman" w:hAnsi="Times New Roman"/>
            <w:sz w:val="17"/>
            <w:szCs w:val="17"/>
            <w:u w:val="single" w:color="auto"/>
            <w:color w:val="0000FF"/>
          </w:rPr>
          <w:t>defined therein), the Additional United States Term B-2 Lender (as defined therein), the financial institutions party thereto and JPMorgan</w:t>
        </w:r>
      </w:hyperlink>
    </w:p>
    <w:p>
      <w:pPr>
        <w:ind w:left="1280" w:right="20"/>
        <w:spacing w:after="0" w:line="208" w:lineRule="auto"/>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Chase Bank, N.A. as administrative agent for the Lenders (as defined below) and collateral agent for the secured parties thereunder to the</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credit agreement, dated March 28, 2017, among the Company, Holdings, ARAMARK Canada Ltd., ARAMARK Investments Limited,</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ARAMARK Ireland Holdings Limited, ARAMARK Regional Treasury Europe, Designated Activity Company, ARAMARK Holdings</w:t>
        </w:r>
      </w:hyperlink>
    </w:p>
    <w:p>
      <w:pPr>
        <w:spacing w:after="0" w:line="2" w:lineRule="exact"/>
        <w:rPr>
          <w:rFonts w:ascii="Times New Roman" w:cs="Times New Roman" w:eastAsia="Times New Roman" w:hAnsi="Times New Roman"/>
          <w:sz w:val="18"/>
          <w:szCs w:val="18"/>
          <w:u w:val="single" w:color="auto"/>
          <w:color w:val="0000FF"/>
        </w:rPr>
      </w:pPr>
    </w:p>
    <w:p>
      <w:pPr>
        <w:ind w:left="1280" w:right="140"/>
        <w:spacing w:after="0" w:line="220" w:lineRule="auto"/>
        <w:rPr>
          <w:rFonts w:ascii="Times New Roman" w:cs="Times New Roman" w:eastAsia="Times New Roman" w:hAnsi="Times New Roman"/>
          <w:sz w:val="17"/>
          <w:szCs w:val="17"/>
          <w:u w:val="single" w:color="auto"/>
          <w:color w:val="0000FF"/>
        </w:rPr>
      </w:pPr>
      <w:hyperlink r:id="rId157">
        <w:r>
          <w:rPr>
            <w:rFonts w:ascii="Times New Roman" w:cs="Times New Roman" w:eastAsia="Times New Roman" w:hAnsi="Times New Roman"/>
            <w:sz w:val="17"/>
            <w:szCs w:val="17"/>
            <w:u w:val="single" w:color="auto"/>
            <w:color w:val="0000FF"/>
          </w:rPr>
          <w:t>GmbH &amp; Co. KG, Aramark International Finance S.à.r.l. and certain wholly-owned domestic subsidiaries of the Company, the financial</w:t>
        </w:r>
      </w:hyperlink>
      <w:r>
        <w:rPr>
          <w:rFonts w:ascii="Times New Roman" w:cs="Times New Roman" w:eastAsia="Times New Roman" w:hAnsi="Times New Roman"/>
          <w:sz w:val="17"/>
          <w:szCs w:val="17"/>
          <w:u w:val="single" w:color="auto"/>
          <w:color w:val="0000FF"/>
        </w:rPr>
        <w:t xml:space="preserve"> </w:t>
      </w:r>
      <w:hyperlink r:id="rId157">
        <w:r>
          <w:rPr>
            <w:rFonts w:ascii="Times New Roman" w:cs="Times New Roman" w:eastAsia="Times New Roman" w:hAnsi="Times New Roman"/>
            <w:sz w:val="17"/>
            <w:szCs w:val="17"/>
            <w:u w:val="single" w:color="auto"/>
            <w:color w:val="0000FF"/>
          </w:rPr>
          <w:t>institutions from time to time party thereto (the “Lenders”), the issuing banks named therein and JPMorgan Chase Bank, N.A., as</w:t>
        </w:r>
      </w:hyperlink>
      <w:r>
        <w:rPr>
          <w:rFonts w:ascii="Times New Roman" w:cs="Times New Roman" w:eastAsia="Times New Roman" w:hAnsi="Times New Roman"/>
          <w:sz w:val="17"/>
          <w:szCs w:val="17"/>
          <w:u w:val="single" w:color="auto"/>
          <w:color w:val="0000FF"/>
        </w:rPr>
        <w:t xml:space="preserve"> </w:t>
      </w:r>
      <w:hyperlink r:id="rId157">
        <w:r>
          <w:rPr>
            <w:rFonts w:ascii="Times New Roman" w:cs="Times New Roman" w:eastAsia="Times New Roman" w:hAnsi="Times New Roman"/>
            <w:sz w:val="17"/>
            <w:szCs w:val="17"/>
            <w:u w:val="single" w:color="auto"/>
            <w:color w:val="0000FF"/>
          </w:rPr>
          <w:t>administrative agent for the Lenders and collateral agent for the secured parties thereunder (incorporated by reference to Exhibit 10.1 to</w:t>
        </w:r>
      </w:hyperlink>
    </w:p>
    <w:p>
      <w:pPr>
        <w:spacing w:after="0" w:line="2" w:lineRule="exact"/>
        <w:rPr>
          <w:rFonts w:ascii="Times New Roman" w:cs="Times New Roman" w:eastAsia="Times New Roman" w:hAnsi="Times New Roman"/>
          <w:sz w:val="17"/>
          <w:szCs w:val="17"/>
          <w:u w:val="single" w:color="auto"/>
          <w:color w:val="0000FF"/>
        </w:rPr>
      </w:pPr>
    </w:p>
    <w:p>
      <w:pPr>
        <w:ind w:left="1280"/>
        <w:spacing w:after="0"/>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Aramark’s Current Report on Form 8-K filed with the SEC on May 31, 2018 pursuant to the Exchange Act (file number 001-36223)).</w:t>
        </w:r>
      </w:hyperlink>
    </w:p>
    <w:p>
      <w:pPr>
        <w:spacing w:after="0" w:line="7" w:lineRule="exact"/>
        <w:rPr>
          <w:rFonts w:ascii="Times New Roman" w:cs="Times New Roman" w:eastAsia="Times New Roman" w:hAnsi="Times New Roman"/>
          <w:sz w:val="17"/>
          <w:szCs w:val="17"/>
          <w:u w:val="single" w:color="auto"/>
          <w:color w:val="0000FF"/>
        </w:rPr>
      </w:pPr>
    </w:p>
    <w:p>
      <w:pPr>
        <w:ind w:left="1280" w:right="40" w:hanging="458"/>
        <w:spacing w:after="0" w:line="227" w:lineRule="auto"/>
        <w:tabs>
          <w:tab w:leader="none" w:pos="1260" w:val="left"/>
        </w:tabs>
        <w:rPr>
          <w:rFonts w:ascii="Times New Roman" w:cs="Times New Roman" w:eastAsia="Times New Roman" w:hAnsi="Times New Roman"/>
          <w:sz w:val="17"/>
          <w:szCs w:val="17"/>
          <w:u w:val="single" w:color="auto"/>
          <w:color w:val="0000FF"/>
        </w:rPr>
      </w:pPr>
      <w:hyperlink r:id="rId158">
        <w:r>
          <w:rPr>
            <w:rFonts w:ascii="Times New Roman" w:cs="Times New Roman" w:eastAsia="Times New Roman" w:hAnsi="Times New Roman"/>
            <w:sz w:val="18"/>
            <w:szCs w:val="18"/>
            <w:u w:val="single" w:color="auto"/>
            <w:color w:val="0000FF"/>
          </w:rPr>
          <w:t>10.7</w:t>
        </w:r>
      </w:hyperlink>
      <w:r>
        <w:rPr>
          <w:rFonts w:ascii="Times New Roman" w:cs="Times New Roman" w:eastAsia="Times New Roman" w:hAnsi="Times New Roman"/>
          <w:sz w:val="18"/>
          <w:szCs w:val="18"/>
          <w:u w:val="single" w:color="auto"/>
          <w:color w:val="0000FF"/>
        </w:rPr>
        <w:tab/>
      </w:r>
      <w:hyperlink r:id="rId158">
        <w:r>
          <w:rPr>
            <w:rFonts w:ascii="Times New Roman" w:cs="Times New Roman" w:eastAsia="Times New Roman" w:hAnsi="Times New Roman"/>
            <w:sz w:val="17"/>
            <w:szCs w:val="17"/>
            <w:u w:val="single" w:color="auto"/>
            <w:color w:val="0000FF"/>
          </w:rPr>
          <w:t>Amendment No. 6, dated as of June 12, 2018, among Aramark Services, Inc. (the “Company”), Aramark Intermediate HoldCo</w:t>
        </w:r>
      </w:hyperlink>
      <w:r>
        <w:rPr>
          <w:rFonts w:ascii="Times New Roman" w:cs="Times New Roman" w:eastAsia="Times New Roman" w:hAnsi="Times New Roman"/>
          <w:sz w:val="17"/>
          <w:szCs w:val="17"/>
          <w:u w:val="single" w:color="auto"/>
          <w:color w:val="0000FF"/>
        </w:rPr>
        <w:t xml:space="preserve"> </w:t>
      </w:r>
      <w:hyperlink r:id="rId158">
        <w:r>
          <w:rPr>
            <w:rFonts w:ascii="Times New Roman" w:cs="Times New Roman" w:eastAsia="Times New Roman" w:hAnsi="Times New Roman"/>
            <w:sz w:val="17"/>
            <w:szCs w:val="17"/>
            <w:u w:val="single" w:color="auto"/>
            <w:color w:val="0000FF"/>
          </w:rPr>
          <w:t>Corporation (“Holdings”), certain wholly-owned subsidiaries of the Company, each Converting United States Term B-3 Lender (as</w:t>
        </w:r>
      </w:hyperlink>
      <w:r>
        <w:rPr>
          <w:rFonts w:ascii="Times New Roman" w:cs="Times New Roman" w:eastAsia="Times New Roman" w:hAnsi="Times New Roman"/>
          <w:sz w:val="17"/>
          <w:szCs w:val="17"/>
          <w:u w:val="single" w:color="auto"/>
          <w:color w:val="0000FF"/>
        </w:rPr>
        <w:t xml:space="preserve"> </w:t>
      </w:r>
      <w:hyperlink r:id="rId158">
        <w:r>
          <w:rPr>
            <w:rFonts w:ascii="Times New Roman" w:cs="Times New Roman" w:eastAsia="Times New Roman" w:hAnsi="Times New Roman"/>
            <w:sz w:val="17"/>
            <w:szCs w:val="17"/>
            <w:u w:val="single" w:color="auto"/>
            <w:color w:val="0000FF"/>
          </w:rPr>
          <w:t>defined therein), the Additional United States Term B-3 Lender (as defined therein), the financial institutions party thereto and JPMorgan</w:t>
        </w:r>
      </w:hyperlink>
    </w:p>
    <w:p>
      <w:pPr>
        <w:ind w:left="1280" w:right="20"/>
        <w:spacing w:after="0" w:line="208" w:lineRule="auto"/>
        <w:rPr>
          <w:rFonts w:ascii="Times New Roman" w:cs="Times New Roman" w:eastAsia="Times New Roman" w:hAnsi="Times New Roman"/>
          <w:sz w:val="18"/>
          <w:szCs w:val="18"/>
          <w:u w:val="single" w:color="auto"/>
          <w:color w:val="0000FF"/>
        </w:rPr>
      </w:pPr>
      <w:hyperlink r:id="rId158">
        <w:r>
          <w:rPr>
            <w:rFonts w:ascii="Times New Roman" w:cs="Times New Roman" w:eastAsia="Times New Roman" w:hAnsi="Times New Roman"/>
            <w:sz w:val="18"/>
            <w:szCs w:val="18"/>
            <w:u w:val="single" w:color="auto"/>
            <w:color w:val="0000FF"/>
          </w:rPr>
          <w:t>Chase Bank, N.A. as administrative agent for the Lenders (as defined below) and collateral agent for the secured parties thereunder to the</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credit agreement, dated March 28, 2017, among the Company, Holdings, ARAMARK Canada Ltd., ARAMARK Investments Limited,</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ARAMARK Ireland Holdings Limited, ARAMARK Regional Treasury Europe, Designated Activity Company, ARAMARK Holdings</w:t>
        </w:r>
      </w:hyperlink>
    </w:p>
    <w:p>
      <w:pPr>
        <w:spacing w:after="0" w:line="2" w:lineRule="exact"/>
        <w:rPr>
          <w:rFonts w:ascii="Times New Roman" w:cs="Times New Roman" w:eastAsia="Times New Roman" w:hAnsi="Times New Roman"/>
          <w:sz w:val="18"/>
          <w:szCs w:val="18"/>
          <w:u w:val="single" w:color="auto"/>
          <w:color w:val="0000FF"/>
        </w:rPr>
      </w:pPr>
    </w:p>
    <w:p>
      <w:pPr>
        <w:ind w:left="1280" w:right="140"/>
        <w:spacing w:after="0" w:line="220" w:lineRule="auto"/>
        <w:rPr>
          <w:rFonts w:ascii="Times New Roman" w:cs="Times New Roman" w:eastAsia="Times New Roman" w:hAnsi="Times New Roman"/>
          <w:sz w:val="17"/>
          <w:szCs w:val="17"/>
          <w:u w:val="single" w:color="auto"/>
          <w:color w:val="0000FF"/>
        </w:rPr>
      </w:pPr>
      <w:hyperlink r:id="rId158">
        <w:r>
          <w:rPr>
            <w:rFonts w:ascii="Times New Roman" w:cs="Times New Roman" w:eastAsia="Times New Roman" w:hAnsi="Times New Roman"/>
            <w:sz w:val="17"/>
            <w:szCs w:val="17"/>
            <w:u w:val="single" w:color="auto"/>
            <w:color w:val="0000FF"/>
          </w:rPr>
          <w:t>GmbH &amp; Co. KG, Aramark International Finance S.à.r.l. and certain wholly-owned domestic subsidiaries of the Company, the financial</w:t>
        </w:r>
      </w:hyperlink>
      <w:r>
        <w:rPr>
          <w:rFonts w:ascii="Times New Roman" w:cs="Times New Roman" w:eastAsia="Times New Roman" w:hAnsi="Times New Roman"/>
          <w:sz w:val="17"/>
          <w:szCs w:val="17"/>
          <w:u w:val="single" w:color="auto"/>
          <w:color w:val="0000FF"/>
        </w:rPr>
        <w:t xml:space="preserve"> </w:t>
      </w:r>
      <w:hyperlink r:id="rId158">
        <w:r>
          <w:rPr>
            <w:rFonts w:ascii="Times New Roman" w:cs="Times New Roman" w:eastAsia="Times New Roman" w:hAnsi="Times New Roman"/>
            <w:sz w:val="17"/>
            <w:szCs w:val="17"/>
            <w:u w:val="single" w:color="auto"/>
            <w:color w:val="0000FF"/>
          </w:rPr>
          <w:t>institutions from time to time party thereto (the “Lenders”), the issuing banks named therein and JPMorgan Chase Bank, N.A., as</w:t>
        </w:r>
      </w:hyperlink>
      <w:r>
        <w:rPr>
          <w:rFonts w:ascii="Times New Roman" w:cs="Times New Roman" w:eastAsia="Times New Roman" w:hAnsi="Times New Roman"/>
          <w:sz w:val="17"/>
          <w:szCs w:val="17"/>
          <w:u w:val="single" w:color="auto"/>
          <w:color w:val="0000FF"/>
        </w:rPr>
        <w:t xml:space="preserve"> </w:t>
      </w:r>
      <w:hyperlink r:id="rId158">
        <w:r>
          <w:rPr>
            <w:rFonts w:ascii="Times New Roman" w:cs="Times New Roman" w:eastAsia="Times New Roman" w:hAnsi="Times New Roman"/>
            <w:sz w:val="17"/>
            <w:szCs w:val="17"/>
            <w:u w:val="single" w:color="auto"/>
            <w:color w:val="0000FF"/>
          </w:rPr>
          <w:t>administrative agent for the Lenders and collateral agent for the secured parties thereunder (incorporated by reference to Exhibit 10.1 to</w:t>
        </w:r>
      </w:hyperlink>
    </w:p>
    <w:p>
      <w:pPr>
        <w:spacing w:after="0" w:line="2" w:lineRule="exact"/>
        <w:rPr>
          <w:rFonts w:ascii="Times New Roman" w:cs="Times New Roman" w:eastAsia="Times New Roman" w:hAnsi="Times New Roman"/>
          <w:sz w:val="17"/>
          <w:szCs w:val="17"/>
          <w:u w:val="single" w:color="auto"/>
          <w:color w:val="0000FF"/>
        </w:rPr>
      </w:pPr>
    </w:p>
    <w:p>
      <w:pPr>
        <w:ind w:left="1280"/>
        <w:spacing w:after="0"/>
        <w:rPr>
          <w:rFonts w:ascii="Times New Roman" w:cs="Times New Roman" w:eastAsia="Times New Roman" w:hAnsi="Times New Roman"/>
          <w:sz w:val="18"/>
          <w:szCs w:val="18"/>
          <w:u w:val="single" w:color="auto"/>
          <w:color w:val="0000FF"/>
        </w:rPr>
      </w:pPr>
      <w:hyperlink r:id="rId158">
        <w:r>
          <w:rPr>
            <w:rFonts w:ascii="Times New Roman" w:cs="Times New Roman" w:eastAsia="Times New Roman" w:hAnsi="Times New Roman"/>
            <w:sz w:val="18"/>
            <w:szCs w:val="18"/>
            <w:u w:val="single" w:color="auto"/>
            <w:color w:val="0000FF"/>
          </w:rPr>
          <w:t>Aramark’s Current Report on Form 8-K filed with the SEC on June 18, 2018 pursuant to the Exchange Act (file number 001-36223)).</w:t>
        </w:r>
      </w:hyperlink>
    </w:p>
    <w:p>
      <w:pPr>
        <w:spacing w:after="0" w:line="7" w:lineRule="exact"/>
        <w:rPr>
          <w:rFonts w:ascii="Times New Roman" w:cs="Times New Roman" w:eastAsia="Times New Roman" w:hAnsi="Times New Roman"/>
          <w:sz w:val="17"/>
          <w:szCs w:val="17"/>
          <w:u w:val="single" w:color="auto"/>
          <w:color w:val="0000FF"/>
        </w:rPr>
      </w:pPr>
    </w:p>
    <w:p>
      <w:pPr>
        <w:ind w:left="1280" w:right="40" w:hanging="458"/>
        <w:spacing w:after="0" w:line="227" w:lineRule="auto"/>
        <w:tabs>
          <w:tab w:leader="none" w:pos="1260" w:val="left"/>
        </w:tabs>
        <w:rPr>
          <w:rFonts w:ascii="Times New Roman" w:cs="Times New Roman" w:eastAsia="Times New Roman" w:hAnsi="Times New Roman"/>
          <w:sz w:val="17"/>
          <w:szCs w:val="17"/>
          <w:u w:val="single" w:color="auto"/>
          <w:color w:val="0000FF"/>
        </w:rPr>
      </w:pPr>
      <w:hyperlink r:id="rId159">
        <w:r>
          <w:rPr>
            <w:rFonts w:ascii="Times New Roman" w:cs="Times New Roman" w:eastAsia="Times New Roman" w:hAnsi="Times New Roman"/>
            <w:sz w:val="18"/>
            <w:szCs w:val="18"/>
            <w:u w:val="single" w:color="auto"/>
            <w:color w:val="0000FF"/>
          </w:rPr>
          <w:t>10.8</w:t>
        </w:r>
      </w:hyperlink>
      <w:r>
        <w:rPr>
          <w:rFonts w:ascii="Times New Roman" w:cs="Times New Roman" w:eastAsia="Times New Roman" w:hAnsi="Times New Roman"/>
          <w:sz w:val="18"/>
          <w:szCs w:val="18"/>
          <w:u w:val="single" w:color="auto"/>
          <w:color w:val="0000FF"/>
        </w:rPr>
        <w:tab/>
      </w:r>
      <w:hyperlink r:id="rId159">
        <w:r>
          <w:rPr>
            <w:rFonts w:ascii="Times New Roman" w:cs="Times New Roman" w:eastAsia="Times New Roman" w:hAnsi="Times New Roman"/>
            <w:sz w:val="17"/>
            <w:szCs w:val="17"/>
            <w:u w:val="single" w:color="auto"/>
            <w:color w:val="0000FF"/>
          </w:rPr>
          <w:t>Amendment No. 7 (the “Amendment”), dated as of October 1, 2018, among Aramark Services, Inc. (the “Company”), Aramark</w:t>
        </w:r>
      </w:hyperlink>
      <w:r>
        <w:rPr>
          <w:rFonts w:ascii="Times New Roman" w:cs="Times New Roman" w:eastAsia="Times New Roman" w:hAnsi="Times New Roman"/>
          <w:sz w:val="17"/>
          <w:szCs w:val="17"/>
          <w:u w:val="single" w:color="auto"/>
          <w:color w:val="0000FF"/>
        </w:rPr>
        <w:t xml:space="preserve"> </w:t>
      </w:r>
      <w:hyperlink r:id="rId159">
        <w:r>
          <w:rPr>
            <w:rFonts w:ascii="Times New Roman" w:cs="Times New Roman" w:eastAsia="Times New Roman" w:hAnsi="Times New Roman"/>
            <w:sz w:val="17"/>
            <w:szCs w:val="17"/>
            <w:u w:val="single" w:color="auto"/>
            <w:color w:val="0000FF"/>
          </w:rPr>
          <w:t>Intermediate HoldCo Corporation (“Holdings”), Aramark Intermediate HoldCo Corporation (“Holdings”), ARAMARK Canada Ltd. (the</w:t>
        </w:r>
      </w:hyperlink>
      <w:r>
        <w:rPr>
          <w:rFonts w:ascii="Times New Roman" w:cs="Times New Roman" w:eastAsia="Times New Roman" w:hAnsi="Times New Roman"/>
          <w:sz w:val="17"/>
          <w:szCs w:val="17"/>
          <w:u w:val="single" w:color="auto"/>
          <w:color w:val="0000FF"/>
        </w:rPr>
        <w:t xml:space="preserve"> </w:t>
      </w:r>
      <w:hyperlink r:id="rId159">
        <w:r>
          <w:rPr>
            <w:rFonts w:ascii="Times New Roman" w:cs="Times New Roman" w:eastAsia="Times New Roman" w:hAnsi="Times New Roman"/>
            <w:sz w:val="17"/>
            <w:szCs w:val="17"/>
            <w:u w:val="single" w:color="auto"/>
            <w:color w:val="0000FF"/>
          </w:rPr>
          <w:t>“Canadian Borrower”), ARAMARK Investments Limited, ARAMARK Limited (together with ARAMARK Investments Limited, the</w:t>
        </w:r>
      </w:hyperlink>
    </w:p>
    <w:p>
      <w:pPr>
        <w:ind w:left="1280" w:right="120"/>
        <w:spacing w:after="0" w:line="208" w:lineRule="auto"/>
        <w:rPr>
          <w:rFonts w:ascii="Times New Roman" w:cs="Times New Roman" w:eastAsia="Times New Roman" w:hAnsi="Times New Roman"/>
          <w:sz w:val="18"/>
          <w:szCs w:val="18"/>
          <w:u w:val="single" w:color="auto"/>
          <w:color w:val="0000FF"/>
        </w:rPr>
      </w:pPr>
      <w:hyperlink r:id="rId159">
        <w:r>
          <w:rPr>
            <w:rFonts w:ascii="Times New Roman" w:cs="Times New Roman" w:eastAsia="Times New Roman" w:hAnsi="Times New Roman"/>
            <w:sz w:val="18"/>
            <w:szCs w:val="18"/>
            <w:u w:val="single" w:color="auto"/>
            <w:color w:val="0000FF"/>
          </w:rPr>
          <w:t>“UK Borrowers”), ARAMARK Ireland Holdings Limited, ARAMARK Regional Treasury Europe, Designated Activity Company</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(together with ARAMARK Ireland Holdings Limited, the “Irish Borrowers”), ARAMARK Holdings Deutschland GMBH (as successor</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by merger to ARAMARK Holdings GmbH &amp; Co. KG, the “German Borrower”), Aramark International Finance S.à.r.l. (the</w:t>
        </w:r>
      </w:hyperlink>
    </w:p>
    <w:p>
      <w:pPr>
        <w:spacing w:after="0" w:line="2" w:lineRule="exact"/>
        <w:rPr>
          <w:rFonts w:ascii="Times New Roman" w:cs="Times New Roman" w:eastAsia="Times New Roman" w:hAnsi="Times New Roman"/>
          <w:sz w:val="18"/>
          <w:szCs w:val="18"/>
          <w:u w:val="single" w:color="auto"/>
          <w:color w:val="0000FF"/>
        </w:rPr>
      </w:pPr>
    </w:p>
    <w:p>
      <w:pPr>
        <w:jc w:val="both"/>
        <w:ind w:left="1280"/>
        <w:spacing w:after="0" w:line="220" w:lineRule="auto"/>
        <w:rPr>
          <w:rFonts w:ascii="Times New Roman" w:cs="Times New Roman" w:eastAsia="Times New Roman" w:hAnsi="Times New Roman"/>
          <w:sz w:val="17"/>
          <w:szCs w:val="17"/>
          <w:u w:val="single" w:color="auto"/>
          <w:color w:val="0000FF"/>
        </w:rPr>
      </w:pPr>
      <w:hyperlink r:id="rId159">
        <w:r>
          <w:rPr>
            <w:rFonts w:ascii="Times New Roman" w:cs="Times New Roman" w:eastAsia="Times New Roman" w:hAnsi="Times New Roman"/>
            <w:sz w:val="17"/>
            <w:szCs w:val="17"/>
            <w:u w:val="single" w:color="auto"/>
            <w:color w:val="0000FF"/>
          </w:rPr>
          <w:t>“Luxembourg Borrower”), certain other wholly-owned subsidiaries of the Company, the financial institutions party thereto and JPMorgan</w:t>
        </w:r>
      </w:hyperlink>
      <w:r>
        <w:rPr>
          <w:rFonts w:ascii="Times New Roman" w:cs="Times New Roman" w:eastAsia="Times New Roman" w:hAnsi="Times New Roman"/>
          <w:sz w:val="17"/>
          <w:szCs w:val="17"/>
          <w:u w:val="single" w:color="auto"/>
          <w:color w:val="0000FF"/>
        </w:rPr>
        <w:t xml:space="preserve"> </w:t>
      </w:r>
      <w:hyperlink r:id="rId159">
        <w:r>
          <w:rPr>
            <w:rFonts w:ascii="Times New Roman" w:cs="Times New Roman" w:eastAsia="Times New Roman" w:hAnsi="Times New Roman"/>
            <w:sz w:val="17"/>
            <w:szCs w:val="17"/>
            <w:u w:val="single" w:color="auto"/>
            <w:color w:val="0000FF"/>
          </w:rPr>
          <w:t>Chase Bank, N.A. as administrative agent for the Lenders (as defined below) and collateral agent for the secured parties thereunder to the</w:t>
        </w:r>
      </w:hyperlink>
      <w:r>
        <w:rPr>
          <w:rFonts w:ascii="Times New Roman" w:cs="Times New Roman" w:eastAsia="Times New Roman" w:hAnsi="Times New Roman"/>
          <w:sz w:val="17"/>
          <w:szCs w:val="17"/>
          <w:u w:val="single" w:color="auto"/>
          <w:color w:val="0000FF"/>
        </w:rPr>
        <w:t xml:space="preserve"> </w:t>
      </w:r>
      <w:hyperlink r:id="rId159">
        <w:r>
          <w:rPr>
            <w:rFonts w:ascii="Times New Roman" w:cs="Times New Roman" w:eastAsia="Times New Roman" w:hAnsi="Times New Roman"/>
            <w:sz w:val="17"/>
            <w:szCs w:val="17"/>
            <w:u w:val="single" w:color="auto"/>
            <w:color w:val="0000FF"/>
          </w:rPr>
          <w:t>credit agreement, dated March 28, 2017, among the Company, Holdings, the Canadian Borrower, the UK Borrower, the Irish Borrowers,</w:t>
        </w:r>
      </w:hyperlink>
    </w:p>
    <w:p>
      <w:pPr>
        <w:spacing w:after="0" w:line="2" w:lineRule="exact"/>
        <w:rPr>
          <w:rFonts w:ascii="Times New Roman" w:cs="Times New Roman" w:eastAsia="Times New Roman" w:hAnsi="Times New Roman"/>
          <w:sz w:val="17"/>
          <w:szCs w:val="17"/>
          <w:u w:val="single" w:color="auto"/>
          <w:color w:val="0000FF"/>
        </w:rPr>
      </w:pPr>
    </w:p>
    <w:p>
      <w:pPr>
        <w:ind w:left="1280" w:right="140"/>
        <w:spacing w:after="0" w:line="208" w:lineRule="auto"/>
        <w:rPr>
          <w:rFonts w:ascii="Times New Roman" w:cs="Times New Roman" w:eastAsia="Times New Roman" w:hAnsi="Times New Roman"/>
          <w:sz w:val="18"/>
          <w:szCs w:val="18"/>
          <w:u w:val="single" w:color="auto"/>
          <w:color w:val="0000FF"/>
        </w:rPr>
      </w:pPr>
      <w:hyperlink r:id="rId159">
        <w:r>
          <w:rPr>
            <w:rFonts w:ascii="Times New Roman" w:cs="Times New Roman" w:eastAsia="Times New Roman" w:hAnsi="Times New Roman"/>
            <w:sz w:val="18"/>
            <w:szCs w:val="18"/>
            <w:u w:val="single" w:color="auto"/>
            <w:color w:val="0000FF"/>
          </w:rPr>
          <w:t>the German Borrower, the Luxembourg Borrower and certain other wholly-owned domestic subsidiaries of the Company, the financial</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institutions from time to time party thereto (the “Lenders”), the issuing banks named therein and JPMorgan Chase Bank, N.A., as</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administrative agent for the Lenders and collateral agent for the secured parties thereunder (incorporated by reference to Exhibit 10.1 to</w:t>
        </w:r>
      </w:hyperlink>
    </w:p>
    <w:p>
      <w:pPr>
        <w:spacing w:after="0" w:line="2" w:lineRule="exact"/>
        <w:rPr>
          <w:rFonts w:ascii="Times New Roman" w:cs="Times New Roman" w:eastAsia="Times New Roman" w:hAnsi="Times New Roman"/>
          <w:sz w:val="18"/>
          <w:szCs w:val="18"/>
          <w:u w:val="single" w:color="auto"/>
          <w:color w:val="0000FF"/>
        </w:rPr>
      </w:pPr>
    </w:p>
    <w:p>
      <w:pPr>
        <w:ind w:left="1280"/>
        <w:spacing w:after="0"/>
        <w:rPr>
          <w:rFonts w:ascii="Times New Roman" w:cs="Times New Roman" w:eastAsia="Times New Roman" w:hAnsi="Times New Roman"/>
          <w:sz w:val="18"/>
          <w:szCs w:val="18"/>
          <w:u w:val="single" w:color="auto"/>
          <w:color w:val="0000FF"/>
        </w:rPr>
      </w:pPr>
      <w:hyperlink r:id="rId159">
        <w:r>
          <w:rPr>
            <w:rFonts w:ascii="Times New Roman" w:cs="Times New Roman" w:eastAsia="Times New Roman" w:hAnsi="Times New Roman"/>
            <w:sz w:val="18"/>
            <w:szCs w:val="18"/>
            <w:u w:val="single" w:color="auto"/>
            <w:color w:val="0000FF"/>
          </w:rPr>
          <w:t>Aramark’s Current Report on Form 8-K filed with the SEC on October 4, 2018 pursuant to the Exchange Act (file number 001-36223)).</w:t>
        </w:r>
      </w:hyperlink>
    </w:p>
    <w:p>
      <w:pPr>
        <w:spacing w:after="0" w:line="7" w:lineRule="exact"/>
        <w:rPr>
          <w:rFonts w:ascii="Times New Roman" w:cs="Times New Roman" w:eastAsia="Times New Roman" w:hAnsi="Times New Roman"/>
          <w:sz w:val="18"/>
          <w:szCs w:val="18"/>
          <w:u w:val="single" w:color="auto"/>
          <w:color w:val="0000FF"/>
        </w:rPr>
      </w:pPr>
    </w:p>
    <w:p>
      <w:pPr>
        <w:ind w:left="1280" w:right="200" w:hanging="458"/>
        <w:spacing w:after="0" w:line="227" w:lineRule="auto"/>
        <w:tabs>
          <w:tab w:leader="none" w:pos="1260" w:val="left"/>
        </w:tabs>
        <w:rPr>
          <w:rFonts w:ascii="Times New Roman" w:cs="Times New Roman" w:eastAsia="Times New Roman" w:hAnsi="Times New Roman"/>
          <w:sz w:val="17"/>
          <w:szCs w:val="17"/>
          <w:u w:val="single" w:color="auto"/>
          <w:color w:val="0000FF"/>
        </w:rPr>
      </w:pPr>
      <w:hyperlink r:id="rId160">
        <w:r>
          <w:rPr>
            <w:rFonts w:ascii="Times New Roman" w:cs="Times New Roman" w:eastAsia="Times New Roman" w:hAnsi="Times New Roman"/>
            <w:sz w:val="18"/>
            <w:szCs w:val="18"/>
            <w:u w:val="single" w:color="auto"/>
            <w:color w:val="0000FF"/>
          </w:rPr>
          <w:t>10.9</w:t>
        </w:r>
      </w:hyperlink>
      <w:r>
        <w:rPr>
          <w:rFonts w:ascii="Times New Roman" w:cs="Times New Roman" w:eastAsia="Times New Roman" w:hAnsi="Times New Roman"/>
          <w:sz w:val="18"/>
          <w:szCs w:val="18"/>
          <w:u w:val="single" w:color="auto"/>
          <w:color w:val="0000FF"/>
        </w:rPr>
        <w:tab/>
      </w:r>
      <w:hyperlink r:id="rId160">
        <w:r>
          <w:rPr>
            <w:rFonts w:ascii="Times New Roman" w:cs="Times New Roman" w:eastAsia="Times New Roman" w:hAnsi="Times New Roman"/>
            <w:sz w:val="17"/>
            <w:szCs w:val="17"/>
            <w:u w:val="single" w:color="auto"/>
            <w:color w:val="0000FF"/>
          </w:rPr>
          <w:t>Incremental Amendment No. 8 (the “Incremental Amendment”), dated as of January 15, 2020, among Aramark Services, Inc. (the</w:t>
        </w:r>
      </w:hyperlink>
      <w:r>
        <w:rPr>
          <w:rFonts w:ascii="Times New Roman" w:cs="Times New Roman" w:eastAsia="Times New Roman" w:hAnsi="Times New Roman"/>
          <w:sz w:val="17"/>
          <w:szCs w:val="17"/>
          <w:u w:val="single" w:color="auto"/>
          <w:color w:val="0000FF"/>
        </w:rPr>
        <w:t xml:space="preserve"> </w:t>
      </w:r>
      <w:hyperlink r:id="rId160">
        <w:r>
          <w:rPr>
            <w:rFonts w:ascii="Times New Roman" w:cs="Times New Roman" w:eastAsia="Times New Roman" w:hAnsi="Times New Roman"/>
            <w:sz w:val="17"/>
            <w:szCs w:val="17"/>
            <w:u w:val="single" w:color="auto"/>
            <w:color w:val="0000FF"/>
          </w:rPr>
          <w:t>“Company”), Aramark Intermediate HoldCo Corporation (“Holdings”), certain wholly-owned subsidiaries of the Company, the United</w:t>
        </w:r>
      </w:hyperlink>
      <w:r>
        <w:rPr>
          <w:rFonts w:ascii="Times New Roman" w:cs="Times New Roman" w:eastAsia="Times New Roman" w:hAnsi="Times New Roman"/>
          <w:sz w:val="17"/>
          <w:szCs w:val="17"/>
          <w:u w:val="single" w:color="auto"/>
          <w:color w:val="0000FF"/>
        </w:rPr>
        <w:t xml:space="preserve"> </w:t>
      </w:r>
      <w:hyperlink r:id="rId160">
        <w:r>
          <w:rPr>
            <w:rFonts w:ascii="Times New Roman" w:cs="Times New Roman" w:eastAsia="Times New Roman" w:hAnsi="Times New Roman"/>
            <w:sz w:val="17"/>
            <w:szCs w:val="17"/>
            <w:u w:val="single" w:color="auto"/>
            <w:color w:val="0000FF"/>
          </w:rPr>
          <w:t>States Term B-4 Lenders (as defined therein) and JPMorgan Chase Bank, N.A. as administrative agent for the Lenders (as defined</w:t>
        </w:r>
      </w:hyperlink>
    </w:p>
    <w:p>
      <w:pPr>
        <w:jc w:val="both"/>
        <w:ind w:left="1280" w:right="80"/>
        <w:spacing w:after="0" w:line="208" w:lineRule="auto"/>
        <w:rPr>
          <w:rFonts w:ascii="Times New Roman" w:cs="Times New Roman" w:eastAsia="Times New Roman" w:hAnsi="Times New Roman"/>
          <w:sz w:val="18"/>
          <w:szCs w:val="18"/>
          <w:u w:val="single" w:color="auto"/>
          <w:color w:val="0000FF"/>
        </w:rPr>
      </w:pPr>
      <w:hyperlink r:id="rId160">
        <w:r>
          <w:rPr>
            <w:rFonts w:ascii="Times New Roman" w:cs="Times New Roman" w:eastAsia="Times New Roman" w:hAnsi="Times New Roman"/>
            <w:sz w:val="18"/>
            <w:szCs w:val="18"/>
            <w:u w:val="single" w:color="auto"/>
            <w:color w:val="0000FF"/>
          </w:rPr>
          <w:t>therein) and collateral agent for the secured parties thereunder amending that certain credit agreement, dated March 28, 2017, among the</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Company, Holdings, ARAMARK Canada Ltd., ARAMARK Investments Limited, ARAMARK Limited, ARAMARK Ireland Holdings</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Limited, ARAMARK Regional Treasury Europe, Designated Activity Company, ARAMARK Holdings Deutschland GMBH (as</w:t>
        </w:r>
      </w:hyperlink>
    </w:p>
    <w:p>
      <w:pPr>
        <w:spacing w:after="0" w:line="2" w:lineRule="exact"/>
        <w:rPr>
          <w:rFonts w:ascii="Times New Roman" w:cs="Times New Roman" w:eastAsia="Times New Roman" w:hAnsi="Times New Roman"/>
          <w:sz w:val="18"/>
          <w:szCs w:val="18"/>
          <w:u w:val="single" w:color="auto"/>
          <w:color w:val="0000FF"/>
        </w:rPr>
      </w:pPr>
    </w:p>
    <w:p>
      <w:pPr>
        <w:jc w:val="both"/>
        <w:ind w:left="1280" w:right="60"/>
        <w:spacing w:after="0" w:line="220" w:lineRule="auto"/>
        <w:rPr>
          <w:rFonts w:ascii="Times New Roman" w:cs="Times New Roman" w:eastAsia="Times New Roman" w:hAnsi="Times New Roman"/>
          <w:sz w:val="17"/>
          <w:szCs w:val="17"/>
          <w:u w:val="single" w:color="auto"/>
          <w:color w:val="0000FF"/>
        </w:rPr>
      </w:pPr>
      <w:hyperlink r:id="rId160">
        <w:r>
          <w:rPr>
            <w:rFonts w:ascii="Times New Roman" w:cs="Times New Roman" w:eastAsia="Times New Roman" w:hAnsi="Times New Roman"/>
            <w:sz w:val="17"/>
            <w:szCs w:val="17"/>
            <w:u w:val="single" w:color="auto"/>
            <w:color w:val="0000FF"/>
          </w:rPr>
          <w:t>successor by merger to ARAMARK Holdings GmbH &amp; Co. KG), Aramark International Finance S.à.r.l. and certain other wholly-owned</w:t>
        </w:r>
      </w:hyperlink>
      <w:r>
        <w:rPr>
          <w:rFonts w:ascii="Times New Roman" w:cs="Times New Roman" w:eastAsia="Times New Roman" w:hAnsi="Times New Roman"/>
          <w:sz w:val="17"/>
          <w:szCs w:val="17"/>
          <w:u w:val="single" w:color="auto"/>
          <w:color w:val="0000FF"/>
        </w:rPr>
        <w:t xml:space="preserve"> </w:t>
      </w:r>
      <w:hyperlink r:id="rId160">
        <w:r>
          <w:rPr>
            <w:rFonts w:ascii="Times New Roman" w:cs="Times New Roman" w:eastAsia="Times New Roman" w:hAnsi="Times New Roman"/>
            <w:sz w:val="17"/>
            <w:szCs w:val="17"/>
            <w:u w:val="single" w:color="auto"/>
            <w:color w:val="0000FF"/>
          </w:rPr>
          <w:t>domestic subsidiaries of the Company, the financial institutions from time to time party thereto (including the financial institutions party</w:t>
        </w:r>
      </w:hyperlink>
      <w:r>
        <w:rPr>
          <w:rFonts w:ascii="Times New Roman" w:cs="Times New Roman" w:eastAsia="Times New Roman" w:hAnsi="Times New Roman"/>
          <w:sz w:val="17"/>
          <w:szCs w:val="17"/>
          <w:u w:val="single" w:color="auto"/>
          <w:color w:val="0000FF"/>
        </w:rPr>
        <w:t xml:space="preserve"> </w:t>
      </w:r>
      <w:hyperlink r:id="rId160">
        <w:r>
          <w:rPr>
            <w:rFonts w:ascii="Times New Roman" w:cs="Times New Roman" w:eastAsia="Times New Roman" w:hAnsi="Times New Roman"/>
            <w:sz w:val="17"/>
            <w:szCs w:val="17"/>
            <w:u w:val="single" w:color="auto"/>
            <w:color w:val="0000FF"/>
          </w:rPr>
          <w:t>to the Incremental Amendment, the “Lenders”), the issuing banks named therein and JPMorgan Chase Bank, N.A., as administrative</w:t>
        </w:r>
      </w:hyperlink>
    </w:p>
    <w:p>
      <w:pPr>
        <w:spacing w:after="0" w:line="2" w:lineRule="exact"/>
        <w:rPr>
          <w:rFonts w:ascii="Times New Roman" w:cs="Times New Roman" w:eastAsia="Times New Roman" w:hAnsi="Times New Roman"/>
          <w:sz w:val="17"/>
          <w:szCs w:val="17"/>
          <w:u w:val="single" w:color="auto"/>
          <w:color w:val="0000FF"/>
        </w:rPr>
      </w:pPr>
    </w:p>
    <w:p>
      <w:pPr>
        <w:ind w:left="1280" w:right="420"/>
        <w:spacing w:after="0" w:line="239" w:lineRule="auto"/>
        <w:rPr>
          <w:rFonts w:ascii="Times New Roman" w:cs="Times New Roman" w:eastAsia="Times New Roman" w:hAnsi="Times New Roman"/>
          <w:sz w:val="17"/>
          <w:szCs w:val="17"/>
          <w:u w:val="single" w:color="auto"/>
          <w:color w:val="0000FF"/>
        </w:rPr>
      </w:pPr>
      <w:hyperlink r:id="rId160">
        <w:r>
          <w:rPr>
            <w:rFonts w:ascii="Times New Roman" w:cs="Times New Roman" w:eastAsia="Times New Roman" w:hAnsi="Times New Roman"/>
            <w:sz w:val="17"/>
            <w:szCs w:val="17"/>
            <w:u w:val="single" w:color="auto"/>
            <w:color w:val="0000FF"/>
          </w:rPr>
          <w:t>agent for the Lenders and collateral agent for the secured parties thereunder (incorporated by reference to Exhibit 10.1 to Aramark’s</w:t>
        </w:r>
      </w:hyperlink>
      <w:r>
        <w:rPr>
          <w:rFonts w:ascii="Times New Roman" w:cs="Times New Roman" w:eastAsia="Times New Roman" w:hAnsi="Times New Roman"/>
          <w:sz w:val="17"/>
          <w:szCs w:val="17"/>
          <w:u w:val="single" w:color="auto"/>
          <w:color w:val="0000FF"/>
        </w:rPr>
        <w:t xml:space="preserve"> </w:t>
      </w:r>
      <w:hyperlink r:id="rId160">
        <w:r>
          <w:rPr>
            <w:rFonts w:ascii="Times New Roman" w:cs="Times New Roman" w:eastAsia="Times New Roman" w:hAnsi="Times New Roman"/>
            <w:sz w:val="17"/>
            <w:szCs w:val="17"/>
            <w:u w:val="single" w:color="auto"/>
            <w:color w:val="0000FF"/>
          </w:rPr>
          <w:t>Current Report on Form 8-K filed with the SEC on January 16, 2020 pursuant to the Exchange Act (file number 001-36223)).</w:t>
        </w:r>
      </w:hyperlink>
    </w:p>
    <w:p>
      <w:pPr>
        <w:spacing w:after="0" w:line="9" w:lineRule="exact"/>
        <w:rPr>
          <w:sz w:val="20"/>
          <w:szCs w:val="20"/>
          <w:color w:val="auto"/>
        </w:rPr>
      </w:pPr>
    </w:p>
    <w:p>
      <w:pPr>
        <w:ind w:left="1280" w:right="20" w:hanging="548"/>
        <w:spacing w:after="0" w:line="229" w:lineRule="auto"/>
        <w:tabs>
          <w:tab w:leader="none" w:pos="1260" w:val="left"/>
        </w:tabs>
        <w:rPr>
          <w:rFonts w:ascii="Times New Roman" w:cs="Times New Roman" w:eastAsia="Times New Roman" w:hAnsi="Times New Roman"/>
          <w:sz w:val="17"/>
          <w:szCs w:val="17"/>
          <w:u w:val="single" w:color="auto"/>
          <w:color w:val="0000FF"/>
        </w:rPr>
      </w:pPr>
      <w:hyperlink r:id="rId161">
        <w:r>
          <w:rPr>
            <w:rFonts w:ascii="Times New Roman" w:cs="Times New Roman" w:eastAsia="Times New Roman" w:hAnsi="Times New Roman"/>
            <w:sz w:val="18"/>
            <w:szCs w:val="18"/>
            <w:u w:val="single" w:color="auto"/>
            <w:color w:val="0000FF"/>
          </w:rPr>
          <w:t>10.10</w:t>
        </w:r>
      </w:hyperlink>
      <w:r>
        <w:rPr>
          <w:rFonts w:ascii="Times New Roman" w:cs="Times New Roman" w:eastAsia="Times New Roman" w:hAnsi="Times New Roman"/>
          <w:sz w:val="18"/>
          <w:szCs w:val="18"/>
          <w:u w:val="single" w:color="auto"/>
          <w:color w:val="0000FF"/>
        </w:rPr>
        <w:tab/>
      </w:r>
      <w:hyperlink r:id="rId161">
        <w:r>
          <w:rPr>
            <w:rFonts w:ascii="Times New Roman" w:cs="Times New Roman" w:eastAsia="Times New Roman" w:hAnsi="Times New Roman"/>
            <w:sz w:val="17"/>
            <w:szCs w:val="17"/>
            <w:u w:val="single" w:color="auto"/>
            <w:color w:val="0000FF"/>
          </w:rPr>
          <w:t>Amendment No. 9, dated as of April 22, 2020, among Aramark Services, Inc., as borrower, Aramark Intermediate Holdco Corporation,</w:t>
        </w:r>
      </w:hyperlink>
      <w:r>
        <w:rPr>
          <w:rFonts w:ascii="Times New Roman" w:cs="Times New Roman" w:eastAsia="Times New Roman" w:hAnsi="Times New Roman"/>
          <w:sz w:val="17"/>
          <w:szCs w:val="17"/>
          <w:u w:val="single" w:color="auto"/>
          <w:color w:val="0000FF"/>
        </w:rPr>
        <w:t xml:space="preserve"> </w:t>
      </w:r>
      <w:hyperlink r:id="rId161">
        <w:r>
          <w:rPr>
            <w:rFonts w:ascii="Times New Roman" w:cs="Times New Roman" w:eastAsia="Times New Roman" w:hAnsi="Times New Roman"/>
            <w:sz w:val="17"/>
            <w:szCs w:val="17"/>
            <w:u w:val="single" w:color="auto"/>
            <w:color w:val="0000FF"/>
          </w:rPr>
          <w:t>ARAMARK Canada Ltd., ARAMARK Investments Limited, ARAMARK Limited, ARAMARK Ireland Holdings Limited, ARAMARK</w:t>
        </w:r>
      </w:hyperlink>
      <w:r>
        <w:rPr>
          <w:rFonts w:ascii="Times New Roman" w:cs="Times New Roman" w:eastAsia="Times New Roman" w:hAnsi="Times New Roman"/>
          <w:sz w:val="17"/>
          <w:szCs w:val="17"/>
          <w:u w:val="single" w:color="auto"/>
          <w:color w:val="0000FF"/>
        </w:rPr>
        <w:t xml:space="preserve"> </w:t>
      </w:r>
      <w:hyperlink r:id="rId161">
        <w:r>
          <w:rPr>
            <w:rFonts w:ascii="Times New Roman" w:cs="Times New Roman" w:eastAsia="Times New Roman" w:hAnsi="Times New Roman"/>
            <w:sz w:val="17"/>
            <w:szCs w:val="17"/>
            <w:u w:val="single" w:color="auto"/>
            <w:color w:val="0000FF"/>
          </w:rPr>
          <w:t>Regional Treasury Europe, Designated Activity Company, ARAMARK Holdings Deutschland GMBH (as successor by merger to</w:t>
        </w:r>
      </w:hyperlink>
    </w:p>
    <w:p>
      <w:pPr>
        <w:ind w:left="1280" w:right="80"/>
        <w:spacing w:after="0" w:line="218" w:lineRule="auto"/>
        <w:rPr>
          <w:rFonts w:ascii="Times New Roman" w:cs="Times New Roman" w:eastAsia="Times New Roman" w:hAnsi="Times New Roman"/>
          <w:sz w:val="18"/>
          <w:szCs w:val="18"/>
          <w:u w:val="single" w:color="auto"/>
          <w:color w:val="0000FF"/>
        </w:rPr>
      </w:pPr>
      <w:hyperlink r:id="rId161">
        <w:r>
          <w:rPr>
            <w:rFonts w:ascii="Times New Roman" w:cs="Times New Roman" w:eastAsia="Times New Roman" w:hAnsi="Times New Roman"/>
            <w:sz w:val="18"/>
            <w:szCs w:val="18"/>
            <w:u w:val="single" w:color="auto"/>
            <w:color w:val="0000FF"/>
          </w:rPr>
          <w:t>ARAMARK Holdings GmbH &amp; Co. KG), Aramark International Finance S.à.r.l., each lender party thereto and JPMorgan Chase Bank,</w:t>
        </w:r>
      </w:hyperlink>
      <w:r>
        <w:rPr>
          <w:rFonts w:ascii="Times New Roman" w:cs="Times New Roman" w:eastAsia="Times New Roman" w:hAnsi="Times New Roman"/>
          <w:sz w:val="18"/>
          <w:szCs w:val="18"/>
          <w:u w:val="single" w:color="auto"/>
          <w:color w:val="0000FF"/>
        </w:rPr>
        <w:t xml:space="preserve"> </w:t>
      </w:r>
      <w:hyperlink r:id="rId161">
        <w:r>
          <w:rPr>
            <w:rFonts w:ascii="Times New Roman" w:cs="Times New Roman" w:eastAsia="Times New Roman" w:hAnsi="Times New Roman"/>
            <w:sz w:val="18"/>
            <w:szCs w:val="18"/>
            <w:u w:val="single" w:color="auto"/>
            <w:color w:val="0000FF"/>
          </w:rPr>
          <w:t>N.A. as administrative agent (incorporated by reference to Exhibit 10.1 of Aramark’s Current Report on Form 8-K filed with the SEC on</w:t>
        </w:r>
      </w:hyperlink>
      <w:r>
        <w:rPr>
          <w:rFonts w:ascii="Times New Roman" w:cs="Times New Roman" w:eastAsia="Times New Roman" w:hAnsi="Times New Roman"/>
          <w:sz w:val="18"/>
          <w:szCs w:val="18"/>
          <w:u w:val="single" w:color="auto"/>
          <w:color w:val="0000FF"/>
        </w:rPr>
        <w:t xml:space="preserve"> </w:t>
      </w:r>
      <w:hyperlink r:id="rId161">
        <w:r>
          <w:rPr>
            <w:rFonts w:ascii="Times New Roman" w:cs="Times New Roman" w:eastAsia="Times New Roman" w:hAnsi="Times New Roman"/>
            <w:sz w:val="18"/>
            <w:szCs w:val="18"/>
            <w:u w:val="single" w:color="auto"/>
            <w:color w:val="0000FF"/>
          </w:rPr>
          <w:t>April 28, 2020, pursuant to the Exchange Act (file number 001-36223)).</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31" w:lineRule="exact"/>
        <w:rPr>
          <w:rFonts w:ascii="Times New Roman" w:cs="Times New Roman" w:eastAsia="Times New Roman" w:hAnsi="Times New Roman"/>
          <w:sz w:val="18"/>
          <w:szCs w:val="18"/>
          <w:u w:val="single" w:color="auto"/>
          <w:color w:val="0000FF"/>
        </w:rPr>
      </w:pPr>
    </w:p>
    <w:p>
      <w:pPr>
        <w:jc w:val="center"/>
        <w:ind w:right="-39"/>
        <w:spacing w:after="0"/>
        <w:rPr>
          <w:sz w:val="20"/>
          <w:szCs w:val="20"/>
          <w:color w:val="auto"/>
        </w:rPr>
      </w:pPr>
      <w:r>
        <w:rPr>
          <w:rFonts w:ascii="Times New Roman" w:cs="Times New Roman" w:eastAsia="Times New Roman" w:hAnsi="Times New Roman"/>
          <w:sz w:val="18"/>
          <w:szCs w:val="18"/>
          <w:color w:val="auto"/>
        </w:rPr>
        <w:t>S-56</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80" w:right="20" w:hanging="541"/>
        <w:spacing w:after="0" w:line="229" w:lineRule="auto"/>
        <w:tabs>
          <w:tab w:leader="none" w:pos="1260" w:val="left"/>
        </w:tabs>
        <w:rPr>
          <w:rFonts w:ascii="Times New Roman" w:cs="Times New Roman" w:eastAsia="Times New Roman" w:hAnsi="Times New Roman"/>
          <w:sz w:val="17"/>
          <w:szCs w:val="17"/>
          <w:u w:val="single" w:color="auto"/>
          <w:color w:val="0000FF"/>
        </w:rPr>
      </w:pPr>
      <w:hyperlink r:id="rId163">
        <w:r>
          <w:rPr>
            <w:rFonts w:ascii="Times New Roman" w:cs="Times New Roman" w:eastAsia="Times New Roman" w:hAnsi="Times New Roman"/>
            <w:sz w:val="18"/>
            <w:szCs w:val="18"/>
            <w:u w:val="single" w:color="auto"/>
            <w:color w:val="0000FF"/>
          </w:rPr>
          <w:t>10.11</w:t>
        </w:r>
      </w:hyperlink>
      <w:r>
        <w:rPr>
          <w:rFonts w:ascii="Times New Roman" w:cs="Times New Roman" w:eastAsia="Times New Roman" w:hAnsi="Times New Roman"/>
          <w:sz w:val="18"/>
          <w:szCs w:val="18"/>
          <w:u w:val="single" w:color="auto"/>
          <w:color w:val="0000FF"/>
        </w:rPr>
        <w:tab/>
      </w:r>
      <w:hyperlink r:id="rId163">
        <w:r>
          <w:rPr>
            <w:rFonts w:ascii="Times New Roman" w:cs="Times New Roman" w:eastAsia="Times New Roman" w:hAnsi="Times New Roman"/>
            <w:sz w:val="17"/>
            <w:szCs w:val="17"/>
            <w:u w:val="single" w:color="auto"/>
            <w:color w:val="0000FF"/>
          </w:rPr>
          <w:t>Amendment No. 10, dated as of November 12, 2020, among Aramark Services, Inc., Aramark Intermediate HoldCo Corporation,</w:t>
        </w:r>
      </w:hyperlink>
      <w:r>
        <w:rPr>
          <w:rFonts w:ascii="Times New Roman" w:cs="Times New Roman" w:eastAsia="Times New Roman" w:hAnsi="Times New Roman"/>
          <w:sz w:val="17"/>
          <w:szCs w:val="17"/>
          <w:u w:val="single" w:color="auto"/>
          <w:color w:val="0000FF"/>
        </w:rPr>
        <w:t xml:space="preserve"> </w:t>
      </w:r>
      <w:hyperlink r:id="rId163">
        <w:r>
          <w:rPr>
            <w:rFonts w:ascii="Times New Roman" w:cs="Times New Roman" w:eastAsia="Times New Roman" w:hAnsi="Times New Roman"/>
            <w:sz w:val="17"/>
            <w:szCs w:val="17"/>
            <w:u w:val="single" w:color="auto"/>
            <w:color w:val="0000FF"/>
          </w:rPr>
          <w:t>ARAMARK Canada Ltd., ARAMARK Investments Limited, ARAMARK Limited, ARAMARK Ireland Holdings Limited, ARAMARK</w:t>
        </w:r>
      </w:hyperlink>
      <w:r>
        <w:rPr>
          <w:rFonts w:ascii="Times New Roman" w:cs="Times New Roman" w:eastAsia="Times New Roman" w:hAnsi="Times New Roman"/>
          <w:sz w:val="17"/>
          <w:szCs w:val="17"/>
          <w:u w:val="single" w:color="auto"/>
          <w:color w:val="0000FF"/>
        </w:rPr>
        <w:t xml:space="preserve"> </w:t>
      </w:r>
      <w:hyperlink r:id="rId163">
        <w:r>
          <w:rPr>
            <w:rFonts w:ascii="Times New Roman" w:cs="Times New Roman" w:eastAsia="Times New Roman" w:hAnsi="Times New Roman"/>
            <w:sz w:val="17"/>
            <w:szCs w:val="17"/>
            <w:u w:val="single" w:color="auto"/>
            <w:color w:val="0000FF"/>
          </w:rPr>
          <w:t>Regional Treasury Europe, Designated Activity Company, ARAMARK Holdings Deutschland GMBH (as successor by merger to</w:t>
        </w:r>
      </w:hyperlink>
    </w:p>
    <w:p>
      <w:pPr>
        <w:jc w:val="both"/>
        <w:ind w:left="1280" w:right="160"/>
        <w:spacing w:after="0" w:line="218" w:lineRule="auto"/>
        <w:rPr>
          <w:rFonts w:ascii="Times New Roman" w:cs="Times New Roman" w:eastAsia="Times New Roman" w:hAnsi="Times New Roman"/>
          <w:sz w:val="18"/>
          <w:szCs w:val="18"/>
          <w:u w:val="single" w:color="auto"/>
          <w:color w:val="0000FF"/>
        </w:rPr>
      </w:pPr>
      <w:hyperlink r:id="rId163">
        <w:r>
          <w:rPr>
            <w:rFonts w:ascii="Times New Roman" w:cs="Times New Roman" w:eastAsia="Times New Roman" w:hAnsi="Times New Roman"/>
            <w:sz w:val="18"/>
            <w:szCs w:val="18"/>
            <w:u w:val="single" w:color="auto"/>
            <w:color w:val="0000FF"/>
          </w:rPr>
          <w:t>ARAMARK Holdings GmbH &amp; Co. KG), Aramark International Finance S.à.r.l., each lender party thereto and JPMorgan Chase Bank,</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N.A. as administrative agent (incorporated by reference to Exhibit 10.11 to Aramark’s Annual Report on Form 10-K filed with the SEC</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on November 24, 2020 pursuant to the Exchange Act (file number 001-36223)).</w:t>
        </w:r>
      </w:hyperlink>
    </w:p>
    <w:p>
      <w:pPr>
        <w:spacing w:after="0" w:line="10" w:lineRule="exact"/>
        <w:rPr>
          <w:rFonts w:ascii="Times New Roman" w:cs="Times New Roman" w:eastAsia="Times New Roman" w:hAnsi="Times New Roman"/>
          <w:sz w:val="18"/>
          <w:szCs w:val="18"/>
          <w:u w:val="single" w:color="auto"/>
          <w:color w:val="0000FF"/>
        </w:rPr>
      </w:pPr>
    </w:p>
    <w:p>
      <w:pPr>
        <w:ind w:left="1280" w:right="40" w:hanging="548"/>
        <w:spacing w:after="0" w:line="229" w:lineRule="auto"/>
        <w:tabs>
          <w:tab w:leader="none" w:pos="1260" w:val="left"/>
        </w:tabs>
        <w:rPr>
          <w:rFonts w:ascii="Times New Roman" w:cs="Times New Roman" w:eastAsia="Times New Roman" w:hAnsi="Times New Roman"/>
          <w:sz w:val="17"/>
          <w:szCs w:val="17"/>
          <w:u w:val="single" w:color="auto"/>
          <w:color w:val="0000FF"/>
        </w:rPr>
      </w:pPr>
      <w:hyperlink r:id="rId164">
        <w:r>
          <w:rPr>
            <w:rFonts w:ascii="Times New Roman" w:cs="Times New Roman" w:eastAsia="Times New Roman" w:hAnsi="Times New Roman"/>
            <w:sz w:val="18"/>
            <w:szCs w:val="18"/>
            <w:u w:val="single" w:color="auto"/>
            <w:color w:val="0000FF"/>
          </w:rPr>
          <w:t>10.12</w:t>
        </w:r>
      </w:hyperlink>
      <w:r>
        <w:rPr>
          <w:rFonts w:ascii="Times New Roman" w:cs="Times New Roman" w:eastAsia="Times New Roman" w:hAnsi="Times New Roman"/>
          <w:sz w:val="18"/>
          <w:szCs w:val="18"/>
          <w:u w:val="single" w:color="auto"/>
          <w:color w:val="0000FF"/>
        </w:rPr>
        <w:tab/>
      </w:r>
      <w:hyperlink r:id="rId164">
        <w:r>
          <w:rPr>
            <w:rFonts w:ascii="Times New Roman" w:cs="Times New Roman" w:eastAsia="Times New Roman" w:hAnsi="Times New Roman"/>
            <w:sz w:val="17"/>
            <w:szCs w:val="17"/>
            <w:u w:val="single" w:color="auto"/>
            <w:color w:val="0000FF"/>
          </w:rPr>
          <w:t>Amendment No. 11 (the “Amendment”), dated as of April 6, 2021, among Aramark Services, Inc. (the “Company”), Aramark</w:t>
        </w:r>
      </w:hyperlink>
      <w:r>
        <w:rPr>
          <w:rFonts w:ascii="Times New Roman" w:cs="Times New Roman" w:eastAsia="Times New Roman" w:hAnsi="Times New Roman"/>
          <w:sz w:val="17"/>
          <w:szCs w:val="17"/>
          <w:u w:val="single" w:color="auto"/>
          <w:color w:val="0000FF"/>
        </w:rPr>
        <w:t xml:space="preserve"> </w:t>
      </w:r>
      <w:hyperlink r:id="rId164">
        <w:r>
          <w:rPr>
            <w:rFonts w:ascii="Times New Roman" w:cs="Times New Roman" w:eastAsia="Times New Roman" w:hAnsi="Times New Roman"/>
            <w:sz w:val="17"/>
            <w:szCs w:val="17"/>
            <w:u w:val="single" w:color="auto"/>
            <w:color w:val="0000FF"/>
          </w:rPr>
          <w:t>Intermediate HoldCo Corporation (“Holdings”), Aramark Intermediate HoldCo Corporation (“Holdings”), ARAMARK Canada Ltd. (the</w:t>
        </w:r>
      </w:hyperlink>
      <w:r>
        <w:rPr>
          <w:rFonts w:ascii="Times New Roman" w:cs="Times New Roman" w:eastAsia="Times New Roman" w:hAnsi="Times New Roman"/>
          <w:sz w:val="17"/>
          <w:szCs w:val="17"/>
          <w:u w:val="single" w:color="auto"/>
          <w:color w:val="0000FF"/>
        </w:rPr>
        <w:t xml:space="preserve"> </w:t>
      </w:r>
      <w:hyperlink r:id="rId164">
        <w:r>
          <w:rPr>
            <w:rFonts w:ascii="Times New Roman" w:cs="Times New Roman" w:eastAsia="Times New Roman" w:hAnsi="Times New Roman"/>
            <w:sz w:val="17"/>
            <w:szCs w:val="17"/>
            <w:u w:val="single" w:color="auto"/>
            <w:color w:val="0000FF"/>
          </w:rPr>
          <w:t>“Canadian Borrower”), ARAMARK Investments Limited, ARAMARK Limited (together with ARAMARK Investments Limited, the</w:t>
        </w:r>
      </w:hyperlink>
    </w:p>
    <w:p>
      <w:pPr>
        <w:ind w:left="1280" w:right="120"/>
        <w:spacing w:after="0" w:line="208" w:lineRule="auto"/>
        <w:rPr>
          <w:rFonts w:ascii="Times New Roman" w:cs="Times New Roman" w:eastAsia="Times New Roman" w:hAnsi="Times New Roman"/>
          <w:sz w:val="18"/>
          <w:szCs w:val="18"/>
          <w:u w:val="single" w:color="auto"/>
          <w:color w:val="0000FF"/>
        </w:rPr>
      </w:pPr>
      <w:hyperlink r:id="rId164">
        <w:r>
          <w:rPr>
            <w:rFonts w:ascii="Times New Roman" w:cs="Times New Roman" w:eastAsia="Times New Roman" w:hAnsi="Times New Roman"/>
            <w:sz w:val="18"/>
            <w:szCs w:val="18"/>
            <w:u w:val="single" w:color="auto"/>
            <w:color w:val="0000FF"/>
          </w:rPr>
          <w:t>“UK Borrowers”), ARAMARK Ireland Holdings Limited, ARAMARK Regional Treasury Europe, Designated Activity Company</w:t>
        </w:r>
      </w:hyperlink>
      <w:r>
        <w:rPr>
          <w:rFonts w:ascii="Times New Roman" w:cs="Times New Roman" w:eastAsia="Times New Roman" w:hAnsi="Times New Roman"/>
          <w:sz w:val="18"/>
          <w:szCs w:val="18"/>
          <w:u w:val="single" w:color="auto"/>
          <w:color w:val="0000FF"/>
        </w:rPr>
        <w:t xml:space="preserve"> </w:t>
      </w:r>
      <w:hyperlink r:id="rId164">
        <w:r>
          <w:rPr>
            <w:rFonts w:ascii="Times New Roman" w:cs="Times New Roman" w:eastAsia="Times New Roman" w:hAnsi="Times New Roman"/>
            <w:sz w:val="18"/>
            <w:szCs w:val="18"/>
            <w:u w:val="single" w:color="auto"/>
            <w:color w:val="0000FF"/>
          </w:rPr>
          <w:t>(together with ARAMARK Ireland Holdings Limited, the “Irish Borrowers”), ARAMARK Holdings Deutschland GMBH (as successor</w:t>
        </w:r>
      </w:hyperlink>
      <w:r>
        <w:rPr>
          <w:rFonts w:ascii="Times New Roman" w:cs="Times New Roman" w:eastAsia="Times New Roman" w:hAnsi="Times New Roman"/>
          <w:sz w:val="18"/>
          <w:szCs w:val="18"/>
          <w:u w:val="single" w:color="auto"/>
          <w:color w:val="0000FF"/>
        </w:rPr>
        <w:t xml:space="preserve"> </w:t>
      </w:r>
      <w:hyperlink r:id="rId164">
        <w:r>
          <w:rPr>
            <w:rFonts w:ascii="Times New Roman" w:cs="Times New Roman" w:eastAsia="Times New Roman" w:hAnsi="Times New Roman"/>
            <w:sz w:val="18"/>
            <w:szCs w:val="18"/>
            <w:u w:val="single" w:color="auto"/>
            <w:color w:val="0000FF"/>
          </w:rPr>
          <w:t>by merger to ARAMARK Holdings GmbH &amp; Co. KG, the “German Borrower”), Aramark International Finance S.à.r.l. (the</w:t>
        </w:r>
      </w:hyperlink>
    </w:p>
    <w:p>
      <w:pPr>
        <w:spacing w:after="0" w:line="2" w:lineRule="exact"/>
        <w:rPr>
          <w:rFonts w:ascii="Times New Roman" w:cs="Times New Roman" w:eastAsia="Times New Roman" w:hAnsi="Times New Roman"/>
          <w:sz w:val="18"/>
          <w:szCs w:val="18"/>
          <w:u w:val="single" w:color="auto"/>
          <w:color w:val="0000FF"/>
        </w:rPr>
      </w:pPr>
    </w:p>
    <w:p>
      <w:pPr>
        <w:jc w:val="both"/>
        <w:ind w:left="1280"/>
        <w:spacing w:after="0" w:line="220" w:lineRule="auto"/>
        <w:rPr>
          <w:rFonts w:ascii="Times New Roman" w:cs="Times New Roman" w:eastAsia="Times New Roman" w:hAnsi="Times New Roman"/>
          <w:sz w:val="17"/>
          <w:szCs w:val="17"/>
          <w:u w:val="single" w:color="auto"/>
          <w:color w:val="0000FF"/>
        </w:rPr>
      </w:pPr>
      <w:hyperlink r:id="rId164">
        <w:r>
          <w:rPr>
            <w:rFonts w:ascii="Times New Roman" w:cs="Times New Roman" w:eastAsia="Times New Roman" w:hAnsi="Times New Roman"/>
            <w:sz w:val="17"/>
            <w:szCs w:val="17"/>
            <w:u w:val="single" w:color="auto"/>
            <w:color w:val="0000FF"/>
          </w:rPr>
          <w:t>“Luxembourg Borrower”), certain other wholly-owned subsidiaries of the Company, the financial institutions party thereto and JPMorgan</w:t>
        </w:r>
      </w:hyperlink>
      <w:r>
        <w:rPr>
          <w:rFonts w:ascii="Times New Roman" w:cs="Times New Roman" w:eastAsia="Times New Roman" w:hAnsi="Times New Roman"/>
          <w:sz w:val="17"/>
          <w:szCs w:val="17"/>
          <w:u w:val="single" w:color="auto"/>
          <w:color w:val="0000FF"/>
        </w:rPr>
        <w:t xml:space="preserve"> </w:t>
      </w:r>
      <w:hyperlink r:id="rId164">
        <w:r>
          <w:rPr>
            <w:rFonts w:ascii="Times New Roman" w:cs="Times New Roman" w:eastAsia="Times New Roman" w:hAnsi="Times New Roman"/>
            <w:sz w:val="17"/>
            <w:szCs w:val="17"/>
            <w:u w:val="single" w:color="auto"/>
            <w:color w:val="0000FF"/>
          </w:rPr>
          <w:t>Chase Bank, N.A. as administrative agent for the Lenders (as defined below) and collateral agent for the secured parties thereunder to the</w:t>
        </w:r>
      </w:hyperlink>
      <w:r>
        <w:rPr>
          <w:rFonts w:ascii="Times New Roman" w:cs="Times New Roman" w:eastAsia="Times New Roman" w:hAnsi="Times New Roman"/>
          <w:sz w:val="17"/>
          <w:szCs w:val="17"/>
          <w:u w:val="single" w:color="auto"/>
          <w:color w:val="0000FF"/>
        </w:rPr>
        <w:t xml:space="preserve"> </w:t>
      </w:r>
      <w:hyperlink r:id="rId164">
        <w:r>
          <w:rPr>
            <w:rFonts w:ascii="Times New Roman" w:cs="Times New Roman" w:eastAsia="Times New Roman" w:hAnsi="Times New Roman"/>
            <w:sz w:val="17"/>
            <w:szCs w:val="17"/>
            <w:u w:val="single" w:color="auto"/>
            <w:color w:val="0000FF"/>
          </w:rPr>
          <w:t>credit agreement, dated March 28, 2017, among the Company, Holdings, the Canadian Borrower, the UK Borrower, the Irish Borrowers,</w:t>
        </w:r>
      </w:hyperlink>
    </w:p>
    <w:p>
      <w:pPr>
        <w:spacing w:after="0" w:line="2" w:lineRule="exact"/>
        <w:rPr>
          <w:rFonts w:ascii="Times New Roman" w:cs="Times New Roman" w:eastAsia="Times New Roman" w:hAnsi="Times New Roman"/>
          <w:sz w:val="17"/>
          <w:szCs w:val="17"/>
          <w:u w:val="single" w:color="auto"/>
          <w:color w:val="0000FF"/>
        </w:rPr>
      </w:pPr>
    </w:p>
    <w:p>
      <w:pPr>
        <w:ind w:left="1280"/>
        <w:spacing w:after="0" w:line="208" w:lineRule="auto"/>
        <w:rPr>
          <w:rFonts w:ascii="Times New Roman" w:cs="Times New Roman" w:eastAsia="Times New Roman" w:hAnsi="Times New Roman"/>
          <w:sz w:val="18"/>
          <w:szCs w:val="18"/>
          <w:u w:val="single" w:color="auto"/>
          <w:color w:val="0000FF"/>
        </w:rPr>
      </w:pPr>
      <w:hyperlink r:id="rId164">
        <w:r>
          <w:rPr>
            <w:rFonts w:ascii="Times New Roman" w:cs="Times New Roman" w:eastAsia="Times New Roman" w:hAnsi="Times New Roman"/>
            <w:sz w:val="18"/>
            <w:szCs w:val="18"/>
            <w:u w:val="single" w:color="auto"/>
            <w:color w:val="0000FF"/>
          </w:rPr>
          <w:t>the German Borrower, the Luxembourg Borrower and certain other wholly-owned domestic subsidiaries of the Company, the financial</w:t>
        </w:r>
      </w:hyperlink>
      <w:r>
        <w:rPr>
          <w:rFonts w:ascii="Times New Roman" w:cs="Times New Roman" w:eastAsia="Times New Roman" w:hAnsi="Times New Roman"/>
          <w:sz w:val="18"/>
          <w:szCs w:val="18"/>
          <w:u w:val="single" w:color="auto"/>
          <w:color w:val="0000FF"/>
        </w:rPr>
        <w:t xml:space="preserve"> </w:t>
      </w:r>
      <w:hyperlink r:id="rId164">
        <w:r>
          <w:rPr>
            <w:rFonts w:ascii="Times New Roman" w:cs="Times New Roman" w:eastAsia="Times New Roman" w:hAnsi="Times New Roman"/>
            <w:sz w:val="18"/>
            <w:szCs w:val="18"/>
            <w:u w:val="single" w:color="auto"/>
            <w:color w:val="0000FF"/>
          </w:rPr>
          <w:t>institutions from time to time party thereto (including the financial institutions party to the Amendment, the “Lenders”), the issuing banks</w:t>
        </w:r>
      </w:hyperlink>
      <w:r>
        <w:rPr>
          <w:rFonts w:ascii="Times New Roman" w:cs="Times New Roman" w:eastAsia="Times New Roman" w:hAnsi="Times New Roman"/>
          <w:sz w:val="18"/>
          <w:szCs w:val="18"/>
          <w:u w:val="single" w:color="auto"/>
          <w:color w:val="0000FF"/>
        </w:rPr>
        <w:t xml:space="preserve"> </w:t>
      </w:r>
      <w:hyperlink r:id="rId164">
        <w:r>
          <w:rPr>
            <w:rFonts w:ascii="Times New Roman" w:cs="Times New Roman" w:eastAsia="Times New Roman" w:hAnsi="Times New Roman"/>
            <w:sz w:val="18"/>
            <w:szCs w:val="18"/>
            <w:u w:val="single" w:color="auto"/>
            <w:color w:val="0000FF"/>
          </w:rPr>
          <w:t>named therein and JPMorgan Chase Bank, N.A., as administrative agent for the Lenders and collateral agent for the secured parties</w:t>
        </w:r>
      </w:hyperlink>
    </w:p>
    <w:p>
      <w:pPr>
        <w:spacing w:after="0" w:line="2" w:lineRule="exact"/>
        <w:rPr>
          <w:rFonts w:ascii="Times New Roman" w:cs="Times New Roman" w:eastAsia="Times New Roman" w:hAnsi="Times New Roman"/>
          <w:sz w:val="18"/>
          <w:szCs w:val="18"/>
          <w:u w:val="single" w:color="auto"/>
          <w:color w:val="0000FF"/>
        </w:rPr>
      </w:pPr>
    </w:p>
    <w:p>
      <w:pPr>
        <w:ind w:left="1280" w:right="320"/>
        <w:spacing w:after="0" w:line="226" w:lineRule="auto"/>
        <w:rPr>
          <w:rFonts w:ascii="Times New Roman" w:cs="Times New Roman" w:eastAsia="Times New Roman" w:hAnsi="Times New Roman"/>
          <w:sz w:val="18"/>
          <w:szCs w:val="18"/>
          <w:u w:val="single" w:color="auto"/>
          <w:color w:val="0000FF"/>
        </w:rPr>
      </w:pPr>
      <w:hyperlink r:id="rId164">
        <w:r>
          <w:rPr>
            <w:rFonts w:ascii="Times New Roman" w:cs="Times New Roman" w:eastAsia="Times New Roman" w:hAnsi="Times New Roman"/>
            <w:sz w:val="18"/>
            <w:szCs w:val="18"/>
            <w:u w:val="single" w:color="auto"/>
            <w:color w:val="0000FF"/>
          </w:rPr>
          <w:t>thereunder (incorporated by reference to Exhibit 10.1 to Aramark's Quarterly Report on Form 10-Q filed with the SEC on August 10,</w:t>
        </w:r>
      </w:hyperlink>
      <w:r>
        <w:rPr>
          <w:rFonts w:ascii="Times New Roman" w:cs="Times New Roman" w:eastAsia="Times New Roman" w:hAnsi="Times New Roman"/>
          <w:sz w:val="18"/>
          <w:szCs w:val="18"/>
          <w:u w:val="single" w:color="auto"/>
          <w:color w:val="0000FF"/>
        </w:rPr>
        <w:t xml:space="preserve"> </w:t>
      </w:r>
      <w:hyperlink r:id="rId164">
        <w:r>
          <w:rPr>
            <w:rFonts w:ascii="Times New Roman" w:cs="Times New Roman" w:eastAsia="Times New Roman" w:hAnsi="Times New Roman"/>
            <w:sz w:val="18"/>
            <w:szCs w:val="18"/>
            <w:u w:val="single" w:color="auto"/>
            <w:color w:val="0000FF"/>
          </w:rPr>
          <w:t>2021, pursuant to the Exchange Act (file number 001-36223)).</w:t>
        </w:r>
      </w:hyperlink>
    </w:p>
    <w:p>
      <w:pPr>
        <w:spacing w:after="0" w:line="9" w:lineRule="exact"/>
        <w:rPr>
          <w:sz w:val="20"/>
          <w:szCs w:val="20"/>
          <w:color w:val="auto"/>
        </w:rPr>
      </w:pPr>
    </w:p>
    <w:p>
      <w:pPr>
        <w:ind w:left="1280" w:right="120" w:hanging="548"/>
        <w:spacing w:after="0" w:line="229" w:lineRule="auto"/>
        <w:tabs>
          <w:tab w:leader="none" w:pos="1260" w:val="left"/>
        </w:tabs>
        <w:rPr>
          <w:rFonts w:ascii="Times New Roman" w:cs="Times New Roman" w:eastAsia="Times New Roman" w:hAnsi="Times New Roman"/>
          <w:sz w:val="17"/>
          <w:szCs w:val="17"/>
          <w:u w:val="single" w:color="auto"/>
          <w:color w:val="0000FF"/>
        </w:rPr>
      </w:pPr>
      <w:hyperlink r:id="rId165">
        <w:r>
          <w:rPr>
            <w:rFonts w:ascii="Times New Roman" w:cs="Times New Roman" w:eastAsia="Times New Roman" w:hAnsi="Times New Roman"/>
            <w:sz w:val="18"/>
            <w:szCs w:val="18"/>
            <w:u w:val="single" w:color="auto"/>
            <w:color w:val="0000FF"/>
          </w:rPr>
          <w:t>10.13</w:t>
        </w:r>
      </w:hyperlink>
      <w:r>
        <w:rPr>
          <w:rFonts w:ascii="Times New Roman" w:cs="Times New Roman" w:eastAsia="Times New Roman" w:hAnsi="Times New Roman"/>
          <w:sz w:val="18"/>
          <w:szCs w:val="18"/>
          <w:u w:val="single" w:color="auto"/>
          <w:color w:val="0000FF"/>
        </w:rPr>
        <w:tab/>
      </w:r>
      <w:hyperlink r:id="rId165">
        <w:r>
          <w:rPr>
            <w:rFonts w:ascii="Times New Roman" w:cs="Times New Roman" w:eastAsia="Times New Roman" w:hAnsi="Times New Roman"/>
            <w:sz w:val="17"/>
            <w:szCs w:val="17"/>
            <w:u w:val="single" w:color="auto"/>
            <w:color w:val="0000FF"/>
          </w:rPr>
          <w:t>United States Pledge and Security Agreement, dated as of March 28, 2017 by and among Aramark Intermediate HoldCo Corporation,</w:t>
        </w:r>
      </w:hyperlink>
      <w:r>
        <w:rPr>
          <w:rFonts w:ascii="Times New Roman" w:cs="Times New Roman" w:eastAsia="Times New Roman" w:hAnsi="Times New Roman"/>
          <w:sz w:val="17"/>
          <w:szCs w:val="17"/>
          <w:u w:val="single" w:color="auto"/>
          <w:color w:val="0000FF"/>
        </w:rPr>
        <w:t xml:space="preserve"> </w:t>
      </w:r>
      <w:hyperlink r:id="rId165">
        <w:r>
          <w:rPr>
            <w:rFonts w:ascii="Times New Roman" w:cs="Times New Roman" w:eastAsia="Times New Roman" w:hAnsi="Times New Roman"/>
            <w:sz w:val="17"/>
            <w:szCs w:val="17"/>
            <w:u w:val="single" w:color="auto"/>
            <w:color w:val="0000FF"/>
          </w:rPr>
          <w:t>Aramark Services, Inc., the Subsidiary Parties from time to time party thereto and JPMorgan Chase Bank, N.A. as collateral agent</w:t>
        </w:r>
      </w:hyperlink>
      <w:r>
        <w:rPr>
          <w:rFonts w:ascii="Times New Roman" w:cs="Times New Roman" w:eastAsia="Times New Roman" w:hAnsi="Times New Roman"/>
          <w:sz w:val="17"/>
          <w:szCs w:val="17"/>
          <w:u w:val="single" w:color="auto"/>
          <w:color w:val="0000FF"/>
        </w:rPr>
        <w:t xml:space="preserve"> </w:t>
      </w:r>
      <w:hyperlink r:id="rId165">
        <w:r>
          <w:rPr>
            <w:rFonts w:ascii="Times New Roman" w:cs="Times New Roman" w:eastAsia="Times New Roman" w:hAnsi="Times New Roman"/>
            <w:sz w:val="17"/>
            <w:szCs w:val="17"/>
            <w:u w:val="single" w:color="auto"/>
            <w:color w:val="0000FF"/>
          </w:rPr>
          <w:t>(incorporated by reference to Exhibit 10.2 to Aramark's Quarterly Report on Form 10-Q filed with the SEC on May 9, 2017, pursuant to</w:t>
        </w:r>
      </w:hyperlink>
    </w:p>
    <w:p>
      <w:pPr>
        <w:ind w:left="1280"/>
        <w:spacing w:after="0"/>
        <w:rPr>
          <w:rFonts w:ascii="Times New Roman" w:cs="Times New Roman" w:eastAsia="Times New Roman" w:hAnsi="Times New Roman"/>
          <w:sz w:val="18"/>
          <w:szCs w:val="18"/>
          <w:u w:val="single" w:color="auto"/>
          <w:color w:val="0000FF"/>
        </w:rPr>
      </w:pPr>
      <w:hyperlink r:id="rId165">
        <w:r>
          <w:rPr>
            <w:rFonts w:ascii="Times New Roman" w:cs="Times New Roman" w:eastAsia="Times New Roman" w:hAnsi="Times New Roman"/>
            <w:sz w:val="18"/>
            <w:szCs w:val="18"/>
            <w:u w:val="single" w:color="auto"/>
            <w:color w:val="0000FF"/>
          </w:rPr>
          <w:t>the Exchange Act (file number 001-36223)).</w:t>
        </w:r>
      </w:hyperlink>
    </w:p>
    <w:p>
      <w:pPr>
        <w:spacing w:after="0" w:line="7" w:lineRule="exact"/>
        <w:rPr>
          <w:rFonts w:ascii="Times New Roman" w:cs="Times New Roman" w:eastAsia="Times New Roman" w:hAnsi="Times New Roman"/>
          <w:sz w:val="17"/>
          <w:szCs w:val="17"/>
          <w:u w:val="single" w:color="auto"/>
          <w:color w:val="0000FF"/>
        </w:rPr>
      </w:pPr>
    </w:p>
    <w:p>
      <w:pPr>
        <w:ind w:left="1280" w:right="120" w:hanging="548"/>
        <w:spacing w:after="0" w:line="224" w:lineRule="auto"/>
        <w:tabs>
          <w:tab w:leader="none" w:pos="1260" w:val="left"/>
        </w:tabs>
        <w:rPr>
          <w:rFonts w:ascii="Times New Roman" w:cs="Times New Roman" w:eastAsia="Times New Roman" w:hAnsi="Times New Roman"/>
          <w:sz w:val="18"/>
          <w:szCs w:val="18"/>
          <w:u w:val="single" w:color="auto"/>
          <w:color w:val="0000FF"/>
        </w:rPr>
      </w:pPr>
      <w:hyperlink r:id="rId166">
        <w:r>
          <w:rPr>
            <w:rFonts w:ascii="Times New Roman" w:cs="Times New Roman" w:eastAsia="Times New Roman" w:hAnsi="Times New Roman"/>
            <w:sz w:val="18"/>
            <w:szCs w:val="18"/>
            <w:u w:val="single" w:color="auto"/>
            <w:color w:val="0000FF"/>
          </w:rPr>
          <w:t>10.14</w:t>
        </w:r>
      </w:hyperlink>
      <w:r>
        <w:rPr>
          <w:rFonts w:ascii="Times New Roman" w:cs="Times New Roman" w:eastAsia="Times New Roman" w:hAnsi="Times New Roman"/>
          <w:sz w:val="18"/>
          <w:szCs w:val="18"/>
          <w:u w:val="single" w:color="auto"/>
          <w:color w:val="0000FF"/>
        </w:rPr>
        <w:tab/>
      </w:r>
      <w:hyperlink r:id="rId166">
        <w:r>
          <w:rPr>
            <w:rFonts w:ascii="Times New Roman" w:cs="Times New Roman" w:eastAsia="Times New Roman" w:hAnsi="Times New Roman"/>
            <w:sz w:val="18"/>
            <w:szCs w:val="18"/>
            <w:u w:val="single" w:color="auto"/>
            <w:color w:val="0000FF"/>
          </w:rPr>
          <w:t>Amended and Restated Registration Rights and Coordination Committee Agreement, dated as of December 10, 2013, among Aramark</w:t>
        </w:r>
      </w:hyperlink>
      <w:r>
        <w:rPr>
          <w:rFonts w:ascii="Times New Roman" w:cs="Times New Roman" w:eastAsia="Times New Roman" w:hAnsi="Times New Roman"/>
          <w:sz w:val="18"/>
          <w:szCs w:val="18"/>
          <w:u w:val="single" w:color="auto"/>
          <w:color w:val="0000FF"/>
        </w:rPr>
        <w:t xml:space="preserve"> </w:t>
      </w:r>
      <w:hyperlink r:id="rId166">
        <w:r>
          <w:rPr>
            <w:rFonts w:ascii="Times New Roman" w:cs="Times New Roman" w:eastAsia="Times New Roman" w:hAnsi="Times New Roman"/>
            <w:sz w:val="18"/>
            <w:szCs w:val="18"/>
            <w:u w:val="single" w:color="auto"/>
            <w:color w:val="0000FF"/>
          </w:rPr>
          <w:t>and the other parties thereto (incorporated by reference to Exhibit 10.2 to Aramark’s Current Report on Form 8-K filed with the SEC on</w:t>
        </w:r>
      </w:hyperlink>
      <w:r>
        <w:rPr>
          <w:rFonts w:ascii="Times New Roman" w:cs="Times New Roman" w:eastAsia="Times New Roman" w:hAnsi="Times New Roman"/>
          <w:sz w:val="18"/>
          <w:szCs w:val="18"/>
          <w:u w:val="single" w:color="auto"/>
          <w:color w:val="0000FF"/>
        </w:rPr>
        <w:t xml:space="preserve"> </w:t>
      </w:r>
      <w:hyperlink r:id="rId166">
        <w:r>
          <w:rPr>
            <w:rFonts w:ascii="Times New Roman" w:cs="Times New Roman" w:eastAsia="Times New Roman" w:hAnsi="Times New Roman"/>
            <w:sz w:val="18"/>
            <w:szCs w:val="18"/>
            <w:u w:val="single" w:color="auto"/>
            <w:color w:val="0000FF"/>
          </w:rPr>
          <w:t>December 16, 2013, pursuant to the Exchange Act (file number 001-36223)).</w:t>
        </w:r>
      </w:hyperlink>
    </w:p>
    <w:p>
      <w:pPr>
        <w:spacing w:after="0" w:line="10" w:lineRule="exact"/>
        <w:rPr>
          <w:rFonts w:ascii="Times New Roman" w:cs="Times New Roman" w:eastAsia="Times New Roman" w:hAnsi="Times New Roman"/>
          <w:sz w:val="18"/>
          <w:szCs w:val="18"/>
          <w:u w:val="single" w:color="auto"/>
          <w:color w:val="0000FF"/>
        </w:rPr>
      </w:pPr>
    </w:p>
    <w:p>
      <w:pPr>
        <w:ind w:left="1280" w:right="100" w:hanging="637"/>
        <w:spacing w:after="0" w:line="226" w:lineRule="auto"/>
        <w:tabs>
          <w:tab w:leader="none" w:pos="1260" w:val="left"/>
        </w:tabs>
        <w:rPr>
          <w:rFonts w:ascii="Times New Roman" w:cs="Times New Roman" w:eastAsia="Times New Roman" w:hAnsi="Times New Roman"/>
          <w:sz w:val="18"/>
          <w:szCs w:val="18"/>
          <w:u w:val="single" w:color="auto"/>
          <w:color w:val="0000FF"/>
        </w:rPr>
      </w:pPr>
      <w:hyperlink r:id="rId167">
        <w:r>
          <w:rPr>
            <w:rFonts w:ascii="Times New Roman" w:cs="Times New Roman" w:eastAsia="Times New Roman" w:hAnsi="Times New Roman"/>
            <w:sz w:val="18"/>
            <w:szCs w:val="18"/>
            <w:u w:val="single" w:color="auto"/>
            <w:color w:val="0000FF"/>
          </w:rPr>
          <w:t>10.15†</w:t>
        </w:r>
      </w:hyperlink>
      <w:r>
        <w:rPr>
          <w:rFonts w:ascii="Times New Roman" w:cs="Times New Roman" w:eastAsia="Times New Roman" w:hAnsi="Times New Roman"/>
          <w:sz w:val="18"/>
          <w:szCs w:val="18"/>
          <w:u w:val="single" w:color="auto"/>
          <w:color w:val="0000FF"/>
        </w:rPr>
        <w:tab/>
      </w:r>
      <w:hyperlink r:id="rId167">
        <w:r>
          <w:rPr>
            <w:rFonts w:ascii="Times New Roman" w:cs="Times New Roman" w:eastAsia="Times New Roman" w:hAnsi="Times New Roman"/>
            <w:sz w:val="18"/>
            <w:szCs w:val="18"/>
            <w:u w:val="single" w:color="auto"/>
            <w:color w:val="0000FF"/>
          </w:rPr>
          <w:t>Form of Agreement Relating to Employment and Post-Employment Competition and Schedule 1 listing each Executive Officer who is a</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party to such Agreement (incorporated by reference to Exhibit 10.1 to Aramark Services, Inc.’s Current Report on Form 8-K filed with</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the SEC on July 19, 2007, pursuant to the Exchange Act (file number 001-04762)).</w:t>
        </w:r>
      </w:hyperlink>
    </w:p>
    <w:p>
      <w:pPr>
        <w:spacing w:after="0" w:line="9" w:lineRule="exact"/>
        <w:rPr>
          <w:rFonts w:ascii="Times New Roman" w:cs="Times New Roman" w:eastAsia="Times New Roman" w:hAnsi="Times New Roman"/>
          <w:sz w:val="18"/>
          <w:szCs w:val="18"/>
          <w:u w:val="single" w:color="auto"/>
          <w:color w:val="0000FF"/>
        </w:rPr>
      </w:pPr>
    </w:p>
    <w:p>
      <w:pPr>
        <w:ind w:left="1280" w:right="120" w:hanging="637"/>
        <w:spacing w:after="0" w:line="226" w:lineRule="auto"/>
        <w:tabs>
          <w:tab w:leader="none" w:pos="1260" w:val="left"/>
        </w:tabs>
        <w:rPr>
          <w:rFonts w:ascii="Times New Roman" w:cs="Times New Roman" w:eastAsia="Times New Roman" w:hAnsi="Times New Roman"/>
          <w:sz w:val="18"/>
          <w:szCs w:val="18"/>
          <w:u w:val="single" w:color="auto"/>
          <w:color w:val="0000FF"/>
        </w:rPr>
      </w:pPr>
      <w:hyperlink r:id="rId168">
        <w:r>
          <w:rPr>
            <w:rFonts w:ascii="Times New Roman" w:cs="Times New Roman" w:eastAsia="Times New Roman" w:hAnsi="Times New Roman"/>
            <w:sz w:val="18"/>
            <w:szCs w:val="18"/>
            <w:u w:val="single" w:color="auto"/>
            <w:color w:val="0000FF"/>
          </w:rPr>
          <w:t>10.16†</w:t>
        </w:r>
      </w:hyperlink>
      <w:r>
        <w:rPr>
          <w:rFonts w:ascii="Times New Roman" w:cs="Times New Roman" w:eastAsia="Times New Roman" w:hAnsi="Times New Roman"/>
          <w:sz w:val="18"/>
          <w:szCs w:val="18"/>
          <w:u w:val="single" w:color="auto"/>
          <w:color w:val="0000FF"/>
        </w:rPr>
        <w:tab/>
      </w:r>
      <w:hyperlink r:id="rId168">
        <w:r>
          <w:rPr>
            <w:rFonts w:ascii="Times New Roman" w:cs="Times New Roman" w:eastAsia="Times New Roman" w:hAnsi="Times New Roman"/>
            <w:sz w:val="18"/>
            <w:szCs w:val="18"/>
            <w:u w:val="single" w:color="auto"/>
            <w:color w:val="0000FF"/>
          </w:rPr>
          <w:t>Form of Amendment to Agreement Relating to Employment and Post-Employment Competition (incorporated by reference to Exhibit</w:t>
        </w:r>
      </w:hyperlink>
      <w:r>
        <w:rPr>
          <w:rFonts w:ascii="Times New Roman" w:cs="Times New Roman" w:eastAsia="Times New Roman" w:hAnsi="Times New Roman"/>
          <w:sz w:val="18"/>
          <w:szCs w:val="18"/>
          <w:u w:val="single" w:color="auto"/>
          <w:color w:val="0000FF"/>
        </w:rPr>
        <w:t xml:space="preserve"> </w:t>
      </w:r>
      <w:hyperlink r:id="rId168">
        <w:r>
          <w:rPr>
            <w:rFonts w:ascii="Times New Roman" w:cs="Times New Roman" w:eastAsia="Times New Roman" w:hAnsi="Times New Roman"/>
            <w:sz w:val="18"/>
            <w:szCs w:val="18"/>
            <w:u w:val="single" w:color="auto"/>
            <w:color w:val="0000FF"/>
          </w:rPr>
          <w:t>10.8 to Aramark Services, Inc.’s Annual Report on Form 10-K filed with the SEC on December 15, 2008, pursuant to the Exchange Act</w:t>
        </w:r>
      </w:hyperlink>
      <w:r>
        <w:rPr>
          <w:rFonts w:ascii="Times New Roman" w:cs="Times New Roman" w:eastAsia="Times New Roman" w:hAnsi="Times New Roman"/>
          <w:sz w:val="18"/>
          <w:szCs w:val="18"/>
          <w:u w:val="single" w:color="auto"/>
          <w:color w:val="0000FF"/>
        </w:rPr>
        <w:t xml:space="preserve"> </w:t>
      </w:r>
      <w:hyperlink r:id="rId168">
        <w:r>
          <w:rPr>
            <w:rFonts w:ascii="Times New Roman" w:cs="Times New Roman" w:eastAsia="Times New Roman" w:hAnsi="Times New Roman"/>
            <w:sz w:val="18"/>
            <w:szCs w:val="18"/>
            <w:u w:val="single" w:color="auto"/>
            <w:color w:val="0000FF"/>
          </w:rPr>
          <w:t>(file number 001-04762)).</w:t>
        </w:r>
      </w:hyperlink>
    </w:p>
    <w:p>
      <w:pPr>
        <w:spacing w:after="0" w:line="9" w:lineRule="exact"/>
        <w:rPr>
          <w:rFonts w:ascii="Times New Roman" w:cs="Times New Roman" w:eastAsia="Times New Roman" w:hAnsi="Times New Roman"/>
          <w:sz w:val="18"/>
          <w:szCs w:val="18"/>
          <w:u w:val="single" w:color="auto"/>
          <w:color w:val="0000FF"/>
        </w:rPr>
      </w:pPr>
    </w:p>
    <w:p>
      <w:pPr>
        <w:ind w:left="1280" w:right="360" w:hanging="637"/>
        <w:spacing w:after="0" w:line="226" w:lineRule="auto"/>
        <w:tabs>
          <w:tab w:leader="none" w:pos="1260" w:val="left"/>
        </w:tabs>
        <w:rPr>
          <w:rFonts w:ascii="Times New Roman" w:cs="Times New Roman" w:eastAsia="Times New Roman" w:hAnsi="Times New Roman"/>
          <w:sz w:val="18"/>
          <w:szCs w:val="18"/>
          <w:u w:val="single" w:color="auto"/>
          <w:color w:val="0000FF"/>
        </w:rPr>
      </w:pPr>
      <w:hyperlink r:id="rId169">
        <w:r>
          <w:rPr>
            <w:rFonts w:ascii="Times New Roman" w:cs="Times New Roman" w:eastAsia="Times New Roman" w:hAnsi="Times New Roman"/>
            <w:sz w:val="18"/>
            <w:szCs w:val="18"/>
            <w:u w:val="single" w:color="auto"/>
            <w:color w:val="0000FF"/>
          </w:rPr>
          <w:t>10.17†</w:t>
        </w:r>
      </w:hyperlink>
      <w:r>
        <w:rPr>
          <w:rFonts w:ascii="Times New Roman" w:cs="Times New Roman" w:eastAsia="Times New Roman" w:hAnsi="Times New Roman"/>
          <w:sz w:val="18"/>
          <w:szCs w:val="18"/>
          <w:u w:val="single" w:color="auto"/>
          <w:color w:val="0000FF"/>
        </w:rPr>
        <w:tab/>
      </w:r>
      <w:hyperlink r:id="rId169">
        <w:r>
          <w:rPr>
            <w:rFonts w:ascii="Times New Roman" w:cs="Times New Roman" w:eastAsia="Times New Roman" w:hAnsi="Times New Roman"/>
            <w:sz w:val="18"/>
            <w:szCs w:val="18"/>
            <w:u w:val="single" w:color="auto"/>
            <w:color w:val="0000FF"/>
          </w:rPr>
          <w:t>Offer Letter dated February 4, 2019 between Aramark and Lauren A. Harrington (incorporated by reference to Exhibit 10.21 to</w:t>
        </w:r>
      </w:hyperlink>
      <w:r>
        <w:rPr>
          <w:rFonts w:ascii="Times New Roman" w:cs="Times New Roman" w:eastAsia="Times New Roman" w:hAnsi="Times New Roman"/>
          <w:sz w:val="18"/>
          <w:szCs w:val="18"/>
          <w:u w:val="single" w:color="auto"/>
          <w:color w:val="0000FF"/>
        </w:rPr>
        <w:t xml:space="preserve"> </w:t>
      </w:r>
      <w:hyperlink r:id="rId169">
        <w:r>
          <w:rPr>
            <w:rFonts w:ascii="Times New Roman" w:cs="Times New Roman" w:eastAsia="Times New Roman" w:hAnsi="Times New Roman"/>
            <w:sz w:val="18"/>
            <w:szCs w:val="18"/>
            <w:u w:val="single" w:color="auto"/>
            <w:color w:val="0000FF"/>
          </w:rPr>
          <w:t>Aramark’s Annual Report on Form 10-K filed with the SEC on November 26, 2019, pursuant to the Exchange Act (file number 001-</w:t>
        </w:r>
      </w:hyperlink>
      <w:hyperlink r:id="rId169">
        <w:r>
          <w:rPr>
            <w:rFonts w:ascii="Times New Roman" w:cs="Times New Roman" w:eastAsia="Times New Roman" w:hAnsi="Times New Roman"/>
            <w:sz w:val="18"/>
            <w:szCs w:val="18"/>
            <w:u w:val="single" w:color="auto"/>
            <w:color w:val="0000FF"/>
          </w:rPr>
          <w:t>36223)).</w:t>
        </w:r>
      </w:hyperlink>
    </w:p>
    <w:p>
      <w:pPr>
        <w:spacing w:after="0" w:line="9" w:lineRule="exact"/>
        <w:rPr>
          <w:rFonts w:ascii="Times New Roman" w:cs="Times New Roman" w:eastAsia="Times New Roman" w:hAnsi="Times New Roman"/>
          <w:sz w:val="18"/>
          <w:szCs w:val="18"/>
          <w:u w:val="single" w:color="auto"/>
          <w:color w:val="0000FF"/>
        </w:rPr>
      </w:pPr>
    </w:p>
    <w:p>
      <w:pPr>
        <w:jc w:val="both"/>
        <w:ind w:left="1280" w:right="220" w:hanging="637"/>
        <w:spacing w:after="0" w:line="226" w:lineRule="auto"/>
        <w:tabs>
          <w:tab w:leader="none" w:pos="1260" w:val="left"/>
        </w:tabs>
        <w:rPr>
          <w:rFonts w:ascii="Times New Roman" w:cs="Times New Roman" w:eastAsia="Times New Roman" w:hAnsi="Times New Roman"/>
          <w:sz w:val="18"/>
          <w:szCs w:val="18"/>
          <w:u w:val="single" w:color="auto"/>
          <w:color w:val="0000FF"/>
        </w:rPr>
      </w:pPr>
      <w:hyperlink r:id="rId170">
        <w:r>
          <w:rPr>
            <w:rFonts w:ascii="Times New Roman" w:cs="Times New Roman" w:eastAsia="Times New Roman" w:hAnsi="Times New Roman"/>
            <w:sz w:val="18"/>
            <w:szCs w:val="18"/>
            <w:u w:val="single" w:color="auto"/>
            <w:color w:val="0000FF"/>
          </w:rPr>
          <w:t>10.18†</w:t>
        </w:r>
      </w:hyperlink>
      <w:r>
        <w:rPr>
          <w:rFonts w:ascii="Times New Roman" w:cs="Times New Roman" w:eastAsia="Times New Roman" w:hAnsi="Times New Roman"/>
          <w:sz w:val="18"/>
          <w:szCs w:val="18"/>
          <w:u w:val="single" w:color="auto"/>
          <w:color w:val="0000FF"/>
        </w:rPr>
        <w:tab/>
      </w:r>
      <w:hyperlink r:id="rId170">
        <w:r>
          <w:rPr>
            <w:rFonts w:ascii="Times New Roman" w:cs="Times New Roman" w:eastAsia="Times New Roman" w:hAnsi="Times New Roman"/>
            <w:sz w:val="18"/>
            <w:szCs w:val="18"/>
            <w:u w:val="single" w:color="auto"/>
            <w:color w:val="0000FF"/>
          </w:rPr>
          <w:t>Amended and Restated Agreement Relating to Employment and Post-Employment Competition dated July 16, 2020 between Aramark</w:t>
        </w:r>
      </w:hyperlink>
      <w:r>
        <w:rPr>
          <w:rFonts w:ascii="Times New Roman" w:cs="Times New Roman" w:eastAsia="Times New Roman" w:hAnsi="Times New Roman"/>
          <w:sz w:val="18"/>
          <w:szCs w:val="18"/>
          <w:u w:val="single" w:color="auto"/>
          <w:color w:val="0000FF"/>
        </w:rPr>
        <w:t xml:space="preserve"> </w:t>
      </w:r>
      <w:hyperlink r:id="rId170">
        <w:r>
          <w:rPr>
            <w:rFonts w:ascii="Times New Roman" w:cs="Times New Roman" w:eastAsia="Times New Roman" w:hAnsi="Times New Roman"/>
            <w:sz w:val="18"/>
            <w:szCs w:val="18"/>
            <w:u w:val="single" w:color="auto"/>
            <w:color w:val="0000FF"/>
          </w:rPr>
          <w:t>and Lauren A. Harrington (incorporated by reference to Exhibit 10.5 of Aramark’s Current Report on Form 8-K filed with the SEC on</w:t>
        </w:r>
      </w:hyperlink>
      <w:r>
        <w:rPr>
          <w:rFonts w:ascii="Times New Roman" w:cs="Times New Roman" w:eastAsia="Times New Roman" w:hAnsi="Times New Roman"/>
          <w:sz w:val="18"/>
          <w:szCs w:val="18"/>
          <w:u w:val="single" w:color="auto"/>
          <w:color w:val="0000FF"/>
        </w:rPr>
        <w:t xml:space="preserve"> </w:t>
      </w:r>
      <w:hyperlink r:id="rId170">
        <w:r>
          <w:rPr>
            <w:rFonts w:ascii="Times New Roman" w:cs="Times New Roman" w:eastAsia="Times New Roman" w:hAnsi="Times New Roman"/>
            <w:sz w:val="18"/>
            <w:szCs w:val="18"/>
            <w:u w:val="single" w:color="auto"/>
            <w:color w:val="0000FF"/>
          </w:rPr>
          <w:t>July 17, 2020, pursuant to the Exchange Act (file number 001-36223)).</w:t>
        </w:r>
      </w:hyperlink>
    </w:p>
    <w:p>
      <w:pPr>
        <w:spacing w:after="0" w:line="9" w:lineRule="exact"/>
        <w:rPr>
          <w:rFonts w:ascii="Times New Roman" w:cs="Times New Roman" w:eastAsia="Times New Roman" w:hAnsi="Times New Roman"/>
          <w:sz w:val="18"/>
          <w:szCs w:val="18"/>
          <w:u w:val="single" w:color="auto"/>
          <w:color w:val="0000FF"/>
        </w:rPr>
      </w:pPr>
    </w:p>
    <w:p>
      <w:pPr>
        <w:ind w:left="1280" w:right="2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171">
        <w:r>
          <w:rPr>
            <w:rFonts w:ascii="Times New Roman" w:cs="Times New Roman" w:eastAsia="Times New Roman" w:hAnsi="Times New Roman"/>
            <w:sz w:val="18"/>
            <w:szCs w:val="18"/>
            <w:u w:val="single" w:color="auto"/>
            <w:color w:val="0000FF"/>
          </w:rPr>
          <w:t>10.19†</w:t>
        </w:r>
      </w:hyperlink>
      <w:r>
        <w:rPr>
          <w:rFonts w:ascii="Times New Roman" w:cs="Times New Roman" w:eastAsia="Times New Roman" w:hAnsi="Times New Roman"/>
          <w:sz w:val="18"/>
          <w:szCs w:val="18"/>
          <w:u w:val="single" w:color="auto"/>
          <w:color w:val="0000FF"/>
        </w:rPr>
        <w:tab/>
      </w:r>
      <w:hyperlink r:id="rId171">
        <w:r>
          <w:rPr>
            <w:rFonts w:ascii="Times New Roman" w:cs="Times New Roman" w:eastAsia="Times New Roman" w:hAnsi="Times New Roman"/>
            <w:sz w:val="18"/>
            <w:szCs w:val="18"/>
            <w:u w:val="single" w:color="auto"/>
            <w:color w:val="0000FF"/>
          </w:rPr>
          <w:t>Offer Letter by and between Aramark and John J. Zillmer, dated October 6, 2019 (incorporated by reference to Exhibit 10.2 to Aramark’s</w:t>
        </w:r>
      </w:hyperlink>
      <w:r>
        <w:rPr>
          <w:rFonts w:ascii="Times New Roman" w:cs="Times New Roman" w:eastAsia="Times New Roman" w:hAnsi="Times New Roman"/>
          <w:sz w:val="18"/>
          <w:szCs w:val="18"/>
          <w:u w:val="single" w:color="auto"/>
          <w:color w:val="0000FF"/>
        </w:rPr>
        <w:t xml:space="preserve"> </w:t>
      </w:r>
      <w:hyperlink r:id="rId171">
        <w:r>
          <w:rPr>
            <w:rFonts w:ascii="Times New Roman" w:cs="Times New Roman" w:eastAsia="Times New Roman" w:hAnsi="Times New Roman"/>
            <w:sz w:val="18"/>
            <w:szCs w:val="18"/>
            <w:u w:val="single" w:color="auto"/>
            <w:color w:val="0000FF"/>
          </w:rPr>
          <w:t>Current Report on Form 8-K filed with the SEC on October 7, 2019, pursuant to the Exchange Act (file number 001-36223)).</w:t>
        </w:r>
      </w:hyperlink>
    </w:p>
    <w:p>
      <w:pPr>
        <w:spacing w:after="0" w:line="10" w:lineRule="exact"/>
        <w:rPr>
          <w:rFonts w:ascii="Times New Roman" w:cs="Times New Roman" w:eastAsia="Times New Roman" w:hAnsi="Times New Roman"/>
          <w:sz w:val="18"/>
          <w:szCs w:val="18"/>
          <w:u w:val="single" w:color="auto"/>
          <w:color w:val="0000FF"/>
        </w:rPr>
      </w:pPr>
    </w:p>
    <w:p>
      <w:pPr>
        <w:jc w:val="both"/>
        <w:ind w:left="1280" w:right="120" w:hanging="637"/>
        <w:spacing w:after="0" w:line="226" w:lineRule="auto"/>
        <w:tabs>
          <w:tab w:leader="none" w:pos="1260" w:val="left"/>
        </w:tabs>
        <w:rPr>
          <w:rFonts w:ascii="Times New Roman" w:cs="Times New Roman" w:eastAsia="Times New Roman" w:hAnsi="Times New Roman"/>
          <w:sz w:val="18"/>
          <w:szCs w:val="18"/>
          <w:u w:val="single" w:color="auto"/>
          <w:color w:val="0000FF"/>
        </w:rPr>
      </w:pPr>
      <w:hyperlink r:id="rId172">
        <w:r>
          <w:rPr>
            <w:rFonts w:ascii="Times New Roman" w:cs="Times New Roman" w:eastAsia="Times New Roman" w:hAnsi="Times New Roman"/>
            <w:sz w:val="18"/>
            <w:szCs w:val="18"/>
            <w:u w:val="single" w:color="auto"/>
            <w:color w:val="0000FF"/>
          </w:rPr>
          <w:t>10.20†</w:t>
        </w:r>
      </w:hyperlink>
      <w:r>
        <w:rPr>
          <w:rFonts w:ascii="Times New Roman" w:cs="Times New Roman" w:eastAsia="Times New Roman" w:hAnsi="Times New Roman"/>
          <w:sz w:val="18"/>
          <w:szCs w:val="18"/>
          <w:u w:val="single" w:color="auto"/>
          <w:color w:val="0000FF"/>
        </w:rPr>
        <w:tab/>
      </w:r>
      <w:hyperlink r:id="rId172">
        <w:r>
          <w:rPr>
            <w:rFonts w:ascii="Times New Roman" w:cs="Times New Roman" w:eastAsia="Times New Roman" w:hAnsi="Times New Roman"/>
            <w:sz w:val="18"/>
            <w:szCs w:val="18"/>
            <w:u w:val="single" w:color="auto"/>
            <w:color w:val="0000FF"/>
          </w:rPr>
          <w:t>Amended and Restated Agreement Relating to Employment and Post-Employment Competition dated July 16, 2020 between Aramark</w:t>
        </w:r>
      </w:hyperlink>
      <w:r>
        <w:rPr>
          <w:rFonts w:ascii="Times New Roman" w:cs="Times New Roman" w:eastAsia="Times New Roman" w:hAnsi="Times New Roman"/>
          <w:sz w:val="18"/>
          <w:szCs w:val="18"/>
          <w:u w:val="single" w:color="auto"/>
          <w:color w:val="0000FF"/>
        </w:rPr>
        <w:t xml:space="preserve"> </w:t>
      </w:r>
      <w:hyperlink r:id="rId172">
        <w:r>
          <w:rPr>
            <w:rFonts w:ascii="Times New Roman" w:cs="Times New Roman" w:eastAsia="Times New Roman" w:hAnsi="Times New Roman"/>
            <w:sz w:val="18"/>
            <w:szCs w:val="18"/>
            <w:u w:val="single" w:color="auto"/>
            <w:color w:val="0000FF"/>
          </w:rPr>
          <w:t>and John J. Zillmer (incorporated by reference to Exhibit 10.1 of Aramark’s Current Report on Form 8-K filed with the SEC on July 17,</w:t>
        </w:r>
      </w:hyperlink>
      <w:r>
        <w:rPr>
          <w:rFonts w:ascii="Times New Roman" w:cs="Times New Roman" w:eastAsia="Times New Roman" w:hAnsi="Times New Roman"/>
          <w:sz w:val="18"/>
          <w:szCs w:val="18"/>
          <w:u w:val="single" w:color="auto"/>
          <w:color w:val="0000FF"/>
        </w:rPr>
        <w:t xml:space="preserve"> </w:t>
      </w:r>
      <w:hyperlink r:id="rId172">
        <w:r>
          <w:rPr>
            <w:rFonts w:ascii="Times New Roman" w:cs="Times New Roman" w:eastAsia="Times New Roman" w:hAnsi="Times New Roman"/>
            <w:sz w:val="18"/>
            <w:szCs w:val="18"/>
            <w:u w:val="single" w:color="auto"/>
            <w:color w:val="0000FF"/>
          </w:rPr>
          <w:t>2020, pursuant to the Exchange Act (file number 001-36223)).</w:t>
        </w:r>
      </w:hyperlink>
    </w:p>
    <w:p>
      <w:pPr>
        <w:spacing w:after="0" w:line="9" w:lineRule="exact"/>
        <w:rPr>
          <w:rFonts w:ascii="Times New Roman" w:cs="Times New Roman" w:eastAsia="Times New Roman" w:hAnsi="Times New Roman"/>
          <w:sz w:val="18"/>
          <w:szCs w:val="18"/>
          <w:u w:val="single" w:color="auto"/>
          <w:color w:val="0000FF"/>
        </w:rPr>
      </w:pPr>
    </w:p>
    <w:p>
      <w:pPr>
        <w:ind w:left="1280" w:right="100" w:hanging="637"/>
        <w:spacing w:after="0" w:line="256" w:lineRule="auto"/>
        <w:tabs>
          <w:tab w:leader="none" w:pos="1260" w:val="left"/>
        </w:tabs>
        <w:rPr>
          <w:rFonts w:ascii="Times New Roman" w:cs="Times New Roman" w:eastAsia="Times New Roman" w:hAnsi="Times New Roman"/>
          <w:sz w:val="17"/>
          <w:szCs w:val="17"/>
          <w:u w:val="single" w:color="auto"/>
          <w:color w:val="0000FF"/>
        </w:rPr>
      </w:pPr>
      <w:hyperlink r:id="rId173">
        <w:r>
          <w:rPr>
            <w:rFonts w:ascii="Times New Roman" w:cs="Times New Roman" w:eastAsia="Times New Roman" w:hAnsi="Times New Roman"/>
            <w:sz w:val="18"/>
            <w:szCs w:val="18"/>
            <w:u w:val="single" w:color="auto"/>
            <w:color w:val="0000FF"/>
          </w:rPr>
          <w:t>10.21†</w:t>
        </w:r>
      </w:hyperlink>
      <w:r>
        <w:rPr>
          <w:rFonts w:ascii="Times New Roman" w:cs="Times New Roman" w:eastAsia="Times New Roman" w:hAnsi="Times New Roman"/>
          <w:sz w:val="18"/>
          <w:szCs w:val="18"/>
          <w:u w:val="single" w:color="auto"/>
          <w:color w:val="0000FF"/>
        </w:rPr>
        <w:tab/>
      </w:r>
      <w:hyperlink r:id="rId173">
        <w:r>
          <w:rPr>
            <w:rFonts w:ascii="Times New Roman" w:cs="Times New Roman" w:eastAsia="Times New Roman" w:hAnsi="Times New Roman"/>
            <w:sz w:val="17"/>
            <w:szCs w:val="17"/>
            <w:u w:val="single" w:color="auto"/>
            <w:color w:val="0000FF"/>
          </w:rPr>
          <w:t>Offer Letter, dated as of January 5, 2020, by and between Thomas Ondrof and Aramark (incorporated by reference to Exhibit 10.2 to</w:t>
        </w:r>
      </w:hyperlink>
      <w:r>
        <w:rPr>
          <w:rFonts w:ascii="Times New Roman" w:cs="Times New Roman" w:eastAsia="Times New Roman" w:hAnsi="Times New Roman"/>
          <w:sz w:val="17"/>
          <w:szCs w:val="17"/>
          <w:u w:val="single" w:color="auto"/>
          <w:color w:val="0000FF"/>
        </w:rPr>
        <w:t xml:space="preserve"> </w:t>
      </w:r>
      <w:hyperlink r:id="rId173">
        <w:r>
          <w:rPr>
            <w:rFonts w:ascii="Times New Roman" w:cs="Times New Roman" w:eastAsia="Times New Roman" w:hAnsi="Times New Roman"/>
            <w:sz w:val="17"/>
            <w:szCs w:val="17"/>
            <w:u w:val="single" w:color="auto"/>
            <w:color w:val="0000FF"/>
          </w:rPr>
          <w:t>Aramark’s Current Report on Form 8-K filed with the SEC on January 6, 2020, pursuant to the Exchange Act (file number 001-36223)).</w:t>
        </w:r>
      </w:hyperlink>
    </w:p>
    <w:p>
      <w:pPr>
        <w:spacing w:after="0" w:line="1" w:lineRule="exact"/>
        <w:rPr>
          <w:rFonts w:ascii="Times New Roman" w:cs="Times New Roman" w:eastAsia="Times New Roman" w:hAnsi="Times New Roman"/>
          <w:sz w:val="18"/>
          <w:szCs w:val="18"/>
          <w:u w:val="single" w:color="auto"/>
          <w:color w:val="0000FF"/>
        </w:rPr>
      </w:pPr>
    </w:p>
    <w:p>
      <w:pPr>
        <w:ind w:left="1280" w:right="60" w:hanging="637"/>
        <w:spacing w:after="0" w:line="226" w:lineRule="auto"/>
        <w:tabs>
          <w:tab w:leader="none" w:pos="1260" w:val="left"/>
        </w:tabs>
        <w:rPr>
          <w:rFonts w:ascii="Times New Roman" w:cs="Times New Roman" w:eastAsia="Times New Roman" w:hAnsi="Times New Roman"/>
          <w:sz w:val="18"/>
          <w:szCs w:val="18"/>
          <w:u w:val="single" w:color="auto"/>
          <w:color w:val="0000FF"/>
        </w:rPr>
      </w:pPr>
      <w:hyperlink r:id="rId174">
        <w:r>
          <w:rPr>
            <w:rFonts w:ascii="Times New Roman" w:cs="Times New Roman" w:eastAsia="Times New Roman" w:hAnsi="Times New Roman"/>
            <w:sz w:val="18"/>
            <w:szCs w:val="18"/>
            <w:u w:val="single" w:color="auto"/>
            <w:color w:val="0000FF"/>
          </w:rPr>
          <w:t>10.22†</w:t>
        </w:r>
      </w:hyperlink>
      <w:r>
        <w:rPr>
          <w:rFonts w:ascii="Times New Roman" w:cs="Times New Roman" w:eastAsia="Times New Roman" w:hAnsi="Times New Roman"/>
          <w:sz w:val="18"/>
          <w:szCs w:val="18"/>
          <w:u w:val="single" w:color="auto"/>
          <w:color w:val="0000FF"/>
        </w:rPr>
        <w:tab/>
      </w:r>
      <w:hyperlink r:id="rId174">
        <w:r>
          <w:rPr>
            <w:rFonts w:ascii="Times New Roman" w:cs="Times New Roman" w:eastAsia="Times New Roman" w:hAnsi="Times New Roman"/>
            <w:sz w:val="18"/>
            <w:szCs w:val="18"/>
            <w:u w:val="single" w:color="auto"/>
            <w:color w:val="0000FF"/>
          </w:rPr>
          <w:t>Amended and Restated Agreement Relating to Employment and Post-Employment Competition dated July 16, 2020 between Aramark</w:t>
        </w:r>
      </w:hyperlink>
      <w:r>
        <w:rPr>
          <w:rFonts w:ascii="Times New Roman" w:cs="Times New Roman" w:eastAsia="Times New Roman" w:hAnsi="Times New Roman"/>
          <w:sz w:val="18"/>
          <w:szCs w:val="18"/>
          <w:u w:val="single" w:color="auto"/>
          <w:color w:val="0000FF"/>
        </w:rPr>
        <w:t xml:space="preserve"> </w:t>
      </w:r>
      <w:hyperlink r:id="rId174">
        <w:r>
          <w:rPr>
            <w:rFonts w:ascii="Times New Roman" w:cs="Times New Roman" w:eastAsia="Times New Roman" w:hAnsi="Times New Roman"/>
            <w:sz w:val="18"/>
            <w:szCs w:val="18"/>
            <w:u w:val="single" w:color="auto"/>
            <w:color w:val="0000FF"/>
          </w:rPr>
          <w:t>and Thomas Ondrof (incorporated by reference to Exhibit 10.2 of Aramark’s Current Report on Form 8-K filed with the SEC on July 17,</w:t>
        </w:r>
      </w:hyperlink>
      <w:r>
        <w:rPr>
          <w:rFonts w:ascii="Times New Roman" w:cs="Times New Roman" w:eastAsia="Times New Roman" w:hAnsi="Times New Roman"/>
          <w:sz w:val="18"/>
          <w:szCs w:val="18"/>
          <w:u w:val="single" w:color="auto"/>
          <w:color w:val="0000FF"/>
        </w:rPr>
        <w:t xml:space="preserve"> </w:t>
      </w:r>
      <w:hyperlink r:id="rId174">
        <w:r>
          <w:rPr>
            <w:rFonts w:ascii="Times New Roman" w:cs="Times New Roman" w:eastAsia="Times New Roman" w:hAnsi="Times New Roman"/>
            <w:sz w:val="18"/>
            <w:szCs w:val="18"/>
            <w:u w:val="single" w:color="auto"/>
            <w:color w:val="0000FF"/>
          </w:rPr>
          <w:t>2020, pursuant to the Exchange Act (file number 001-36223)).</w:t>
        </w:r>
      </w:hyperlink>
    </w:p>
    <w:p>
      <w:pPr>
        <w:spacing w:after="0" w:line="9" w:lineRule="exact"/>
        <w:rPr>
          <w:rFonts w:ascii="Times New Roman" w:cs="Times New Roman" w:eastAsia="Times New Roman" w:hAnsi="Times New Roman"/>
          <w:sz w:val="18"/>
          <w:szCs w:val="18"/>
          <w:u w:val="single" w:color="auto"/>
          <w:color w:val="0000FF"/>
        </w:rPr>
      </w:pPr>
    </w:p>
    <w:p>
      <w:pPr>
        <w:ind w:left="1280" w:right="60" w:hanging="637"/>
        <w:spacing w:after="0" w:line="226" w:lineRule="auto"/>
        <w:tabs>
          <w:tab w:leader="none" w:pos="1260" w:val="left"/>
        </w:tabs>
        <w:rPr>
          <w:rFonts w:ascii="Times New Roman" w:cs="Times New Roman" w:eastAsia="Times New Roman" w:hAnsi="Times New Roman"/>
          <w:sz w:val="18"/>
          <w:szCs w:val="18"/>
          <w:u w:val="single" w:color="auto"/>
          <w:color w:val="0000FF"/>
        </w:rPr>
      </w:pPr>
      <w:hyperlink r:id="rId175">
        <w:r>
          <w:rPr>
            <w:rFonts w:ascii="Times New Roman" w:cs="Times New Roman" w:eastAsia="Times New Roman" w:hAnsi="Times New Roman"/>
            <w:sz w:val="18"/>
            <w:szCs w:val="18"/>
            <w:u w:val="single" w:color="auto"/>
            <w:color w:val="0000FF"/>
          </w:rPr>
          <w:t>10.23†</w:t>
        </w:r>
      </w:hyperlink>
      <w:r>
        <w:rPr>
          <w:rFonts w:ascii="Times New Roman" w:cs="Times New Roman" w:eastAsia="Times New Roman" w:hAnsi="Times New Roman"/>
          <w:sz w:val="18"/>
          <w:szCs w:val="18"/>
          <w:u w:val="single" w:color="auto"/>
          <w:color w:val="0000FF"/>
        </w:rPr>
        <w:tab/>
      </w:r>
      <w:hyperlink r:id="rId175">
        <w:r>
          <w:rPr>
            <w:rFonts w:ascii="Times New Roman" w:cs="Times New Roman" w:eastAsia="Times New Roman" w:hAnsi="Times New Roman"/>
            <w:sz w:val="18"/>
            <w:szCs w:val="18"/>
            <w:u w:val="single" w:color="auto"/>
            <w:color w:val="0000FF"/>
          </w:rPr>
          <w:t>Amended and Restated Agreement Relating to Employment and Post-Employment Competition dated July 16, 2020 between Aramark</w:t>
        </w:r>
      </w:hyperlink>
      <w:r>
        <w:rPr>
          <w:rFonts w:ascii="Times New Roman" w:cs="Times New Roman" w:eastAsia="Times New Roman" w:hAnsi="Times New Roman"/>
          <w:sz w:val="18"/>
          <w:szCs w:val="18"/>
          <w:u w:val="single" w:color="auto"/>
          <w:color w:val="0000FF"/>
        </w:rPr>
        <w:t xml:space="preserve"> </w:t>
      </w:r>
      <w:hyperlink r:id="rId175">
        <w:r>
          <w:rPr>
            <w:rFonts w:ascii="Times New Roman" w:cs="Times New Roman" w:eastAsia="Times New Roman" w:hAnsi="Times New Roman"/>
            <w:sz w:val="18"/>
            <w:szCs w:val="18"/>
            <w:u w:val="single" w:color="auto"/>
            <w:color w:val="0000FF"/>
          </w:rPr>
          <w:t>and Lynn B. McKee (incorporated by reference to Exhibit 10.3 of Aramark’s Current Report on Form 8-K filed with the SEC on July 17,</w:t>
        </w:r>
      </w:hyperlink>
      <w:r>
        <w:rPr>
          <w:rFonts w:ascii="Times New Roman" w:cs="Times New Roman" w:eastAsia="Times New Roman" w:hAnsi="Times New Roman"/>
          <w:sz w:val="18"/>
          <w:szCs w:val="18"/>
          <w:u w:val="single" w:color="auto"/>
          <w:color w:val="0000FF"/>
        </w:rPr>
        <w:t xml:space="preserve"> </w:t>
      </w:r>
      <w:hyperlink r:id="rId175">
        <w:r>
          <w:rPr>
            <w:rFonts w:ascii="Times New Roman" w:cs="Times New Roman" w:eastAsia="Times New Roman" w:hAnsi="Times New Roman"/>
            <w:sz w:val="18"/>
            <w:szCs w:val="18"/>
            <w:u w:val="single" w:color="auto"/>
            <w:color w:val="0000FF"/>
          </w:rPr>
          <w:t>2020, pursuant to the Exchange Act (file number 001-36223)).</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30" w:lineRule="exact"/>
        <w:rPr>
          <w:rFonts w:ascii="Times New Roman" w:cs="Times New Roman" w:eastAsia="Times New Roman" w:hAnsi="Times New Roman"/>
          <w:sz w:val="18"/>
          <w:szCs w:val="18"/>
          <w:u w:val="single" w:color="auto"/>
          <w:color w:val="0000FF"/>
        </w:rPr>
      </w:pPr>
    </w:p>
    <w:p>
      <w:pPr>
        <w:jc w:val="center"/>
        <w:ind w:right="-39"/>
        <w:spacing w:after="0"/>
        <w:rPr>
          <w:sz w:val="20"/>
          <w:szCs w:val="20"/>
          <w:color w:val="auto"/>
        </w:rPr>
      </w:pPr>
      <w:r>
        <w:rPr>
          <w:rFonts w:ascii="Times New Roman" w:cs="Times New Roman" w:eastAsia="Times New Roman" w:hAnsi="Times New Roman"/>
          <w:sz w:val="18"/>
          <w:szCs w:val="18"/>
          <w:color w:val="auto"/>
        </w:rPr>
        <w:t>S-57</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ind w:left="640" w:right="540"/>
        <w:spacing w:after="0" w:line="237" w:lineRule="auto"/>
        <w:rPr>
          <w:rFonts w:ascii="Times New Roman" w:cs="Times New Roman" w:eastAsia="Times New Roman" w:hAnsi="Times New Roman"/>
          <w:sz w:val="18"/>
          <w:szCs w:val="18"/>
          <w:u w:val="single" w:color="auto"/>
          <w:color w:val="0000FF"/>
        </w:rPr>
      </w:pPr>
      <w:hyperlink r:id="rId177">
        <w:r>
          <w:rPr>
            <w:rFonts w:ascii="Times New Roman" w:cs="Times New Roman" w:eastAsia="Times New Roman" w:hAnsi="Times New Roman"/>
            <w:sz w:val="18"/>
            <w:szCs w:val="18"/>
            <w:u w:val="single" w:color="auto"/>
            <w:color w:val="0000FF"/>
          </w:rPr>
          <w:t>10.24†  Offer Letter dated December 4, 2019 between Aramark and Marc Bruno (incorporated by reference to Exhibit 10.29 to Aramark’s</w:t>
        </w:r>
      </w:hyperlink>
      <w:r>
        <w:rPr>
          <w:rFonts w:ascii="Times New Roman" w:cs="Times New Roman" w:eastAsia="Times New Roman" w:hAnsi="Times New Roman"/>
          <w:sz w:val="18"/>
          <w:szCs w:val="18"/>
          <w:u w:val="single" w:color="auto"/>
          <w:color w:val="0000FF"/>
        </w:rPr>
        <w:t xml:space="preserve"> </w:t>
      </w:r>
      <w:hyperlink r:id="rId177">
        <w:r>
          <w:rPr>
            <w:rFonts w:ascii="Times New Roman" w:cs="Times New Roman" w:eastAsia="Times New Roman" w:hAnsi="Times New Roman"/>
            <w:sz w:val="18"/>
            <w:szCs w:val="18"/>
            <w:u w:val="single" w:color="auto"/>
            <w:color w:val="0000FF"/>
          </w:rPr>
          <w:t>Annual Report on Form 10-K filed with the SEC on November 24, 2020 pursuant to the Exchange Act (file number 001-36223)).</w:t>
        </w:r>
      </w:hyperlink>
    </w:p>
    <w:p>
      <w:pPr>
        <w:spacing w:after="0" w:line="10" w:lineRule="exact"/>
        <w:rPr>
          <w:sz w:val="20"/>
          <w:szCs w:val="20"/>
          <w:color w:val="auto"/>
        </w:rPr>
      </w:pPr>
    </w:p>
    <w:p>
      <w:pPr>
        <w:ind w:left="1280" w:hanging="637"/>
        <w:spacing w:after="0" w:line="226" w:lineRule="auto"/>
        <w:tabs>
          <w:tab w:leader="none" w:pos="1260" w:val="left"/>
        </w:tabs>
        <w:rPr>
          <w:rFonts w:ascii="Times New Roman" w:cs="Times New Roman" w:eastAsia="Times New Roman" w:hAnsi="Times New Roman"/>
          <w:sz w:val="18"/>
          <w:szCs w:val="18"/>
          <w:u w:val="single" w:color="auto"/>
          <w:color w:val="0000FF"/>
        </w:rPr>
      </w:pPr>
      <w:hyperlink r:id="rId178">
        <w:r>
          <w:rPr>
            <w:rFonts w:ascii="Times New Roman" w:cs="Times New Roman" w:eastAsia="Times New Roman" w:hAnsi="Times New Roman"/>
            <w:sz w:val="18"/>
            <w:szCs w:val="18"/>
            <w:u w:val="single" w:color="auto"/>
            <w:color w:val="0000FF"/>
          </w:rPr>
          <w:t>10.25†</w:t>
        </w:r>
      </w:hyperlink>
      <w:r>
        <w:rPr>
          <w:rFonts w:ascii="Times New Roman" w:cs="Times New Roman" w:eastAsia="Times New Roman" w:hAnsi="Times New Roman"/>
          <w:sz w:val="18"/>
          <w:szCs w:val="18"/>
          <w:u w:val="single" w:color="auto"/>
          <w:color w:val="0000FF"/>
        </w:rPr>
        <w:tab/>
      </w:r>
      <w:hyperlink r:id="rId178">
        <w:r>
          <w:rPr>
            <w:rFonts w:ascii="Times New Roman" w:cs="Times New Roman" w:eastAsia="Times New Roman" w:hAnsi="Times New Roman"/>
            <w:sz w:val="18"/>
            <w:szCs w:val="18"/>
            <w:u w:val="single" w:color="auto"/>
            <w:color w:val="0000FF"/>
          </w:rPr>
          <w:t>Amended and Restated Agreement Relating to Employment and Post-Employment Competition dated July 16, 2020 between Aramark</w:t>
        </w:r>
      </w:hyperlink>
      <w:r>
        <w:rPr>
          <w:rFonts w:ascii="Times New Roman" w:cs="Times New Roman" w:eastAsia="Times New Roman" w:hAnsi="Times New Roman"/>
          <w:sz w:val="18"/>
          <w:szCs w:val="18"/>
          <w:u w:val="single" w:color="auto"/>
          <w:color w:val="0000FF"/>
        </w:rPr>
        <w:t xml:space="preserve"> </w:t>
      </w:r>
      <w:hyperlink r:id="rId178">
        <w:r>
          <w:rPr>
            <w:rFonts w:ascii="Times New Roman" w:cs="Times New Roman" w:eastAsia="Times New Roman" w:hAnsi="Times New Roman"/>
            <w:sz w:val="18"/>
            <w:szCs w:val="18"/>
            <w:u w:val="single" w:color="auto"/>
            <w:color w:val="0000FF"/>
          </w:rPr>
          <w:t>and Marc Bruno (incorporated by reference to Exhibit 10.30 to Aramark’s Annual Report on Form 10-K filed with the SEC on November</w:t>
        </w:r>
      </w:hyperlink>
      <w:r>
        <w:rPr>
          <w:rFonts w:ascii="Times New Roman" w:cs="Times New Roman" w:eastAsia="Times New Roman" w:hAnsi="Times New Roman"/>
          <w:sz w:val="18"/>
          <w:szCs w:val="18"/>
          <w:u w:val="single" w:color="auto"/>
          <w:color w:val="0000FF"/>
        </w:rPr>
        <w:t xml:space="preserve"> </w:t>
      </w:r>
      <w:hyperlink r:id="rId178">
        <w:r>
          <w:rPr>
            <w:rFonts w:ascii="Times New Roman" w:cs="Times New Roman" w:eastAsia="Times New Roman" w:hAnsi="Times New Roman"/>
            <w:sz w:val="18"/>
            <w:szCs w:val="18"/>
            <w:u w:val="single" w:color="auto"/>
            <w:color w:val="0000FF"/>
          </w:rPr>
          <w:t>24, 2020 pursuant to the Exchange Act (file number 001-36223)).</w:t>
        </w:r>
      </w:hyperlink>
    </w:p>
    <w:p>
      <w:pPr>
        <w:spacing w:after="0" w:line="9" w:lineRule="exact"/>
        <w:rPr>
          <w:rFonts w:ascii="Times New Roman" w:cs="Times New Roman" w:eastAsia="Times New Roman" w:hAnsi="Times New Roman"/>
          <w:sz w:val="18"/>
          <w:szCs w:val="18"/>
          <w:u w:val="single" w:color="auto"/>
          <w:color w:val="0000FF"/>
        </w:rPr>
      </w:pPr>
    </w:p>
    <w:p>
      <w:pPr>
        <w:ind w:left="128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179">
        <w:r>
          <w:rPr>
            <w:rFonts w:ascii="Times New Roman" w:cs="Times New Roman" w:eastAsia="Times New Roman" w:hAnsi="Times New Roman"/>
            <w:sz w:val="18"/>
            <w:szCs w:val="18"/>
            <w:u w:val="single" w:color="auto"/>
            <w:color w:val="0000FF"/>
          </w:rPr>
          <w:t>10.26†</w:t>
        </w:r>
      </w:hyperlink>
      <w:r>
        <w:rPr>
          <w:rFonts w:ascii="Times New Roman" w:cs="Times New Roman" w:eastAsia="Times New Roman" w:hAnsi="Times New Roman"/>
          <w:sz w:val="18"/>
          <w:szCs w:val="18"/>
          <w:u w:val="single" w:color="auto"/>
          <w:color w:val="0000FF"/>
        </w:rPr>
        <w:tab/>
      </w:r>
      <w:hyperlink r:id="rId179">
        <w:r>
          <w:rPr>
            <w:rFonts w:ascii="Times New Roman" w:cs="Times New Roman" w:eastAsia="Times New Roman" w:hAnsi="Times New Roman"/>
            <w:sz w:val="18"/>
            <w:szCs w:val="18"/>
            <w:u w:val="single" w:color="auto"/>
            <w:color w:val="0000FF"/>
          </w:rPr>
          <w:t>Form of Indemnification Agreement and attached schedule (incorporated by reference to Exhibit 10.4 to Aramark Services, Inc.’s Current</w:t>
        </w:r>
      </w:hyperlink>
      <w:r>
        <w:rPr>
          <w:rFonts w:ascii="Times New Roman" w:cs="Times New Roman" w:eastAsia="Times New Roman" w:hAnsi="Times New Roman"/>
          <w:sz w:val="18"/>
          <w:szCs w:val="18"/>
          <w:u w:val="single" w:color="auto"/>
          <w:color w:val="0000FF"/>
        </w:rPr>
        <w:t xml:space="preserve"> </w:t>
      </w:r>
      <w:hyperlink r:id="rId179">
        <w:r>
          <w:rPr>
            <w:rFonts w:ascii="Times New Roman" w:cs="Times New Roman" w:eastAsia="Times New Roman" w:hAnsi="Times New Roman"/>
            <w:sz w:val="18"/>
            <w:szCs w:val="18"/>
            <w:u w:val="single" w:color="auto"/>
            <w:color w:val="0000FF"/>
          </w:rPr>
          <w:t>Report on Form 8-K filed with the SEC on August 10, 2005, pursuant to the Exchange Act (file number 001-16807)).</w:t>
        </w:r>
      </w:hyperlink>
    </w:p>
    <w:p>
      <w:pPr>
        <w:spacing w:after="0" w:line="10" w:lineRule="exact"/>
        <w:rPr>
          <w:rFonts w:ascii="Times New Roman" w:cs="Times New Roman" w:eastAsia="Times New Roman" w:hAnsi="Times New Roman"/>
          <w:sz w:val="18"/>
          <w:szCs w:val="18"/>
          <w:u w:val="single" w:color="auto"/>
          <w:color w:val="0000FF"/>
        </w:rPr>
      </w:pPr>
    </w:p>
    <w:p>
      <w:pPr>
        <w:jc w:val="both"/>
        <w:ind w:left="1280" w:right="14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180">
        <w:r>
          <w:rPr>
            <w:rFonts w:ascii="Times New Roman" w:cs="Times New Roman" w:eastAsia="Times New Roman" w:hAnsi="Times New Roman"/>
            <w:sz w:val="18"/>
            <w:szCs w:val="18"/>
            <w:u w:val="single" w:color="auto"/>
            <w:color w:val="0000FF"/>
          </w:rPr>
          <w:t>10.27†</w:t>
        </w:r>
      </w:hyperlink>
      <w:r>
        <w:rPr>
          <w:rFonts w:ascii="Times New Roman" w:cs="Times New Roman" w:eastAsia="Times New Roman" w:hAnsi="Times New Roman"/>
          <w:sz w:val="18"/>
          <w:szCs w:val="18"/>
          <w:u w:val="single" w:color="auto"/>
          <w:color w:val="0000FF"/>
        </w:rPr>
        <w:tab/>
      </w:r>
      <w:hyperlink r:id="rId180">
        <w:r>
          <w:rPr>
            <w:rFonts w:ascii="Times New Roman" w:cs="Times New Roman" w:eastAsia="Times New Roman" w:hAnsi="Times New Roman"/>
            <w:sz w:val="18"/>
            <w:szCs w:val="18"/>
            <w:u w:val="single" w:color="auto"/>
            <w:color w:val="0000FF"/>
          </w:rPr>
          <w:t>Form of Indemnification Agreement (Directors) (incorporated by reference to Exhibit 10.17 to Aramark's Annual Report on Form 10-K</w:t>
        </w:r>
      </w:hyperlink>
      <w:r>
        <w:rPr>
          <w:rFonts w:ascii="Times New Roman" w:cs="Times New Roman" w:eastAsia="Times New Roman" w:hAnsi="Times New Roman"/>
          <w:sz w:val="18"/>
          <w:szCs w:val="18"/>
          <w:u w:val="single" w:color="auto"/>
          <w:color w:val="0000FF"/>
        </w:rPr>
        <w:t xml:space="preserve"> </w:t>
      </w:r>
      <w:hyperlink r:id="rId180">
        <w:r>
          <w:rPr>
            <w:rFonts w:ascii="Times New Roman" w:cs="Times New Roman" w:eastAsia="Times New Roman" w:hAnsi="Times New Roman"/>
            <w:sz w:val="18"/>
            <w:szCs w:val="18"/>
            <w:u w:val="single" w:color="auto"/>
            <w:color w:val="0000FF"/>
          </w:rPr>
          <w:t>filed with the SEC on November 22, 2017 pursuant to the Exchange Act (file number 001-36223).</w:t>
        </w:r>
      </w:hyperlink>
    </w:p>
    <w:p>
      <w:pPr>
        <w:spacing w:after="0" w:line="10" w:lineRule="exact"/>
        <w:rPr>
          <w:rFonts w:ascii="Times New Roman" w:cs="Times New Roman" w:eastAsia="Times New Roman" w:hAnsi="Times New Roman"/>
          <w:sz w:val="18"/>
          <w:szCs w:val="18"/>
          <w:u w:val="single" w:color="auto"/>
          <w:color w:val="0000FF"/>
        </w:rPr>
      </w:pPr>
    </w:p>
    <w:p>
      <w:pPr>
        <w:ind w:left="1280" w:right="30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181">
        <w:r>
          <w:rPr>
            <w:rFonts w:ascii="Times New Roman" w:cs="Times New Roman" w:eastAsia="Times New Roman" w:hAnsi="Times New Roman"/>
            <w:sz w:val="18"/>
            <w:szCs w:val="18"/>
            <w:u w:val="single" w:color="auto"/>
            <w:color w:val="0000FF"/>
          </w:rPr>
          <w:t>10.28†</w:t>
        </w:r>
      </w:hyperlink>
      <w:r>
        <w:rPr>
          <w:rFonts w:ascii="Times New Roman" w:cs="Times New Roman" w:eastAsia="Times New Roman" w:hAnsi="Times New Roman"/>
          <w:sz w:val="18"/>
          <w:szCs w:val="18"/>
          <w:u w:val="single" w:color="auto"/>
          <w:color w:val="0000FF"/>
        </w:rPr>
        <w:tab/>
      </w:r>
      <w:hyperlink r:id="rId181">
        <w:r>
          <w:rPr>
            <w:rFonts w:ascii="Times New Roman" w:cs="Times New Roman" w:eastAsia="Times New Roman" w:hAnsi="Times New Roman"/>
            <w:sz w:val="18"/>
            <w:szCs w:val="18"/>
            <w:u w:val="single" w:color="auto"/>
            <w:color w:val="0000FF"/>
          </w:rPr>
          <w:t>Form of Indemnification Agreement (Executive Officers) (incorporated by reference to Exhibit 10.29 to Aramark’s Annual Report on</w:t>
        </w:r>
      </w:hyperlink>
      <w:r>
        <w:rPr>
          <w:rFonts w:ascii="Times New Roman" w:cs="Times New Roman" w:eastAsia="Times New Roman" w:hAnsi="Times New Roman"/>
          <w:sz w:val="18"/>
          <w:szCs w:val="18"/>
          <w:u w:val="single" w:color="auto"/>
          <w:color w:val="0000FF"/>
        </w:rPr>
        <w:t xml:space="preserve"> </w:t>
      </w:r>
      <w:hyperlink r:id="rId181">
        <w:r>
          <w:rPr>
            <w:rFonts w:ascii="Times New Roman" w:cs="Times New Roman" w:eastAsia="Times New Roman" w:hAnsi="Times New Roman"/>
            <w:sz w:val="18"/>
            <w:szCs w:val="18"/>
            <w:u w:val="single" w:color="auto"/>
            <w:color w:val="0000FF"/>
          </w:rPr>
          <w:t>Form 10-K filed with the SEC on November 26, 2019, pursuant to the Exchange Act (file number 001-36223)).</w:t>
        </w:r>
      </w:hyperlink>
    </w:p>
    <w:p>
      <w:pPr>
        <w:spacing w:after="0" w:line="10" w:lineRule="exact"/>
        <w:rPr>
          <w:rFonts w:ascii="Times New Roman" w:cs="Times New Roman" w:eastAsia="Times New Roman" w:hAnsi="Times New Roman"/>
          <w:sz w:val="18"/>
          <w:szCs w:val="18"/>
          <w:u w:val="single" w:color="auto"/>
          <w:color w:val="0000FF"/>
        </w:rPr>
      </w:pPr>
    </w:p>
    <w:p>
      <w:pPr>
        <w:jc w:val="both"/>
        <w:ind w:left="1280" w:right="140" w:hanging="637"/>
        <w:spacing w:after="0" w:line="226" w:lineRule="auto"/>
        <w:tabs>
          <w:tab w:leader="none" w:pos="1260" w:val="left"/>
        </w:tabs>
        <w:rPr>
          <w:rFonts w:ascii="Times New Roman" w:cs="Times New Roman" w:eastAsia="Times New Roman" w:hAnsi="Times New Roman"/>
          <w:sz w:val="18"/>
          <w:szCs w:val="18"/>
          <w:u w:val="single" w:color="auto"/>
          <w:color w:val="0000FF"/>
        </w:rPr>
      </w:pPr>
      <w:hyperlink r:id="rId182">
        <w:r>
          <w:rPr>
            <w:rFonts w:ascii="Times New Roman" w:cs="Times New Roman" w:eastAsia="Times New Roman" w:hAnsi="Times New Roman"/>
            <w:sz w:val="18"/>
            <w:szCs w:val="18"/>
            <w:u w:val="single" w:color="auto"/>
            <w:color w:val="0000FF"/>
          </w:rPr>
          <w:t>10.29†</w:t>
        </w:r>
      </w:hyperlink>
      <w:r>
        <w:rPr>
          <w:rFonts w:ascii="Times New Roman" w:cs="Times New Roman" w:eastAsia="Times New Roman" w:hAnsi="Times New Roman"/>
          <w:sz w:val="18"/>
          <w:szCs w:val="18"/>
          <w:u w:val="single" w:color="auto"/>
          <w:color w:val="0000FF"/>
        </w:rPr>
        <w:tab/>
      </w:r>
      <w:hyperlink r:id="rId182">
        <w:r>
          <w:rPr>
            <w:rFonts w:ascii="Times New Roman" w:cs="Times New Roman" w:eastAsia="Times New Roman" w:hAnsi="Times New Roman"/>
            <w:sz w:val="18"/>
            <w:szCs w:val="18"/>
            <w:u w:val="single" w:color="auto"/>
            <w:color w:val="0000FF"/>
          </w:rPr>
          <w:t>Indemnification Agreement dated February 4, 2014 between Daniel J. Heinrich and Aramark (incorporated by reference to Exhibit 10.1</w:t>
        </w:r>
      </w:hyperlink>
      <w:r>
        <w:rPr>
          <w:rFonts w:ascii="Times New Roman" w:cs="Times New Roman" w:eastAsia="Times New Roman" w:hAnsi="Times New Roman"/>
          <w:sz w:val="18"/>
          <w:szCs w:val="18"/>
          <w:u w:val="single" w:color="auto"/>
          <w:color w:val="0000FF"/>
        </w:rPr>
        <w:t xml:space="preserve"> </w:t>
      </w:r>
      <w:hyperlink r:id="rId182">
        <w:r>
          <w:rPr>
            <w:rFonts w:ascii="Times New Roman" w:cs="Times New Roman" w:eastAsia="Times New Roman" w:hAnsi="Times New Roman"/>
            <w:sz w:val="18"/>
            <w:szCs w:val="18"/>
            <w:u w:val="single" w:color="auto"/>
            <w:color w:val="0000FF"/>
          </w:rPr>
          <w:t>to Aramark’s Quarterly Report on Form 10-Q filed with the SEC on February 5, 2014, pursuant to the Exchange Act (file number 001-</w:t>
        </w:r>
      </w:hyperlink>
      <w:hyperlink r:id="rId182">
        <w:r>
          <w:rPr>
            <w:rFonts w:ascii="Times New Roman" w:cs="Times New Roman" w:eastAsia="Times New Roman" w:hAnsi="Times New Roman"/>
            <w:sz w:val="18"/>
            <w:szCs w:val="18"/>
            <w:u w:val="single" w:color="auto"/>
            <w:color w:val="0000FF"/>
          </w:rPr>
          <w:t>36223)).</w:t>
        </w:r>
      </w:hyperlink>
    </w:p>
    <w:p>
      <w:pPr>
        <w:spacing w:after="0" w:line="9" w:lineRule="exact"/>
        <w:rPr>
          <w:rFonts w:ascii="Times New Roman" w:cs="Times New Roman" w:eastAsia="Times New Roman" w:hAnsi="Times New Roman"/>
          <w:sz w:val="18"/>
          <w:szCs w:val="18"/>
          <w:u w:val="single" w:color="auto"/>
          <w:color w:val="0000FF"/>
        </w:rPr>
      </w:pPr>
    </w:p>
    <w:p>
      <w:pPr>
        <w:ind w:left="1280" w:right="120" w:hanging="637"/>
        <w:spacing w:after="0" w:line="226" w:lineRule="auto"/>
        <w:tabs>
          <w:tab w:leader="none" w:pos="1260" w:val="left"/>
        </w:tabs>
        <w:rPr>
          <w:rFonts w:ascii="Times New Roman" w:cs="Times New Roman" w:eastAsia="Times New Roman" w:hAnsi="Times New Roman"/>
          <w:sz w:val="18"/>
          <w:szCs w:val="18"/>
          <w:u w:val="single" w:color="auto"/>
          <w:color w:val="0000FF"/>
        </w:rPr>
      </w:pPr>
      <w:hyperlink r:id="rId183">
        <w:r>
          <w:rPr>
            <w:rFonts w:ascii="Times New Roman" w:cs="Times New Roman" w:eastAsia="Times New Roman" w:hAnsi="Times New Roman"/>
            <w:sz w:val="18"/>
            <w:szCs w:val="18"/>
            <w:u w:val="single" w:color="auto"/>
            <w:color w:val="0000FF"/>
          </w:rPr>
          <w:t>10.30†</w:t>
        </w:r>
      </w:hyperlink>
      <w:r>
        <w:rPr>
          <w:rFonts w:ascii="Times New Roman" w:cs="Times New Roman" w:eastAsia="Times New Roman" w:hAnsi="Times New Roman"/>
          <w:sz w:val="18"/>
          <w:szCs w:val="18"/>
          <w:u w:val="single" w:color="auto"/>
          <w:color w:val="0000FF"/>
        </w:rPr>
        <w:tab/>
      </w:r>
      <w:hyperlink r:id="rId183">
        <w:r>
          <w:rPr>
            <w:rFonts w:ascii="Times New Roman" w:cs="Times New Roman" w:eastAsia="Times New Roman" w:hAnsi="Times New Roman"/>
            <w:sz w:val="18"/>
            <w:szCs w:val="18"/>
            <w:u w:val="single" w:color="auto"/>
            <w:color w:val="0000FF"/>
          </w:rPr>
          <w:t>Indemnification Agreement dated February 4, 2014 between Stephen Sadove and Aramark (incorporated by reference to Exhibit 10.2 to</w:t>
        </w:r>
      </w:hyperlink>
      <w:r>
        <w:rPr>
          <w:rFonts w:ascii="Times New Roman" w:cs="Times New Roman" w:eastAsia="Times New Roman" w:hAnsi="Times New Roman"/>
          <w:sz w:val="18"/>
          <w:szCs w:val="18"/>
          <w:u w:val="single" w:color="auto"/>
          <w:color w:val="0000FF"/>
        </w:rPr>
        <w:t xml:space="preserve"> </w:t>
      </w:r>
      <w:hyperlink r:id="rId183">
        <w:r>
          <w:rPr>
            <w:rFonts w:ascii="Times New Roman" w:cs="Times New Roman" w:eastAsia="Times New Roman" w:hAnsi="Times New Roman"/>
            <w:sz w:val="18"/>
            <w:szCs w:val="18"/>
            <w:u w:val="single" w:color="auto"/>
            <w:color w:val="0000FF"/>
          </w:rPr>
          <w:t>Aramark’s Quarterly Report on Form 10-Q filed with the SEC on February 5, 2014, pursuant to the Exchange Act (file number 001-</w:t>
        </w:r>
      </w:hyperlink>
      <w:hyperlink r:id="rId183">
        <w:r>
          <w:rPr>
            <w:rFonts w:ascii="Times New Roman" w:cs="Times New Roman" w:eastAsia="Times New Roman" w:hAnsi="Times New Roman"/>
            <w:sz w:val="18"/>
            <w:szCs w:val="18"/>
            <w:u w:val="single" w:color="auto"/>
            <w:color w:val="0000FF"/>
          </w:rPr>
          <w:t>36223)).</w:t>
        </w:r>
      </w:hyperlink>
    </w:p>
    <w:p>
      <w:pPr>
        <w:spacing w:after="0" w:line="9" w:lineRule="exact"/>
        <w:rPr>
          <w:rFonts w:ascii="Times New Roman" w:cs="Times New Roman" w:eastAsia="Times New Roman" w:hAnsi="Times New Roman"/>
          <w:sz w:val="18"/>
          <w:szCs w:val="18"/>
          <w:u w:val="single" w:color="auto"/>
          <w:color w:val="0000FF"/>
        </w:rPr>
      </w:pPr>
    </w:p>
    <w:p>
      <w:pPr>
        <w:ind w:left="1280" w:right="74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184">
        <w:r>
          <w:rPr>
            <w:rFonts w:ascii="Times New Roman" w:cs="Times New Roman" w:eastAsia="Times New Roman" w:hAnsi="Times New Roman"/>
            <w:sz w:val="18"/>
            <w:szCs w:val="18"/>
            <w:u w:val="single" w:color="auto"/>
            <w:color w:val="0000FF"/>
          </w:rPr>
          <w:t>10.31†</w:t>
        </w:r>
      </w:hyperlink>
      <w:r>
        <w:rPr>
          <w:rFonts w:ascii="Times New Roman" w:cs="Times New Roman" w:eastAsia="Times New Roman" w:hAnsi="Times New Roman"/>
          <w:sz w:val="18"/>
          <w:szCs w:val="18"/>
          <w:u w:val="single" w:color="auto"/>
          <w:color w:val="0000FF"/>
        </w:rPr>
        <w:tab/>
      </w:r>
      <w:hyperlink r:id="rId184">
        <w:r>
          <w:rPr>
            <w:rFonts w:ascii="Times New Roman" w:cs="Times New Roman" w:eastAsia="Times New Roman" w:hAnsi="Times New Roman"/>
            <w:sz w:val="18"/>
            <w:szCs w:val="18"/>
            <w:u w:val="single" w:color="auto"/>
            <w:color w:val="0000FF"/>
          </w:rPr>
          <w:t>Aramark 2001 Deferred Compensation Plan (incorporated by reference to Exhibit 10.1 to Aramark Services, Inc.’s Registration</w:t>
        </w:r>
      </w:hyperlink>
      <w:r>
        <w:rPr>
          <w:rFonts w:ascii="Times New Roman" w:cs="Times New Roman" w:eastAsia="Times New Roman" w:hAnsi="Times New Roman"/>
          <w:sz w:val="18"/>
          <w:szCs w:val="18"/>
          <w:u w:val="single" w:color="auto"/>
          <w:color w:val="0000FF"/>
        </w:rPr>
        <w:t xml:space="preserve"> </w:t>
      </w:r>
      <w:hyperlink r:id="rId184">
        <w:r>
          <w:rPr>
            <w:rFonts w:ascii="Times New Roman" w:cs="Times New Roman" w:eastAsia="Times New Roman" w:hAnsi="Times New Roman"/>
            <w:sz w:val="18"/>
            <w:szCs w:val="18"/>
            <w:u w:val="single" w:color="auto"/>
            <w:color w:val="0000FF"/>
          </w:rPr>
          <w:t>Statement on Form S-8 filed with the SEC on May 24, 2002 (file number 333-89120)).</w:t>
        </w:r>
      </w:hyperlink>
    </w:p>
    <w:p>
      <w:pPr>
        <w:spacing w:after="0" w:line="10" w:lineRule="exact"/>
        <w:rPr>
          <w:rFonts w:ascii="Times New Roman" w:cs="Times New Roman" w:eastAsia="Times New Roman" w:hAnsi="Times New Roman"/>
          <w:sz w:val="18"/>
          <w:szCs w:val="18"/>
          <w:u w:val="single" w:color="auto"/>
          <w:color w:val="0000FF"/>
        </w:rPr>
      </w:pPr>
    </w:p>
    <w:p>
      <w:pPr>
        <w:ind w:left="1280" w:right="120" w:hanging="637"/>
        <w:spacing w:after="0" w:line="256" w:lineRule="auto"/>
        <w:tabs>
          <w:tab w:leader="none" w:pos="1260" w:val="left"/>
        </w:tabs>
        <w:rPr>
          <w:rFonts w:ascii="Times New Roman" w:cs="Times New Roman" w:eastAsia="Times New Roman" w:hAnsi="Times New Roman"/>
          <w:sz w:val="17"/>
          <w:szCs w:val="17"/>
          <w:u w:val="single" w:color="auto"/>
          <w:color w:val="0000FF"/>
        </w:rPr>
      </w:pPr>
      <w:hyperlink r:id="rId185">
        <w:r>
          <w:rPr>
            <w:rFonts w:ascii="Times New Roman" w:cs="Times New Roman" w:eastAsia="Times New Roman" w:hAnsi="Times New Roman"/>
            <w:sz w:val="18"/>
            <w:szCs w:val="18"/>
            <w:u w:val="single" w:color="auto"/>
            <w:color w:val="0000FF"/>
          </w:rPr>
          <w:t>10.32†</w:t>
        </w:r>
      </w:hyperlink>
      <w:r>
        <w:rPr>
          <w:rFonts w:ascii="Times New Roman" w:cs="Times New Roman" w:eastAsia="Times New Roman" w:hAnsi="Times New Roman"/>
          <w:sz w:val="18"/>
          <w:szCs w:val="18"/>
          <w:u w:val="single" w:color="auto"/>
          <w:color w:val="0000FF"/>
        </w:rPr>
        <w:tab/>
      </w:r>
      <w:hyperlink r:id="rId185">
        <w:r>
          <w:rPr>
            <w:rFonts w:ascii="Times New Roman" w:cs="Times New Roman" w:eastAsia="Times New Roman" w:hAnsi="Times New Roman"/>
            <w:sz w:val="17"/>
            <w:szCs w:val="17"/>
            <w:u w:val="single" w:color="auto"/>
            <w:color w:val="0000FF"/>
          </w:rPr>
          <w:t>Amended and Restated Aramark 2001 Stock Unit Retirement Plan (incorporated by reference to Exhibit 10.22 to Aramark Services,</w:t>
        </w:r>
      </w:hyperlink>
      <w:r>
        <w:rPr>
          <w:rFonts w:ascii="Times New Roman" w:cs="Times New Roman" w:eastAsia="Times New Roman" w:hAnsi="Times New Roman"/>
          <w:sz w:val="17"/>
          <w:szCs w:val="17"/>
          <w:u w:val="single" w:color="auto"/>
          <w:color w:val="0000FF"/>
        </w:rPr>
        <w:t xml:space="preserve"> </w:t>
      </w:r>
      <w:hyperlink r:id="rId185">
        <w:r>
          <w:rPr>
            <w:rFonts w:ascii="Times New Roman" w:cs="Times New Roman" w:eastAsia="Times New Roman" w:hAnsi="Times New Roman"/>
            <w:sz w:val="17"/>
            <w:szCs w:val="17"/>
            <w:u w:val="single" w:color="auto"/>
            <w:color w:val="0000FF"/>
          </w:rPr>
          <w:t>Inc.’s Annual Report on Form 10-K filed with the SEC on December 19, 2003, pursuant to the Exchange Act (file number 001-16807)).</w:t>
        </w:r>
      </w:hyperlink>
    </w:p>
    <w:p>
      <w:pPr>
        <w:spacing w:after="0" w:line="1" w:lineRule="exact"/>
        <w:rPr>
          <w:rFonts w:ascii="Times New Roman" w:cs="Times New Roman" w:eastAsia="Times New Roman" w:hAnsi="Times New Roman"/>
          <w:sz w:val="18"/>
          <w:szCs w:val="18"/>
          <w:u w:val="single" w:color="auto"/>
          <w:color w:val="0000FF"/>
        </w:rPr>
      </w:pPr>
    </w:p>
    <w:p>
      <w:pPr>
        <w:ind w:left="1280" w:right="30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186">
        <w:r>
          <w:rPr>
            <w:rFonts w:ascii="Times New Roman" w:cs="Times New Roman" w:eastAsia="Times New Roman" w:hAnsi="Times New Roman"/>
            <w:sz w:val="18"/>
            <w:szCs w:val="18"/>
            <w:u w:val="single" w:color="auto"/>
            <w:color w:val="0000FF"/>
          </w:rPr>
          <w:t>10.33†</w:t>
        </w:r>
      </w:hyperlink>
      <w:r>
        <w:rPr>
          <w:rFonts w:ascii="Times New Roman" w:cs="Times New Roman" w:eastAsia="Times New Roman" w:hAnsi="Times New Roman"/>
          <w:sz w:val="18"/>
          <w:szCs w:val="18"/>
          <w:u w:val="single" w:color="auto"/>
          <w:color w:val="0000FF"/>
        </w:rPr>
        <w:tab/>
      </w:r>
      <w:hyperlink r:id="rId186">
        <w:r>
          <w:rPr>
            <w:rFonts w:ascii="Times New Roman" w:cs="Times New Roman" w:eastAsia="Times New Roman" w:hAnsi="Times New Roman"/>
            <w:sz w:val="18"/>
            <w:szCs w:val="18"/>
            <w:u w:val="single" w:color="auto"/>
            <w:color w:val="0000FF"/>
          </w:rPr>
          <w:t>Second Amended and Restated Aramark Savings Incentive Retirement Plan (incorporated by reference to Exhibit 10.45 to Aramark’s</w:t>
        </w:r>
      </w:hyperlink>
      <w:r>
        <w:rPr>
          <w:rFonts w:ascii="Times New Roman" w:cs="Times New Roman" w:eastAsia="Times New Roman" w:hAnsi="Times New Roman"/>
          <w:sz w:val="18"/>
          <w:szCs w:val="18"/>
          <w:u w:val="single" w:color="auto"/>
          <w:color w:val="0000FF"/>
        </w:rPr>
        <w:t xml:space="preserve"> </w:t>
      </w:r>
      <w:hyperlink r:id="rId186">
        <w:r>
          <w:rPr>
            <w:rFonts w:ascii="Times New Roman" w:cs="Times New Roman" w:eastAsia="Times New Roman" w:hAnsi="Times New Roman"/>
            <w:sz w:val="18"/>
            <w:szCs w:val="18"/>
            <w:u w:val="single" w:color="auto"/>
            <w:color w:val="0000FF"/>
          </w:rPr>
          <w:t>Form S-1/A filed with the SEC on November 19, 2013, (file number 333-191057)).</w:t>
        </w:r>
      </w:hyperlink>
    </w:p>
    <w:p>
      <w:pPr>
        <w:spacing w:after="0" w:line="10" w:lineRule="exact"/>
        <w:rPr>
          <w:rFonts w:ascii="Times New Roman" w:cs="Times New Roman" w:eastAsia="Times New Roman" w:hAnsi="Times New Roman"/>
          <w:sz w:val="18"/>
          <w:szCs w:val="18"/>
          <w:u w:val="single" w:color="auto"/>
          <w:color w:val="0000FF"/>
        </w:rPr>
      </w:pPr>
    </w:p>
    <w:p>
      <w:pPr>
        <w:ind w:left="1280" w:right="240" w:hanging="637"/>
        <w:spacing w:after="0" w:line="226" w:lineRule="auto"/>
        <w:tabs>
          <w:tab w:leader="none" w:pos="1260" w:val="left"/>
        </w:tabs>
        <w:rPr>
          <w:rFonts w:ascii="Times New Roman" w:cs="Times New Roman" w:eastAsia="Times New Roman" w:hAnsi="Times New Roman"/>
          <w:sz w:val="18"/>
          <w:szCs w:val="18"/>
          <w:u w:val="single" w:color="auto"/>
          <w:color w:val="0000FF"/>
        </w:rPr>
      </w:pPr>
      <w:hyperlink r:id="rId187">
        <w:r>
          <w:rPr>
            <w:rFonts w:ascii="Times New Roman" w:cs="Times New Roman" w:eastAsia="Times New Roman" w:hAnsi="Times New Roman"/>
            <w:sz w:val="18"/>
            <w:szCs w:val="18"/>
            <w:u w:val="single" w:color="auto"/>
            <w:color w:val="0000FF"/>
          </w:rPr>
          <w:t>10.34†</w:t>
        </w:r>
      </w:hyperlink>
      <w:r>
        <w:rPr>
          <w:rFonts w:ascii="Times New Roman" w:cs="Times New Roman" w:eastAsia="Times New Roman" w:hAnsi="Times New Roman"/>
          <w:sz w:val="18"/>
          <w:szCs w:val="18"/>
          <w:u w:val="single" w:color="auto"/>
          <w:color w:val="0000FF"/>
        </w:rPr>
        <w:tab/>
      </w:r>
      <w:hyperlink r:id="rId187">
        <w:r>
          <w:rPr>
            <w:rFonts w:ascii="Times New Roman" w:cs="Times New Roman" w:eastAsia="Times New Roman" w:hAnsi="Times New Roman"/>
            <w:sz w:val="18"/>
            <w:szCs w:val="18"/>
            <w:u w:val="single" w:color="auto"/>
            <w:color w:val="0000FF"/>
          </w:rPr>
          <w:t>Amendment 2019-1 to the Second Amended and Restated Aramark Savings Incentive Retirement Plan (incorporated by reference to</w:t>
        </w:r>
      </w:hyperlink>
      <w:r>
        <w:rPr>
          <w:rFonts w:ascii="Times New Roman" w:cs="Times New Roman" w:eastAsia="Times New Roman" w:hAnsi="Times New Roman"/>
          <w:sz w:val="18"/>
          <w:szCs w:val="18"/>
          <w:u w:val="single" w:color="auto"/>
          <w:color w:val="0000FF"/>
        </w:rPr>
        <w:t xml:space="preserve"> </w:t>
      </w:r>
      <w:hyperlink r:id="rId187">
        <w:r>
          <w:rPr>
            <w:rFonts w:ascii="Times New Roman" w:cs="Times New Roman" w:eastAsia="Times New Roman" w:hAnsi="Times New Roman"/>
            <w:sz w:val="18"/>
            <w:szCs w:val="18"/>
            <w:u w:val="single" w:color="auto"/>
            <w:color w:val="0000FF"/>
          </w:rPr>
          <w:t>Exhibit 10.6 to Aramark’s Quarterly Report on Form 10-Q filed with the SEC on February 4, 2020, pursuant to the Exchange Act (file</w:t>
        </w:r>
      </w:hyperlink>
      <w:r>
        <w:rPr>
          <w:rFonts w:ascii="Times New Roman" w:cs="Times New Roman" w:eastAsia="Times New Roman" w:hAnsi="Times New Roman"/>
          <w:sz w:val="18"/>
          <w:szCs w:val="18"/>
          <w:u w:val="single" w:color="auto"/>
          <w:color w:val="0000FF"/>
        </w:rPr>
        <w:t xml:space="preserve"> </w:t>
      </w:r>
      <w:hyperlink r:id="rId187">
        <w:r>
          <w:rPr>
            <w:rFonts w:ascii="Times New Roman" w:cs="Times New Roman" w:eastAsia="Times New Roman" w:hAnsi="Times New Roman"/>
            <w:sz w:val="18"/>
            <w:szCs w:val="18"/>
            <w:u w:val="single" w:color="auto"/>
            <w:color w:val="0000FF"/>
          </w:rPr>
          <w:t>number 001-36233)).</w:t>
        </w:r>
      </w:hyperlink>
    </w:p>
    <w:p>
      <w:pPr>
        <w:spacing w:after="0" w:line="9" w:lineRule="exact"/>
        <w:rPr>
          <w:rFonts w:ascii="Times New Roman" w:cs="Times New Roman" w:eastAsia="Times New Roman" w:hAnsi="Times New Roman"/>
          <w:sz w:val="18"/>
          <w:szCs w:val="18"/>
          <w:u w:val="single" w:color="auto"/>
          <w:color w:val="0000FF"/>
        </w:rPr>
      </w:pPr>
    </w:p>
    <w:p>
      <w:pPr>
        <w:ind w:left="1280" w:right="24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188">
        <w:r>
          <w:rPr>
            <w:rFonts w:ascii="Times New Roman" w:cs="Times New Roman" w:eastAsia="Times New Roman" w:hAnsi="Times New Roman"/>
            <w:sz w:val="18"/>
            <w:szCs w:val="18"/>
            <w:u w:val="single" w:color="auto"/>
            <w:color w:val="0000FF"/>
          </w:rPr>
          <w:t>10.35†</w:t>
        </w:r>
      </w:hyperlink>
      <w:r>
        <w:rPr>
          <w:rFonts w:ascii="Times New Roman" w:cs="Times New Roman" w:eastAsia="Times New Roman" w:hAnsi="Times New Roman"/>
          <w:sz w:val="18"/>
          <w:szCs w:val="18"/>
          <w:u w:val="single" w:color="auto"/>
          <w:color w:val="0000FF"/>
        </w:rPr>
        <w:tab/>
      </w:r>
      <w:hyperlink r:id="rId188">
        <w:r>
          <w:rPr>
            <w:rFonts w:ascii="Times New Roman" w:cs="Times New Roman" w:eastAsia="Times New Roman" w:hAnsi="Times New Roman"/>
            <w:sz w:val="18"/>
            <w:szCs w:val="18"/>
            <w:u w:val="single" w:color="auto"/>
            <w:color w:val="0000FF"/>
          </w:rPr>
          <w:t>Amended Survivor Income Protection Plan (incorporated by reference to Exhibit 10.5 to Aramark Services, Inc.’s Quarterly Report on</w:t>
        </w:r>
      </w:hyperlink>
      <w:r>
        <w:rPr>
          <w:rFonts w:ascii="Times New Roman" w:cs="Times New Roman" w:eastAsia="Times New Roman" w:hAnsi="Times New Roman"/>
          <w:sz w:val="18"/>
          <w:szCs w:val="18"/>
          <w:u w:val="single" w:color="auto"/>
          <w:color w:val="0000FF"/>
        </w:rPr>
        <w:t xml:space="preserve"> </w:t>
      </w:r>
      <w:hyperlink r:id="rId188">
        <w:r>
          <w:rPr>
            <w:rFonts w:ascii="Times New Roman" w:cs="Times New Roman" w:eastAsia="Times New Roman" w:hAnsi="Times New Roman"/>
            <w:sz w:val="18"/>
            <w:szCs w:val="18"/>
            <w:u w:val="single" w:color="auto"/>
            <w:color w:val="0000FF"/>
          </w:rPr>
          <w:t>Form 10-Q filed with the SEC on August 8, 2007, pursuant to the Exchange Act (file number 001-04762)).</w:t>
        </w:r>
      </w:hyperlink>
    </w:p>
    <w:p>
      <w:pPr>
        <w:spacing w:after="0" w:line="10" w:lineRule="exact"/>
        <w:rPr>
          <w:rFonts w:ascii="Times New Roman" w:cs="Times New Roman" w:eastAsia="Times New Roman" w:hAnsi="Times New Roman"/>
          <w:sz w:val="18"/>
          <w:szCs w:val="18"/>
          <w:u w:val="single" w:color="auto"/>
          <w:color w:val="0000FF"/>
        </w:rPr>
      </w:pPr>
    </w:p>
    <w:p>
      <w:pPr>
        <w:ind w:left="1280" w:right="30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189">
        <w:r>
          <w:rPr>
            <w:rFonts w:ascii="Times New Roman" w:cs="Times New Roman" w:eastAsia="Times New Roman" w:hAnsi="Times New Roman"/>
            <w:sz w:val="18"/>
            <w:szCs w:val="18"/>
            <w:u w:val="single" w:color="auto"/>
            <w:color w:val="0000FF"/>
          </w:rPr>
          <w:t>10.36†</w:t>
        </w:r>
      </w:hyperlink>
      <w:r>
        <w:rPr>
          <w:rFonts w:ascii="Times New Roman" w:cs="Times New Roman" w:eastAsia="Times New Roman" w:hAnsi="Times New Roman"/>
          <w:sz w:val="18"/>
          <w:szCs w:val="18"/>
          <w:u w:val="single" w:color="auto"/>
          <w:color w:val="0000FF"/>
        </w:rPr>
        <w:tab/>
      </w:r>
      <w:hyperlink r:id="rId189">
        <w:r>
          <w:rPr>
            <w:rFonts w:ascii="Times New Roman" w:cs="Times New Roman" w:eastAsia="Times New Roman" w:hAnsi="Times New Roman"/>
            <w:sz w:val="18"/>
            <w:szCs w:val="18"/>
            <w:u w:val="single" w:color="auto"/>
            <w:color w:val="0000FF"/>
          </w:rPr>
          <w:t>Second Amended and Restated Aramark 2005 Deferred Compensation Plan (incorporated by reference to Exhibit 10.48 to Aramark’s</w:t>
        </w:r>
      </w:hyperlink>
      <w:r>
        <w:rPr>
          <w:rFonts w:ascii="Times New Roman" w:cs="Times New Roman" w:eastAsia="Times New Roman" w:hAnsi="Times New Roman"/>
          <w:sz w:val="18"/>
          <w:szCs w:val="18"/>
          <w:u w:val="single" w:color="auto"/>
          <w:color w:val="0000FF"/>
        </w:rPr>
        <w:t xml:space="preserve"> </w:t>
      </w:r>
      <w:hyperlink r:id="rId189">
        <w:r>
          <w:rPr>
            <w:rFonts w:ascii="Times New Roman" w:cs="Times New Roman" w:eastAsia="Times New Roman" w:hAnsi="Times New Roman"/>
            <w:sz w:val="18"/>
            <w:szCs w:val="18"/>
            <w:u w:val="single" w:color="auto"/>
            <w:color w:val="0000FF"/>
          </w:rPr>
          <w:t>Form S-1/A filed with the SEC on November 19, 2013 (file number 333-191057)).</w:t>
        </w:r>
      </w:hyperlink>
    </w:p>
    <w:p>
      <w:pPr>
        <w:spacing w:after="0" w:line="10" w:lineRule="exact"/>
        <w:rPr>
          <w:rFonts w:ascii="Times New Roman" w:cs="Times New Roman" w:eastAsia="Times New Roman" w:hAnsi="Times New Roman"/>
          <w:sz w:val="18"/>
          <w:szCs w:val="18"/>
          <w:u w:val="single" w:color="auto"/>
          <w:color w:val="0000FF"/>
        </w:rPr>
      </w:pPr>
    </w:p>
    <w:p>
      <w:pPr>
        <w:ind w:left="1280" w:right="48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190">
        <w:r>
          <w:rPr>
            <w:rFonts w:ascii="Times New Roman" w:cs="Times New Roman" w:eastAsia="Times New Roman" w:hAnsi="Times New Roman"/>
            <w:sz w:val="18"/>
            <w:szCs w:val="18"/>
            <w:u w:val="single" w:color="auto"/>
            <w:color w:val="0000FF"/>
          </w:rPr>
          <w:t>10.37†</w:t>
        </w:r>
      </w:hyperlink>
      <w:r>
        <w:rPr>
          <w:rFonts w:ascii="Times New Roman" w:cs="Times New Roman" w:eastAsia="Times New Roman" w:hAnsi="Times New Roman"/>
          <w:sz w:val="18"/>
          <w:szCs w:val="18"/>
          <w:u w:val="single" w:color="auto"/>
          <w:color w:val="0000FF"/>
        </w:rPr>
        <w:tab/>
      </w:r>
      <w:hyperlink r:id="rId190">
        <w:r>
          <w:rPr>
            <w:rFonts w:ascii="Times New Roman" w:cs="Times New Roman" w:eastAsia="Times New Roman" w:hAnsi="Times New Roman"/>
            <w:sz w:val="18"/>
            <w:szCs w:val="18"/>
            <w:u w:val="single" w:color="auto"/>
            <w:color w:val="0000FF"/>
          </w:rPr>
          <w:t>Third Amended and Restated 2005 Deferred Compensation Plan (incorporated by reference to Exhibit 10.2 to Aramark’s Quarterly</w:t>
        </w:r>
      </w:hyperlink>
      <w:r>
        <w:rPr>
          <w:rFonts w:ascii="Times New Roman" w:cs="Times New Roman" w:eastAsia="Times New Roman" w:hAnsi="Times New Roman"/>
          <w:sz w:val="18"/>
          <w:szCs w:val="18"/>
          <w:u w:val="single" w:color="auto"/>
          <w:color w:val="0000FF"/>
        </w:rPr>
        <w:t xml:space="preserve"> </w:t>
      </w:r>
      <w:hyperlink r:id="rId190">
        <w:r>
          <w:rPr>
            <w:rFonts w:ascii="Times New Roman" w:cs="Times New Roman" w:eastAsia="Times New Roman" w:hAnsi="Times New Roman"/>
            <w:sz w:val="18"/>
            <w:szCs w:val="18"/>
            <w:u w:val="single" w:color="auto"/>
            <w:color w:val="0000FF"/>
          </w:rPr>
          <w:t>Report on Form 10-Q filed with the SEC on February 10, 2016, pursuant to the Exchange Act (file number 001-36233)).</w:t>
        </w:r>
      </w:hyperlink>
    </w:p>
    <w:p>
      <w:pPr>
        <w:ind w:left="640"/>
        <w:spacing w:after="0"/>
        <w:tabs>
          <w:tab w:leader="none" w:pos="1260" w:val="left"/>
        </w:tabs>
        <w:rPr>
          <w:rFonts w:ascii="Times New Roman" w:cs="Times New Roman" w:eastAsia="Times New Roman" w:hAnsi="Times New Roman"/>
          <w:sz w:val="17"/>
          <w:szCs w:val="17"/>
          <w:u w:val="single" w:color="auto"/>
          <w:color w:val="0000FF"/>
        </w:rPr>
      </w:pPr>
      <w:hyperlink r:id="rId191">
        <w:r>
          <w:rPr>
            <w:rFonts w:ascii="Times New Roman" w:cs="Times New Roman" w:eastAsia="Times New Roman" w:hAnsi="Times New Roman"/>
            <w:sz w:val="18"/>
            <w:szCs w:val="18"/>
            <w:u w:val="single" w:color="auto"/>
            <w:color w:val="0000FF"/>
          </w:rPr>
          <w:t>10.38†</w:t>
        </w:r>
      </w:hyperlink>
      <w:r>
        <w:rPr>
          <w:rFonts w:ascii="Times New Roman" w:cs="Times New Roman" w:eastAsia="Times New Roman" w:hAnsi="Times New Roman"/>
          <w:sz w:val="18"/>
          <w:szCs w:val="18"/>
          <w:u w:val="single" w:color="auto"/>
          <w:color w:val="0000FF"/>
        </w:rPr>
        <w:tab/>
      </w:r>
      <w:hyperlink r:id="rId191">
        <w:r>
          <w:rPr>
            <w:rFonts w:ascii="Times New Roman" w:cs="Times New Roman" w:eastAsia="Times New Roman" w:hAnsi="Times New Roman"/>
            <w:sz w:val="17"/>
            <w:szCs w:val="17"/>
            <w:u w:val="single" w:color="auto"/>
            <w:color w:val="0000FF"/>
          </w:rPr>
          <w:t>Amended and Restated Aramark Executive Leadership Council Management Incentive Bonus Plan (incorporated by reference to Exhibit</w:t>
        </w:r>
      </w:hyperlink>
    </w:p>
    <w:p>
      <w:pPr>
        <w:ind w:left="1280"/>
        <w:spacing w:after="0" w:line="203" w:lineRule="auto"/>
        <w:rPr>
          <w:rFonts w:ascii="Times New Roman" w:cs="Times New Roman" w:eastAsia="Times New Roman" w:hAnsi="Times New Roman"/>
          <w:sz w:val="18"/>
          <w:szCs w:val="18"/>
          <w:u w:val="single" w:color="auto"/>
          <w:color w:val="0000FF"/>
        </w:rPr>
      </w:pPr>
      <w:hyperlink r:id="rId191">
        <w:r>
          <w:rPr>
            <w:rFonts w:ascii="Times New Roman" w:cs="Times New Roman" w:eastAsia="Times New Roman" w:hAnsi="Times New Roman"/>
            <w:sz w:val="18"/>
            <w:szCs w:val="18"/>
            <w:u w:val="single" w:color="auto"/>
            <w:color w:val="0000FF"/>
          </w:rPr>
          <w:t>10.40 to Aramark's Annual Report on Form 10-K filed with the SEC on November 21, 2018 pursuant to the Exchange Act (file number</w:t>
        </w:r>
      </w:hyperlink>
    </w:p>
    <w:p>
      <w:pPr>
        <w:ind w:left="1280"/>
        <w:spacing w:after="0"/>
        <w:rPr>
          <w:rFonts w:ascii="Times New Roman" w:cs="Times New Roman" w:eastAsia="Times New Roman" w:hAnsi="Times New Roman"/>
          <w:sz w:val="18"/>
          <w:szCs w:val="18"/>
          <w:u w:val="single" w:color="auto"/>
          <w:color w:val="0000FF"/>
        </w:rPr>
      </w:pPr>
      <w:hyperlink r:id="rId191">
        <w:r>
          <w:rPr>
            <w:rFonts w:ascii="Times New Roman" w:cs="Times New Roman" w:eastAsia="Times New Roman" w:hAnsi="Times New Roman"/>
            <w:sz w:val="18"/>
            <w:szCs w:val="18"/>
            <w:u w:val="single" w:color="auto"/>
            <w:color w:val="0000FF"/>
          </w:rPr>
          <w:t>001-36223)).</w:t>
        </w:r>
      </w:hyperlink>
    </w:p>
    <w:p>
      <w:pPr>
        <w:spacing w:after="0" w:line="16" w:lineRule="exact"/>
        <w:rPr>
          <w:sz w:val="20"/>
          <w:szCs w:val="20"/>
          <w:color w:val="auto"/>
        </w:rPr>
      </w:pPr>
    </w:p>
    <w:p>
      <w:pPr>
        <w:ind w:left="1280" w:right="28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192">
        <w:r>
          <w:rPr>
            <w:rFonts w:ascii="Times New Roman" w:cs="Times New Roman" w:eastAsia="Times New Roman" w:hAnsi="Times New Roman"/>
            <w:sz w:val="18"/>
            <w:szCs w:val="18"/>
            <w:u w:val="single" w:color="auto"/>
            <w:color w:val="0000FF"/>
          </w:rPr>
          <w:t>10.39†</w:t>
        </w:r>
      </w:hyperlink>
      <w:r>
        <w:rPr>
          <w:rFonts w:ascii="Times New Roman" w:cs="Times New Roman" w:eastAsia="Times New Roman" w:hAnsi="Times New Roman"/>
          <w:sz w:val="18"/>
          <w:szCs w:val="18"/>
          <w:u w:val="single" w:color="auto"/>
          <w:color w:val="0000FF"/>
        </w:rPr>
        <w:tab/>
      </w:r>
      <w:hyperlink r:id="rId192">
        <w:r>
          <w:rPr>
            <w:rFonts w:ascii="Times New Roman" w:cs="Times New Roman" w:eastAsia="Times New Roman" w:hAnsi="Times New Roman"/>
            <w:sz w:val="18"/>
            <w:szCs w:val="18"/>
            <w:u w:val="single" w:color="auto"/>
            <w:color w:val="0000FF"/>
          </w:rPr>
          <w:t>Amended and Restated Aramark Management Incentive Bonus Plan (incorporated by reference to Exhibit 10.39 to Aramark's Annual</w:t>
        </w:r>
      </w:hyperlink>
      <w:r>
        <w:rPr>
          <w:rFonts w:ascii="Times New Roman" w:cs="Times New Roman" w:eastAsia="Times New Roman" w:hAnsi="Times New Roman"/>
          <w:sz w:val="18"/>
          <w:szCs w:val="18"/>
          <w:u w:val="single" w:color="auto"/>
          <w:color w:val="0000FF"/>
        </w:rPr>
        <w:t xml:space="preserve"> </w:t>
      </w:r>
      <w:hyperlink r:id="rId192">
        <w:r>
          <w:rPr>
            <w:rFonts w:ascii="Times New Roman" w:cs="Times New Roman" w:eastAsia="Times New Roman" w:hAnsi="Times New Roman"/>
            <w:sz w:val="18"/>
            <w:szCs w:val="18"/>
            <w:u w:val="single" w:color="auto"/>
            <w:color w:val="0000FF"/>
          </w:rPr>
          <w:t>Report on Form 10-K filed with the SEC on November 23, 2022 pursuant to the Exchange Act (file number 001-36223)).</w:t>
        </w:r>
      </w:hyperlink>
    </w:p>
    <w:p>
      <w:pPr>
        <w:spacing w:after="0" w:line="10" w:lineRule="exact"/>
        <w:rPr>
          <w:rFonts w:ascii="Times New Roman" w:cs="Times New Roman" w:eastAsia="Times New Roman" w:hAnsi="Times New Roman"/>
          <w:sz w:val="18"/>
          <w:szCs w:val="18"/>
          <w:u w:val="single" w:color="auto"/>
          <w:color w:val="0000FF"/>
        </w:rPr>
      </w:pPr>
    </w:p>
    <w:p>
      <w:pPr>
        <w:ind w:left="1280" w:right="34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193">
        <w:r>
          <w:rPr>
            <w:rFonts w:ascii="Times New Roman" w:cs="Times New Roman" w:eastAsia="Times New Roman" w:hAnsi="Times New Roman"/>
            <w:sz w:val="18"/>
            <w:szCs w:val="18"/>
            <w:u w:val="single" w:color="auto"/>
            <w:color w:val="0000FF"/>
          </w:rPr>
          <w:t>10.40†</w:t>
        </w:r>
      </w:hyperlink>
      <w:r>
        <w:rPr>
          <w:rFonts w:ascii="Times New Roman" w:cs="Times New Roman" w:eastAsia="Times New Roman" w:hAnsi="Times New Roman"/>
          <w:sz w:val="18"/>
          <w:szCs w:val="18"/>
          <w:u w:val="single" w:color="auto"/>
          <w:color w:val="0000FF"/>
        </w:rPr>
        <w:tab/>
      </w:r>
      <w:hyperlink r:id="rId193">
        <w:r>
          <w:rPr>
            <w:rFonts w:ascii="Times New Roman" w:cs="Times New Roman" w:eastAsia="Times New Roman" w:hAnsi="Times New Roman"/>
            <w:sz w:val="18"/>
            <w:szCs w:val="18"/>
            <w:u w:val="single" w:color="auto"/>
            <w:color w:val="0000FF"/>
          </w:rPr>
          <w:t>Aramark 2005 Deferred Compensation Plan for Directors (incorporated by reference to Exhibit 10.67 to Aramark’s Form S-1/A filed</w:t>
        </w:r>
      </w:hyperlink>
      <w:r>
        <w:rPr>
          <w:rFonts w:ascii="Times New Roman" w:cs="Times New Roman" w:eastAsia="Times New Roman" w:hAnsi="Times New Roman"/>
          <w:sz w:val="18"/>
          <w:szCs w:val="18"/>
          <w:u w:val="single" w:color="auto"/>
          <w:color w:val="0000FF"/>
        </w:rPr>
        <w:t xml:space="preserve"> </w:t>
      </w:r>
      <w:hyperlink r:id="rId193">
        <w:r>
          <w:rPr>
            <w:rFonts w:ascii="Times New Roman" w:cs="Times New Roman" w:eastAsia="Times New Roman" w:hAnsi="Times New Roman"/>
            <w:sz w:val="18"/>
            <w:szCs w:val="18"/>
            <w:u w:val="single" w:color="auto"/>
            <w:color w:val="0000FF"/>
          </w:rPr>
          <w:t>with the SEC on November 19, 2013 (file number 333-191057)).</w:t>
        </w:r>
      </w:hyperlink>
    </w:p>
    <w:p>
      <w:pPr>
        <w:spacing w:after="0" w:line="10" w:lineRule="exact"/>
        <w:rPr>
          <w:rFonts w:ascii="Times New Roman" w:cs="Times New Roman" w:eastAsia="Times New Roman" w:hAnsi="Times New Roman"/>
          <w:sz w:val="18"/>
          <w:szCs w:val="18"/>
          <w:u w:val="single" w:color="auto"/>
          <w:color w:val="0000FF"/>
        </w:rPr>
      </w:pPr>
    </w:p>
    <w:p>
      <w:pPr>
        <w:ind w:left="1280" w:right="10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194">
        <w:r>
          <w:rPr>
            <w:rFonts w:ascii="Times New Roman" w:cs="Times New Roman" w:eastAsia="Times New Roman" w:hAnsi="Times New Roman"/>
            <w:sz w:val="18"/>
            <w:szCs w:val="18"/>
            <w:u w:val="single" w:color="auto"/>
            <w:color w:val="0000FF"/>
          </w:rPr>
          <w:t>10.41†</w:t>
        </w:r>
      </w:hyperlink>
      <w:r>
        <w:rPr>
          <w:rFonts w:ascii="Times New Roman" w:cs="Times New Roman" w:eastAsia="Times New Roman" w:hAnsi="Times New Roman"/>
          <w:sz w:val="18"/>
          <w:szCs w:val="18"/>
          <w:u w:val="single" w:color="auto"/>
          <w:color w:val="0000FF"/>
        </w:rPr>
        <w:tab/>
      </w:r>
      <w:hyperlink r:id="rId194">
        <w:r>
          <w:rPr>
            <w:rFonts w:ascii="Times New Roman" w:cs="Times New Roman" w:eastAsia="Times New Roman" w:hAnsi="Times New Roman"/>
            <w:sz w:val="18"/>
            <w:szCs w:val="18"/>
            <w:u w:val="single" w:color="auto"/>
            <w:color w:val="0000FF"/>
          </w:rPr>
          <w:t>Fifth Amended and Restated Aramark 2007 Management Stock Incentive Plan (incorporated by reference to Exhibit 10.22 to Aramark’s</w:t>
        </w:r>
      </w:hyperlink>
      <w:r>
        <w:rPr>
          <w:rFonts w:ascii="Times New Roman" w:cs="Times New Roman" w:eastAsia="Times New Roman" w:hAnsi="Times New Roman"/>
          <w:sz w:val="18"/>
          <w:szCs w:val="18"/>
          <w:u w:val="single" w:color="auto"/>
          <w:color w:val="0000FF"/>
        </w:rPr>
        <w:t xml:space="preserve"> </w:t>
      </w:r>
      <w:hyperlink r:id="rId194">
        <w:r>
          <w:rPr>
            <w:rFonts w:ascii="Times New Roman" w:cs="Times New Roman" w:eastAsia="Times New Roman" w:hAnsi="Times New Roman"/>
            <w:sz w:val="18"/>
            <w:szCs w:val="18"/>
            <w:u w:val="single" w:color="auto"/>
            <w:color w:val="0000FF"/>
          </w:rPr>
          <w:t>Form S-1/A filed with the SEC on November 19, 2013 (file number 333-191057)).</w:t>
        </w:r>
      </w:hyperlink>
    </w:p>
    <w:p>
      <w:pPr>
        <w:spacing w:after="0" w:line="10" w:lineRule="exact"/>
        <w:rPr>
          <w:rFonts w:ascii="Times New Roman" w:cs="Times New Roman" w:eastAsia="Times New Roman" w:hAnsi="Times New Roman"/>
          <w:sz w:val="18"/>
          <w:szCs w:val="18"/>
          <w:u w:val="single" w:color="auto"/>
          <w:color w:val="0000FF"/>
        </w:rPr>
      </w:pPr>
    </w:p>
    <w:p>
      <w:pPr>
        <w:ind w:left="1280" w:right="22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195"/>
      <w:r>
        <w:rPr>
          <w:rFonts w:ascii="Times New Roman" w:cs="Times New Roman" w:eastAsia="Times New Roman" w:hAnsi="Times New Roman"/>
          <w:sz w:val="35"/>
          <w:szCs w:val="35"/>
          <w:u w:val="single" w:color="auto"/>
          <w:color w:val="0000FF"/>
          <w:vertAlign w:val="superscript"/>
        </w:rPr>
        <w:t>10.42†</w:t>
      </w:r>
      <w:r>
        <w:rPr>
          <w:rFonts w:ascii="Times New Roman" w:cs="Times New Roman" w:eastAsia="Times New Roman" w:hAnsi="Times New Roman"/>
          <w:sz w:val="18"/>
          <w:szCs w:val="18"/>
          <w:u w:val="single" w:color="auto"/>
          <w:color w:val="0000FF"/>
        </w:rPr>
        <w:tab/>
      </w:r>
      <w:hyperlink r:id="rId195">
        <w:r>
          <w:rPr>
            <w:rFonts w:ascii="Times New Roman" w:cs="Times New Roman" w:eastAsia="Times New Roman" w:hAnsi="Times New Roman"/>
            <w:sz w:val="18"/>
            <w:szCs w:val="18"/>
            <w:u w:val="single" w:color="auto"/>
            <w:color w:val="0000FF"/>
          </w:rPr>
          <w:t>Aramark's Amended and Restated 2013 Stock Incentive Plan (incorporated by reference to Exhibit 10.1 to Aramark's Quarterly Report</w:t>
        </w:r>
      </w:hyperlink>
      <w:r>
        <w:rPr>
          <w:rFonts w:ascii="Times New Roman" w:cs="Times New Roman" w:eastAsia="Times New Roman" w:hAnsi="Times New Roman"/>
          <w:sz w:val="18"/>
          <w:szCs w:val="18"/>
          <w:u w:val="single" w:color="auto"/>
          <w:color w:val="0000FF"/>
        </w:rPr>
        <w:t xml:space="preserve"> </w:t>
      </w:r>
      <w:hyperlink r:id="rId195">
        <w:r>
          <w:rPr>
            <w:rFonts w:ascii="Times New Roman" w:cs="Times New Roman" w:eastAsia="Times New Roman" w:hAnsi="Times New Roman"/>
            <w:sz w:val="18"/>
            <w:szCs w:val="18"/>
            <w:u w:val="single" w:color="auto"/>
            <w:color w:val="0000FF"/>
          </w:rPr>
          <w:t>on Form 10-Q filed with the SEC on February 7, 2017, pursuant to the Exchange Act (file number 001-36233)).</w:t>
        </w:r>
      </w:hyperlink>
    </w:p>
    <w:p>
      <w:pPr>
        <w:ind w:left="1280" w:right="20" w:hanging="637"/>
        <w:spacing w:after="0" w:line="236" w:lineRule="auto"/>
        <w:tabs>
          <w:tab w:leader="none" w:pos="1260" w:val="left"/>
        </w:tabs>
        <w:rPr>
          <w:rFonts w:ascii="Times New Roman" w:cs="Times New Roman" w:eastAsia="Times New Roman" w:hAnsi="Times New Roman"/>
          <w:sz w:val="18"/>
          <w:szCs w:val="18"/>
          <w:u w:val="single" w:color="auto"/>
          <w:color w:val="0000FF"/>
        </w:rPr>
      </w:pPr>
      <w:hyperlink r:id="rId196">
        <w:r>
          <w:rPr>
            <w:rFonts w:ascii="Times New Roman" w:cs="Times New Roman" w:eastAsia="Times New Roman" w:hAnsi="Times New Roman"/>
            <w:sz w:val="18"/>
            <w:szCs w:val="18"/>
            <w:u w:val="single" w:color="auto"/>
            <w:color w:val="0000FF"/>
          </w:rPr>
          <w:t>10.43†</w:t>
        </w:r>
      </w:hyperlink>
      <w:r>
        <w:rPr>
          <w:rFonts w:ascii="Times New Roman" w:cs="Times New Roman" w:eastAsia="Times New Roman" w:hAnsi="Times New Roman"/>
          <w:sz w:val="18"/>
          <w:szCs w:val="18"/>
          <w:u w:val="single" w:color="auto"/>
          <w:color w:val="0000FF"/>
        </w:rPr>
        <w:tab/>
      </w:r>
      <w:hyperlink r:id="rId196">
        <w:r>
          <w:rPr>
            <w:rFonts w:ascii="Times New Roman" w:cs="Times New Roman" w:eastAsia="Times New Roman" w:hAnsi="Times New Roman"/>
            <w:sz w:val="18"/>
            <w:szCs w:val="18"/>
            <w:u w:val="single" w:color="auto"/>
            <w:color w:val="0000FF"/>
          </w:rPr>
          <w:t>Second Amended and Restated 2013 Stock Incentive Plan of Aramark (incorporated by reference to Appendix A to the Company's Proxy</w:t>
        </w:r>
      </w:hyperlink>
      <w:r>
        <w:rPr>
          <w:rFonts w:ascii="Times New Roman" w:cs="Times New Roman" w:eastAsia="Times New Roman" w:hAnsi="Times New Roman"/>
          <w:sz w:val="18"/>
          <w:szCs w:val="18"/>
          <w:u w:val="single" w:color="auto"/>
          <w:color w:val="0000FF"/>
        </w:rPr>
        <w:t xml:space="preserve"> </w:t>
      </w:r>
      <w:hyperlink r:id="rId196">
        <w:r>
          <w:rPr>
            <w:rFonts w:ascii="Times New Roman" w:cs="Times New Roman" w:eastAsia="Times New Roman" w:hAnsi="Times New Roman"/>
            <w:sz w:val="18"/>
            <w:szCs w:val="18"/>
            <w:u w:val="single" w:color="auto"/>
            <w:color w:val="0000FF"/>
          </w:rPr>
          <w:t>Statement filed with the SEC on December 20, 2019 (file number 001-36223)).</w:t>
        </w:r>
      </w:hyperlink>
    </w:p>
    <w:p>
      <w:pPr>
        <w:spacing w:after="0" w:line="9" w:lineRule="exact"/>
        <w:rPr>
          <w:rFonts w:ascii="Times New Roman" w:cs="Times New Roman" w:eastAsia="Times New Roman" w:hAnsi="Times New Roman"/>
          <w:sz w:val="18"/>
          <w:szCs w:val="18"/>
          <w:u w:val="single" w:color="auto"/>
          <w:color w:val="0000FF"/>
        </w:rPr>
      </w:pPr>
    </w:p>
    <w:p>
      <w:pPr>
        <w:ind w:left="1280" w:right="78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197">
        <w:r>
          <w:rPr>
            <w:rFonts w:ascii="Times New Roman" w:cs="Times New Roman" w:eastAsia="Times New Roman" w:hAnsi="Times New Roman"/>
            <w:sz w:val="18"/>
            <w:szCs w:val="18"/>
            <w:u w:val="single" w:color="auto"/>
            <w:color w:val="0000FF"/>
          </w:rPr>
          <w:t>10.44†</w:t>
        </w:r>
      </w:hyperlink>
      <w:r>
        <w:rPr>
          <w:rFonts w:ascii="Times New Roman" w:cs="Times New Roman" w:eastAsia="Times New Roman" w:hAnsi="Times New Roman"/>
          <w:sz w:val="18"/>
          <w:szCs w:val="18"/>
          <w:u w:val="single" w:color="auto"/>
          <w:color w:val="0000FF"/>
        </w:rPr>
        <w:tab/>
      </w:r>
      <w:hyperlink r:id="rId197">
        <w:r>
          <w:rPr>
            <w:rFonts w:ascii="Times New Roman" w:cs="Times New Roman" w:eastAsia="Times New Roman" w:hAnsi="Times New Roman"/>
            <w:sz w:val="18"/>
            <w:szCs w:val="18"/>
            <w:u w:val="single" w:color="auto"/>
            <w:color w:val="0000FF"/>
          </w:rPr>
          <w:t>Aramark Third Amended and Restated 2013 Stock Incentive Plan of Aramark (incorporated by reference to Appendix A to the</w:t>
        </w:r>
      </w:hyperlink>
      <w:r>
        <w:rPr>
          <w:rFonts w:ascii="Times New Roman" w:cs="Times New Roman" w:eastAsia="Times New Roman" w:hAnsi="Times New Roman"/>
          <w:sz w:val="18"/>
          <w:szCs w:val="18"/>
          <w:u w:val="single" w:color="auto"/>
          <w:color w:val="0000FF"/>
        </w:rPr>
        <w:t xml:space="preserve"> </w:t>
      </w:r>
      <w:hyperlink r:id="rId197">
        <w:r>
          <w:rPr>
            <w:rFonts w:ascii="Times New Roman" w:cs="Times New Roman" w:eastAsia="Times New Roman" w:hAnsi="Times New Roman"/>
            <w:sz w:val="18"/>
            <w:szCs w:val="18"/>
            <w:u w:val="single" w:color="auto"/>
            <w:color w:val="0000FF"/>
          </w:rPr>
          <w:t>Company's Proxy Statement filed with the SEC on December 23, 2020 (file number 001-36223)).</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31" w:lineRule="exact"/>
        <w:rPr>
          <w:rFonts w:ascii="Times New Roman" w:cs="Times New Roman" w:eastAsia="Times New Roman" w:hAnsi="Times New Roman"/>
          <w:sz w:val="18"/>
          <w:szCs w:val="18"/>
          <w:u w:val="single" w:color="auto"/>
          <w:color w:val="0000FF"/>
        </w:rPr>
      </w:pPr>
    </w:p>
    <w:p>
      <w:pPr>
        <w:jc w:val="center"/>
        <w:ind w:right="-39"/>
        <w:spacing w:after="0"/>
        <w:rPr>
          <w:sz w:val="20"/>
          <w:szCs w:val="20"/>
          <w:color w:val="auto"/>
        </w:rPr>
      </w:pPr>
      <w:r>
        <w:rPr>
          <w:rFonts w:ascii="Times New Roman" w:cs="Times New Roman" w:eastAsia="Times New Roman" w:hAnsi="Times New Roman"/>
          <w:sz w:val="18"/>
          <w:szCs w:val="18"/>
          <w:color w:val="auto"/>
        </w:rPr>
        <w:t>S-58</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80" w:right="18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199">
        <w:r>
          <w:rPr>
            <w:rFonts w:ascii="Times New Roman" w:cs="Times New Roman" w:eastAsia="Times New Roman" w:hAnsi="Times New Roman"/>
            <w:sz w:val="18"/>
            <w:szCs w:val="18"/>
            <w:u w:val="single" w:color="auto"/>
            <w:color w:val="0000FF"/>
          </w:rPr>
          <w:t>10.45†</w:t>
        </w:r>
      </w:hyperlink>
      <w:r>
        <w:rPr>
          <w:rFonts w:ascii="Times New Roman" w:cs="Times New Roman" w:eastAsia="Times New Roman" w:hAnsi="Times New Roman"/>
          <w:sz w:val="18"/>
          <w:szCs w:val="18"/>
          <w:u w:val="single" w:color="auto"/>
          <w:color w:val="0000FF"/>
        </w:rPr>
        <w:tab/>
      </w:r>
      <w:hyperlink r:id="rId199">
        <w:r>
          <w:rPr>
            <w:rFonts w:ascii="Times New Roman" w:cs="Times New Roman" w:eastAsia="Times New Roman" w:hAnsi="Times New Roman"/>
            <w:sz w:val="18"/>
            <w:szCs w:val="18"/>
            <w:u w:val="single" w:color="auto"/>
            <w:color w:val="0000FF"/>
          </w:rPr>
          <w:t>Form of Non-Qualified Stock Option Award Agreement (incorporated by reference to Exhibit 10.2 to Aramark Services, Inc.’s Current</w:t>
        </w:r>
      </w:hyperlink>
      <w:r>
        <w:rPr>
          <w:rFonts w:ascii="Times New Roman" w:cs="Times New Roman" w:eastAsia="Times New Roman" w:hAnsi="Times New Roman"/>
          <w:sz w:val="18"/>
          <w:szCs w:val="18"/>
          <w:u w:val="single" w:color="auto"/>
          <w:color w:val="0000FF"/>
        </w:rPr>
        <w:t xml:space="preserve"> </w:t>
      </w:r>
      <w:hyperlink r:id="rId199">
        <w:r>
          <w:rPr>
            <w:rFonts w:ascii="Times New Roman" w:cs="Times New Roman" w:eastAsia="Times New Roman" w:hAnsi="Times New Roman"/>
            <w:sz w:val="18"/>
            <w:szCs w:val="18"/>
            <w:u w:val="single" w:color="auto"/>
            <w:color w:val="0000FF"/>
          </w:rPr>
          <w:t>Report on Form 8-K filed with the SEC on June 26, 2013, pursuant to the Exchange Act (file number 001-04762)).</w:t>
        </w:r>
      </w:hyperlink>
    </w:p>
    <w:p>
      <w:pPr>
        <w:spacing w:after="0" w:line="10" w:lineRule="exact"/>
        <w:rPr>
          <w:rFonts w:ascii="Times New Roman" w:cs="Times New Roman" w:eastAsia="Times New Roman" w:hAnsi="Times New Roman"/>
          <w:sz w:val="18"/>
          <w:szCs w:val="18"/>
          <w:u w:val="single" w:color="auto"/>
          <w:color w:val="0000FF"/>
        </w:rPr>
      </w:pPr>
    </w:p>
    <w:p>
      <w:pPr>
        <w:jc w:val="both"/>
        <w:ind w:left="1280" w:right="440" w:hanging="637"/>
        <w:spacing w:after="0" w:line="226" w:lineRule="auto"/>
        <w:tabs>
          <w:tab w:leader="none" w:pos="1260" w:val="left"/>
        </w:tabs>
        <w:rPr>
          <w:rFonts w:ascii="Times New Roman" w:cs="Times New Roman" w:eastAsia="Times New Roman" w:hAnsi="Times New Roman"/>
          <w:sz w:val="18"/>
          <w:szCs w:val="18"/>
          <w:u w:val="single" w:color="auto"/>
          <w:color w:val="0000FF"/>
        </w:rPr>
      </w:pPr>
      <w:hyperlink r:id="rId200">
        <w:r>
          <w:rPr>
            <w:rFonts w:ascii="Times New Roman" w:cs="Times New Roman" w:eastAsia="Times New Roman" w:hAnsi="Times New Roman"/>
            <w:sz w:val="18"/>
            <w:szCs w:val="18"/>
            <w:u w:val="single" w:color="auto"/>
            <w:color w:val="0000FF"/>
          </w:rPr>
          <w:t>10.46†</w:t>
        </w:r>
      </w:hyperlink>
      <w:r>
        <w:rPr>
          <w:rFonts w:ascii="Times New Roman" w:cs="Times New Roman" w:eastAsia="Times New Roman" w:hAnsi="Times New Roman"/>
          <w:sz w:val="18"/>
          <w:szCs w:val="18"/>
          <w:u w:val="single" w:color="auto"/>
          <w:color w:val="0000FF"/>
        </w:rPr>
        <w:tab/>
      </w:r>
      <w:hyperlink r:id="rId200">
        <w:r>
          <w:rPr>
            <w:rFonts w:ascii="Times New Roman" w:cs="Times New Roman" w:eastAsia="Times New Roman" w:hAnsi="Times New Roman"/>
            <w:sz w:val="18"/>
            <w:szCs w:val="18"/>
            <w:u w:val="single" w:color="auto"/>
            <w:color w:val="0000FF"/>
          </w:rPr>
          <w:t>Form of Time-Based Restricted Stock Unit Award Agreement with Aramark (incorporated by reference to Exhibit 10.3 to Aramark</w:t>
        </w:r>
      </w:hyperlink>
      <w:r>
        <w:rPr>
          <w:rFonts w:ascii="Times New Roman" w:cs="Times New Roman" w:eastAsia="Times New Roman" w:hAnsi="Times New Roman"/>
          <w:sz w:val="18"/>
          <w:szCs w:val="18"/>
          <w:u w:val="single" w:color="auto"/>
          <w:color w:val="0000FF"/>
        </w:rPr>
        <w:t xml:space="preserve"> </w:t>
      </w:r>
      <w:hyperlink r:id="rId200">
        <w:r>
          <w:rPr>
            <w:rFonts w:ascii="Times New Roman" w:cs="Times New Roman" w:eastAsia="Times New Roman" w:hAnsi="Times New Roman"/>
            <w:sz w:val="18"/>
            <w:szCs w:val="18"/>
            <w:u w:val="single" w:color="auto"/>
            <w:color w:val="0000FF"/>
          </w:rPr>
          <w:t>Services, Inc.’s Current Report on Form 8-K filed with the SEC on June 26, 2013, pursuant to the Exchange Act (file number 001-</w:t>
        </w:r>
      </w:hyperlink>
      <w:hyperlink r:id="rId200">
        <w:r>
          <w:rPr>
            <w:rFonts w:ascii="Times New Roman" w:cs="Times New Roman" w:eastAsia="Times New Roman" w:hAnsi="Times New Roman"/>
            <w:sz w:val="18"/>
            <w:szCs w:val="18"/>
            <w:u w:val="single" w:color="auto"/>
            <w:color w:val="0000FF"/>
          </w:rPr>
          <w:t>04762)).</w:t>
        </w:r>
      </w:hyperlink>
    </w:p>
    <w:p>
      <w:pPr>
        <w:spacing w:after="0" w:line="9" w:lineRule="exact"/>
        <w:rPr>
          <w:rFonts w:ascii="Times New Roman" w:cs="Times New Roman" w:eastAsia="Times New Roman" w:hAnsi="Times New Roman"/>
          <w:sz w:val="18"/>
          <w:szCs w:val="18"/>
          <w:u w:val="single" w:color="auto"/>
          <w:color w:val="0000FF"/>
        </w:rPr>
      </w:pPr>
    </w:p>
    <w:p>
      <w:pPr>
        <w:ind w:left="128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201">
        <w:r>
          <w:rPr>
            <w:rFonts w:ascii="Times New Roman" w:cs="Times New Roman" w:eastAsia="Times New Roman" w:hAnsi="Times New Roman"/>
            <w:sz w:val="18"/>
            <w:szCs w:val="18"/>
            <w:u w:val="single" w:color="auto"/>
            <w:color w:val="0000FF"/>
          </w:rPr>
          <w:t>10.47†</w:t>
        </w:r>
      </w:hyperlink>
      <w:r>
        <w:rPr>
          <w:rFonts w:ascii="Times New Roman" w:cs="Times New Roman" w:eastAsia="Times New Roman" w:hAnsi="Times New Roman"/>
          <w:sz w:val="18"/>
          <w:szCs w:val="18"/>
          <w:u w:val="single" w:color="auto"/>
          <w:color w:val="0000FF"/>
        </w:rPr>
        <w:tab/>
      </w:r>
      <w:hyperlink r:id="rId201">
        <w:r>
          <w:rPr>
            <w:rFonts w:ascii="Times New Roman" w:cs="Times New Roman" w:eastAsia="Times New Roman" w:hAnsi="Times New Roman"/>
            <w:sz w:val="18"/>
            <w:szCs w:val="18"/>
            <w:u w:val="single" w:color="auto"/>
            <w:color w:val="0000FF"/>
          </w:rPr>
          <w:t>Form of Restricted Stock Award Agreement with Aramark (incorporated by reference to Exhibit 10.4 to Aramark Services, Inc.’s Current</w:t>
        </w:r>
      </w:hyperlink>
      <w:r>
        <w:rPr>
          <w:rFonts w:ascii="Times New Roman" w:cs="Times New Roman" w:eastAsia="Times New Roman" w:hAnsi="Times New Roman"/>
          <w:sz w:val="18"/>
          <w:szCs w:val="18"/>
          <w:u w:val="single" w:color="auto"/>
          <w:color w:val="0000FF"/>
        </w:rPr>
        <w:t xml:space="preserve"> </w:t>
      </w:r>
      <w:hyperlink r:id="rId201">
        <w:r>
          <w:rPr>
            <w:rFonts w:ascii="Times New Roman" w:cs="Times New Roman" w:eastAsia="Times New Roman" w:hAnsi="Times New Roman"/>
            <w:sz w:val="18"/>
            <w:szCs w:val="18"/>
            <w:u w:val="single" w:color="auto"/>
            <w:color w:val="0000FF"/>
          </w:rPr>
          <w:t>Report on Form 8-K filed with the SEC on June 26, 2013, pursuant to the Exchange Act (file number 001-04762)).</w:t>
        </w:r>
      </w:hyperlink>
    </w:p>
    <w:p>
      <w:pPr>
        <w:spacing w:after="0" w:line="10" w:lineRule="exact"/>
        <w:rPr>
          <w:rFonts w:ascii="Times New Roman" w:cs="Times New Roman" w:eastAsia="Times New Roman" w:hAnsi="Times New Roman"/>
          <w:sz w:val="18"/>
          <w:szCs w:val="18"/>
          <w:u w:val="single" w:color="auto"/>
          <w:color w:val="0000FF"/>
        </w:rPr>
      </w:pPr>
    </w:p>
    <w:p>
      <w:pPr>
        <w:ind w:left="1280" w:right="280" w:hanging="637"/>
        <w:spacing w:after="0" w:line="256" w:lineRule="auto"/>
        <w:tabs>
          <w:tab w:leader="none" w:pos="1260" w:val="left"/>
        </w:tabs>
        <w:rPr>
          <w:rFonts w:ascii="Times New Roman" w:cs="Times New Roman" w:eastAsia="Times New Roman" w:hAnsi="Times New Roman"/>
          <w:sz w:val="17"/>
          <w:szCs w:val="17"/>
          <w:u w:val="single" w:color="auto"/>
          <w:color w:val="0000FF"/>
        </w:rPr>
      </w:pPr>
      <w:hyperlink r:id="rId202">
        <w:r>
          <w:rPr>
            <w:rFonts w:ascii="Times New Roman" w:cs="Times New Roman" w:eastAsia="Times New Roman" w:hAnsi="Times New Roman"/>
            <w:sz w:val="18"/>
            <w:szCs w:val="18"/>
            <w:u w:val="single" w:color="auto"/>
            <w:color w:val="0000FF"/>
          </w:rPr>
          <w:t>10.48†</w:t>
        </w:r>
      </w:hyperlink>
      <w:r>
        <w:rPr>
          <w:rFonts w:ascii="Times New Roman" w:cs="Times New Roman" w:eastAsia="Times New Roman" w:hAnsi="Times New Roman"/>
          <w:sz w:val="18"/>
          <w:szCs w:val="18"/>
          <w:u w:val="single" w:color="auto"/>
          <w:color w:val="0000FF"/>
        </w:rPr>
        <w:tab/>
      </w:r>
      <w:hyperlink r:id="rId202">
        <w:r>
          <w:rPr>
            <w:rFonts w:ascii="Times New Roman" w:cs="Times New Roman" w:eastAsia="Times New Roman" w:hAnsi="Times New Roman"/>
            <w:sz w:val="17"/>
            <w:szCs w:val="17"/>
            <w:u w:val="single" w:color="auto"/>
            <w:color w:val="0000FF"/>
          </w:rPr>
          <w:t>Form of Replacement Stock Option Award Agreement with Aramark (incorporated by reference to Exhibit 10.5 to Aramark Services,</w:t>
        </w:r>
      </w:hyperlink>
      <w:r>
        <w:rPr>
          <w:rFonts w:ascii="Times New Roman" w:cs="Times New Roman" w:eastAsia="Times New Roman" w:hAnsi="Times New Roman"/>
          <w:sz w:val="17"/>
          <w:szCs w:val="17"/>
          <w:u w:val="single" w:color="auto"/>
          <w:color w:val="0000FF"/>
        </w:rPr>
        <w:t xml:space="preserve"> </w:t>
      </w:r>
      <w:hyperlink r:id="rId202">
        <w:r>
          <w:rPr>
            <w:rFonts w:ascii="Times New Roman" w:cs="Times New Roman" w:eastAsia="Times New Roman" w:hAnsi="Times New Roman"/>
            <w:sz w:val="17"/>
            <w:szCs w:val="17"/>
            <w:u w:val="single" w:color="auto"/>
            <w:color w:val="0000FF"/>
          </w:rPr>
          <w:t>Inc.’s Current Report on Form 8-K filed with the SEC on June 26, 2013, pursuant to the Exchange Act (file number 001-04762)).</w:t>
        </w:r>
      </w:hyperlink>
    </w:p>
    <w:p>
      <w:pPr>
        <w:spacing w:after="0" w:line="1" w:lineRule="exact"/>
        <w:rPr>
          <w:rFonts w:ascii="Times New Roman" w:cs="Times New Roman" w:eastAsia="Times New Roman" w:hAnsi="Times New Roman"/>
          <w:sz w:val="18"/>
          <w:szCs w:val="18"/>
          <w:u w:val="single" w:color="auto"/>
          <w:color w:val="0000FF"/>
        </w:rPr>
      </w:pPr>
    </w:p>
    <w:p>
      <w:pPr>
        <w:ind w:left="1280" w:right="14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203">
        <w:r>
          <w:rPr>
            <w:rFonts w:ascii="Times New Roman" w:cs="Times New Roman" w:eastAsia="Times New Roman" w:hAnsi="Times New Roman"/>
            <w:sz w:val="18"/>
            <w:szCs w:val="18"/>
            <w:u w:val="single" w:color="auto"/>
            <w:color w:val="0000FF"/>
          </w:rPr>
          <w:t>10.49†</w:t>
        </w:r>
      </w:hyperlink>
      <w:r>
        <w:rPr>
          <w:rFonts w:ascii="Times New Roman" w:cs="Times New Roman" w:eastAsia="Times New Roman" w:hAnsi="Times New Roman"/>
          <w:sz w:val="18"/>
          <w:szCs w:val="18"/>
          <w:u w:val="single" w:color="auto"/>
          <w:color w:val="0000FF"/>
        </w:rPr>
        <w:tab/>
      </w:r>
      <w:hyperlink r:id="rId203">
        <w:r>
          <w:rPr>
            <w:rFonts w:ascii="Times New Roman" w:cs="Times New Roman" w:eastAsia="Times New Roman" w:hAnsi="Times New Roman"/>
            <w:sz w:val="18"/>
            <w:szCs w:val="18"/>
            <w:u w:val="single" w:color="auto"/>
            <w:color w:val="0000FF"/>
          </w:rPr>
          <w:t>Revised Schedule 1s to Outstanding Non-Qualified Stock Option Agreements (incorporated by reference to Exhibit 10.68 to Aramark’s</w:t>
        </w:r>
      </w:hyperlink>
      <w:r>
        <w:rPr>
          <w:rFonts w:ascii="Times New Roman" w:cs="Times New Roman" w:eastAsia="Times New Roman" w:hAnsi="Times New Roman"/>
          <w:sz w:val="18"/>
          <w:szCs w:val="18"/>
          <w:u w:val="single" w:color="auto"/>
          <w:color w:val="0000FF"/>
        </w:rPr>
        <w:t xml:space="preserve"> </w:t>
      </w:r>
      <w:hyperlink r:id="rId203">
        <w:r>
          <w:rPr>
            <w:rFonts w:ascii="Times New Roman" w:cs="Times New Roman" w:eastAsia="Times New Roman" w:hAnsi="Times New Roman"/>
            <w:sz w:val="18"/>
            <w:szCs w:val="18"/>
            <w:u w:val="single" w:color="auto"/>
            <w:color w:val="0000FF"/>
          </w:rPr>
          <w:t>Form S-1/A filed with the SEC on November 19, 2013 (file number 333-191057)).</w:t>
        </w:r>
      </w:hyperlink>
    </w:p>
    <w:p>
      <w:pPr>
        <w:spacing w:after="0" w:line="10" w:lineRule="exact"/>
        <w:rPr>
          <w:rFonts w:ascii="Times New Roman" w:cs="Times New Roman" w:eastAsia="Times New Roman" w:hAnsi="Times New Roman"/>
          <w:sz w:val="18"/>
          <w:szCs w:val="18"/>
          <w:u w:val="single" w:color="auto"/>
          <w:color w:val="0000FF"/>
        </w:rPr>
      </w:pPr>
    </w:p>
    <w:p>
      <w:pPr>
        <w:ind w:left="1280" w:right="18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204">
        <w:r>
          <w:rPr>
            <w:rFonts w:ascii="Times New Roman" w:cs="Times New Roman" w:eastAsia="Times New Roman" w:hAnsi="Times New Roman"/>
            <w:sz w:val="18"/>
            <w:szCs w:val="18"/>
            <w:u w:val="single" w:color="auto"/>
            <w:color w:val="0000FF"/>
          </w:rPr>
          <w:t>10.50†</w:t>
        </w:r>
      </w:hyperlink>
      <w:r>
        <w:rPr>
          <w:rFonts w:ascii="Times New Roman" w:cs="Times New Roman" w:eastAsia="Times New Roman" w:hAnsi="Times New Roman"/>
          <w:sz w:val="18"/>
          <w:szCs w:val="18"/>
          <w:u w:val="single" w:color="auto"/>
          <w:color w:val="0000FF"/>
        </w:rPr>
        <w:tab/>
      </w:r>
      <w:hyperlink r:id="rId204">
        <w:r>
          <w:rPr>
            <w:rFonts w:ascii="Times New Roman" w:cs="Times New Roman" w:eastAsia="Times New Roman" w:hAnsi="Times New Roman"/>
            <w:sz w:val="18"/>
            <w:szCs w:val="18"/>
            <w:u w:val="single" w:color="auto"/>
            <w:color w:val="0000FF"/>
          </w:rPr>
          <w:t>Form of Amendment to Outstanding Non-Qualified Stock Option Agreement (incorporated by reference to Exhibit 10.69 to Aramark’s</w:t>
        </w:r>
      </w:hyperlink>
      <w:r>
        <w:rPr>
          <w:rFonts w:ascii="Times New Roman" w:cs="Times New Roman" w:eastAsia="Times New Roman" w:hAnsi="Times New Roman"/>
          <w:sz w:val="18"/>
          <w:szCs w:val="18"/>
          <w:u w:val="single" w:color="auto"/>
          <w:color w:val="0000FF"/>
        </w:rPr>
        <w:t xml:space="preserve"> </w:t>
      </w:r>
      <w:hyperlink r:id="rId204">
        <w:r>
          <w:rPr>
            <w:rFonts w:ascii="Times New Roman" w:cs="Times New Roman" w:eastAsia="Times New Roman" w:hAnsi="Times New Roman"/>
            <w:sz w:val="18"/>
            <w:szCs w:val="18"/>
            <w:u w:val="single" w:color="auto"/>
            <w:color w:val="0000FF"/>
          </w:rPr>
          <w:t>Form S-1/A filed with the SEC on November 19, 2013 (file number 333-191057)).</w:t>
        </w:r>
      </w:hyperlink>
    </w:p>
    <w:p>
      <w:pPr>
        <w:spacing w:after="0" w:line="10" w:lineRule="exact"/>
        <w:rPr>
          <w:rFonts w:ascii="Times New Roman" w:cs="Times New Roman" w:eastAsia="Times New Roman" w:hAnsi="Times New Roman"/>
          <w:sz w:val="18"/>
          <w:szCs w:val="18"/>
          <w:u w:val="single" w:color="auto"/>
          <w:color w:val="0000FF"/>
        </w:rPr>
      </w:pPr>
    </w:p>
    <w:p>
      <w:pPr>
        <w:ind w:left="1280" w:right="2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205">
        <w:r>
          <w:rPr>
            <w:rFonts w:ascii="Times New Roman" w:cs="Times New Roman" w:eastAsia="Times New Roman" w:hAnsi="Times New Roman"/>
            <w:sz w:val="18"/>
            <w:szCs w:val="18"/>
            <w:u w:val="single" w:color="auto"/>
            <w:color w:val="0000FF"/>
          </w:rPr>
          <w:t>10.51†</w:t>
        </w:r>
      </w:hyperlink>
      <w:r>
        <w:rPr>
          <w:rFonts w:ascii="Times New Roman" w:cs="Times New Roman" w:eastAsia="Times New Roman" w:hAnsi="Times New Roman"/>
          <w:sz w:val="18"/>
          <w:szCs w:val="18"/>
          <w:u w:val="single" w:color="auto"/>
          <w:color w:val="0000FF"/>
        </w:rPr>
        <w:tab/>
      </w:r>
      <w:hyperlink r:id="rId205">
        <w:r>
          <w:rPr>
            <w:rFonts w:ascii="Times New Roman" w:cs="Times New Roman" w:eastAsia="Times New Roman" w:hAnsi="Times New Roman"/>
            <w:sz w:val="18"/>
            <w:szCs w:val="18"/>
            <w:u w:val="single" w:color="auto"/>
            <w:color w:val="0000FF"/>
          </w:rPr>
          <w:t>Form of Non-Qualified Stock Option Award under the Aramark 2013 Stock Incentive Plan (incorporated by reference to Exhibit 10.71 to</w:t>
        </w:r>
      </w:hyperlink>
      <w:r>
        <w:rPr>
          <w:rFonts w:ascii="Times New Roman" w:cs="Times New Roman" w:eastAsia="Times New Roman" w:hAnsi="Times New Roman"/>
          <w:sz w:val="18"/>
          <w:szCs w:val="18"/>
          <w:u w:val="single" w:color="auto"/>
          <w:color w:val="0000FF"/>
        </w:rPr>
        <w:t xml:space="preserve"> </w:t>
      </w:r>
      <w:hyperlink r:id="rId205">
        <w:r>
          <w:rPr>
            <w:rFonts w:ascii="Times New Roman" w:cs="Times New Roman" w:eastAsia="Times New Roman" w:hAnsi="Times New Roman"/>
            <w:sz w:val="18"/>
            <w:szCs w:val="18"/>
            <w:u w:val="single" w:color="auto"/>
            <w:color w:val="0000FF"/>
          </w:rPr>
          <w:t>Aramark’s Form S-1/A filed with the SEC on November 19, 2013 (file number 333-191057)).</w:t>
        </w:r>
      </w:hyperlink>
    </w:p>
    <w:p>
      <w:pPr>
        <w:spacing w:after="0" w:line="10" w:lineRule="exact"/>
        <w:rPr>
          <w:rFonts w:ascii="Times New Roman" w:cs="Times New Roman" w:eastAsia="Times New Roman" w:hAnsi="Times New Roman"/>
          <w:sz w:val="18"/>
          <w:szCs w:val="18"/>
          <w:u w:val="single" w:color="auto"/>
          <w:color w:val="0000FF"/>
        </w:rPr>
      </w:pPr>
    </w:p>
    <w:p>
      <w:pPr>
        <w:ind w:left="1280" w:right="52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206">
        <w:r>
          <w:rPr>
            <w:rFonts w:ascii="Times New Roman" w:cs="Times New Roman" w:eastAsia="Times New Roman" w:hAnsi="Times New Roman"/>
            <w:sz w:val="18"/>
            <w:szCs w:val="18"/>
            <w:u w:val="single" w:color="auto"/>
            <w:color w:val="0000FF"/>
          </w:rPr>
          <w:t>10.52†</w:t>
        </w:r>
      </w:hyperlink>
      <w:r>
        <w:rPr>
          <w:rFonts w:ascii="Times New Roman" w:cs="Times New Roman" w:eastAsia="Times New Roman" w:hAnsi="Times New Roman"/>
          <w:sz w:val="18"/>
          <w:szCs w:val="18"/>
          <w:u w:val="single" w:color="auto"/>
          <w:color w:val="0000FF"/>
        </w:rPr>
        <w:tab/>
      </w:r>
      <w:hyperlink r:id="rId206">
        <w:r>
          <w:rPr>
            <w:rFonts w:ascii="Times New Roman" w:cs="Times New Roman" w:eastAsia="Times New Roman" w:hAnsi="Times New Roman"/>
            <w:sz w:val="18"/>
            <w:szCs w:val="18"/>
            <w:u w:val="single" w:color="auto"/>
            <w:color w:val="0000FF"/>
          </w:rPr>
          <w:t>Form of Restricted Stock Unit Award under the Aramark 2013 Stock Incentive Plan (incorporated by reference to Exhibit 10.72 to</w:t>
        </w:r>
      </w:hyperlink>
      <w:r>
        <w:rPr>
          <w:rFonts w:ascii="Times New Roman" w:cs="Times New Roman" w:eastAsia="Times New Roman" w:hAnsi="Times New Roman"/>
          <w:sz w:val="18"/>
          <w:szCs w:val="18"/>
          <w:u w:val="single" w:color="auto"/>
          <w:color w:val="0000FF"/>
        </w:rPr>
        <w:t xml:space="preserve"> </w:t>
      </w:r>
      <w:hyperlink r:id="rId206">
        <w:r>
          <w:rPr>
            <w:rFonts w:ascii="Times New Roman" w:cs="Times New Roman" w:eastAsia="Times New Roman" w:hAnsi="Times New Roman"/>
            <w:sz w:val="18"/>
            <w:szCs w:val="18"/>
            <w:u w:val="single" w:color="auto"/>
            <w:color w:val="0000FF"/>
          </w:rPr>
          <w:t>Aramark’s Form S-1/A filed with the SEC on November 19, 2013 (file number 333-191057)).</w:t>
        </w:r>
      </w:hyperlink>
    </w:p>
    <w:p>
      <w:pPr>
        <w:ind w:left="640"/>
        <w:spacing w:after="0"/>
        <w:tabs>
          <w:tab w:leader="none" w:pos="1260" w:val="left"/>
        </w:tabs>
        <w:rPr>
          <w:rFonts w:ascii="Times New Roman" w:cs="Times New Roman" w:eastAsia="Times New Roman" w:hAnsi="Times New Roman"/>
          <w:sz w:val="17"/>
          <w:szCs w:val="17"/>
          <w:u w:val="single" w:color="auto"/>
          <w:color w:val="0000FF"/>
        </w:rPr>
      </w:pPr>
      <w:hyperlink r:id="rId207">
        <w:r>
          <w:rPr>
            <w:rFonts w:ascii="Times New Roman" w:cs="Times New Roman" w:eastAsia="Times New Roman" w:hAnsi="Times New Roman"/>
            <w:sz w:val="18"/>
            <w:szCs w:val="18"/>
            <w:u w:val="single" w:color="auto"/>
            <w:color w:val="0000FF"/>
          </w:rPr>
          <w:t>10.53†</w:t>
        </w:r>
      </w:hyperlink>
      <w:r>
        <w:rPr>
          <w:rFonts w:ascii="Times New Roman" w:cs="Times New Roman" w:eastAsia="Times New Roman" w:hAnsi="Times New Roman"/>
          <w:sz w:val="18"/>
          <w:szCs w:val="18"/>
          <w:u w:val="single" w:color="auto"/>
          <w:color w:val="0000FF"/>
        </w:rPr>
        <w:tab/>
      </w:r>
      <w:hyperlink r:id="rId207">
        <w:r>
          <w:rPr>
            <w:rFonts w:ascii="Times New Roman" w:cs="Times New Roman" w:eastAsia="Times New Roman" w:hAnsi="Times New Roman"/>
            <w:sz w:val="17"/>
            <w:szCs w:val="17"/>
            <w:u w:val="single" w:color="auto"/>
            <w:color w:val="0000FF"/>
          </w:rPr>
          <w:t>Form of Performance Stock Unit Award Agreement (incorporated by reference to Exhibit 10.4 to Aramark’s Quarterly Report on Form</w:t>
        </w:r>
      </w:hyperlink>
    </w:p>
    <w:p>
      <w:pPr>
        <w:ind w:left="1280"/>
        <w:spacing w:after="0"/>
        <w:rPr>
          <w:rFonts w:ascii="Times New Roman" w:cs="Times New Roman" w:eastAsia="Times New Roman" w:hAnsi="Times New Roman"/>
          <w:sz w:val="18"/>
          <w:szCs w:val="18"/>
          <w:u w:val="single" w:color="auto"/>
          <w:color w:val="0000FF"/>
        </w:rPr>
      </w:pPr>
      <w:hyperlink r:id="rId207">
        <w:r>
          <w:rPr>
            <w:rFonts w:ascii="Times New Roman" w:cs="Times New Roman" w:eastAsia="Times New Roman" w:hAnsi="Times New Roman"/>
            <w:sz w:val="18"/>
            <w:szCs w:val="18"/>
            <w:u w:val="single" w:color="auto"/>
            <w:color w:val="0000FF"/>
          </w:rPr>
          <w:t>10-Q filed with the SEC on February 5, 2014, pursuant to the Exchange Act (file number 001-36223)).</w:t>
        </w:r>
      </w:hyperlink>
    </w:p>
    <w:p>
      <w:pPr>
        <w:spacing w:after="0" w:line="16" w:lineRule="exact"/>
        <w:rPr>
          <w:sz w:val="20"/>
          <w:szCs w:val="20"/>
          <w:color w:val="auto"/>
        </w:rPr>
      </w:pPr>
    </w:p>
    <w:p>
      <w:pPr>
        <w:ind w:left="1280" w:right="16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208">
        <w:r>
          <w:rPr>
            <w:rFonts w:ascii="Times New Roman" w:cs="Times New Roman" w:eastAsia="Times New Roman" w:hAnsi="Times New Roman"/>
            <w:sz w:val="18"/>
            <w:szCs w:val="18"/>
            <w:u w:val="single" w:color="auto"/>
            <w:color w:val="0000FF"/>
          </w:rPr>
          <w:t>10.54†</w:t>
        </w:r>
      </w:hyperlink>
      <w:r>
        <w:rPr>
          <w:rFonts w:ascii="Times New Roman" w:cs="Times New Roman" w:eastAsia="Times New Roman" w:hAnsi="Times New Roman"/>
          <w:sz w:val="18"/>
          <w:szCs w:val="18"/>
          <w:u w:val="single" w:color="auto"/>
          <w:color w:val="0000FF"/>
        </w:rPr>
        <w:tab/>
      </w:r>
      <w:hyperlink r:id="rId208">
        <w:r>
          <w:rPr>
            <w:rFonts w:ascii="Times New Roman" w:cs="Times New Roman" w:eastAsia="Times New Roman" w:hAnsi="Times New Roman"/>
            <w:sz w:val="18"/>
            <w:szCs w:val="18"/>
            <w:u w:val="single" w:color="auto"/>
            <w:color w:val="0000FF"/>
          </w:rPr>
          <w:t>Form of Performance Stock Unit Award Agreement (Revised) (incorporated by reference to Exhibit 10.26 to Aramark’s Annual Report</w:t>
        </w:r>
      </w:hyperlink>
      <w:r>
        <w:rPr>
          <w:rFonts w:ascii="Times New Roman" w:cs="Times New Roman" w:eastAsia="Times New Roman" w:hAnsi="Times New Roman"/>
          <w:sz w:val="18"/>
          <w:szCs w:val="18"/>
          <w:u w:val="single" w:color="auto"/>
          <w:color w:val="0000FF"/>
        </w:rPr>
        <w:t xml:space="preserve"> </w:t>
      </w:r>
      <w:hyperlink r:id="rId208">
        <w:r>
          <w:rPr>
            <w:rFonts w:ascii="Times New Roman" w:cs="Times New Roman" w:eastAsia="Times New Roman" w:hAnsi="Times New Roman"/>
            <w:sz w:val="18"/>
            <w:szCs w:val="18"/>
            <w:u w:val="single" w:color="auto"/>
            <w:color w:val="0000FF"/>
          </w:rPr>
          <w:t>on Form 10-K filed with the SEC on December 3, 2014, pursuant to the Exchange Act (file number 001-36223)).</w:t>
        </w:r>
      </w:hyperlink>
    </w:p>
    <w:p>
      <w:pPr>
        <w:spacing w:after="0" w:line="10" w:lineRule="exact"/>
        <w:rPr>
          <w:rFonts w:ascii="Times New Roman" w:cs="Times New Roman" w:eastAsia="Times New Roman" w:hAnsi="Times New Roman"/>
          <w:sz w:val="18"/>
          <w:szCs w:val="18"/>
          <w:u w:val="single" w:color="auto"/>
          <w:color w:val="0000FF"/>
        </w:rPr>
      </w:pPr>
    </w:p>
    <w:p>
      <w:pPr>
        <w:ind w:left="1280" w:right="10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209">
        <w:r>
          <w:rPr>
            <w:rFonts w:ascii="Times New Roman" w:cs="Times New Roman" w:eastAsia="Times New Roman" w:hAnsi="Times New Roman"/>
            <w:sz w:val="18"/>
            <w:szCs w:val="18"/>
            <w:u w:val="single" w:color="auto"/>
            <w:color w:val="0000FF"/>
          </w:rPr>
          <w:t>10.55†</w:t>
        </w:r>
      </w:hyperlink>
      <w:r>
        <w:rPr>
          <w:rFonts w:ascii="Times New Roman" w:cs="Times New Roman" w:eastAsia="Times New Roman" w:hAnsi="Times New Roman"/>
          <w:sz w:val="18"/>
          <w:szCs w:val="18"/>
          <w:u w:val="single" w:color="auto"/>
          <w:color w:val="0000FF"/>
        </w:rPr>
        <w:tab/>
      </w:r>
      <w:hyperlink r:id="rId209">
        <w:r>
          <w:rPr>
            <w:rFonts w:ascii="Times New Roman" w:cs="Times New Roman" w:eastAsia="Times New Roman" w:hAnsi="Times New Roman"/>
            <w:sz w:val="18"/>
            <w:szCs w:val="18"/>
            <w:u w:val="single" w:color="auto"/>
            <w:color w:val="0000FF"/>
          </w:rPr>
          <w:t>Form of Performance Stock Unit Award Agreement (Revised) (incorporated by reference to Exhibit 10.2 to Aramark’s Quarterly Report</w:t>
        </w:r>
      </w:hyperlink>
      <w:r>
        <w:rPr>
          <w:rFonts w:ascii="Times New Roman" w:cs="Times New Roman" w:eastAsia="Times New Roman" w:hAnsi="Times New Roman"/>
          <w:sz w:val="18"/>
          <w:szCs w:val="18"/>
          <w:u w:val="single" w:color="auto"/>
          <w:color w:val="0000FF"/>
        </w:rPr>
        <w:t xml:space="preserve"> </w:t>
      </w:r>
      <w:hyperlink r:id="rId209">
        <w:r>
          <w:rPr>
            <w:rFonts w:ascii="Times New Roman" w:cs="Times New Roman" w:eastAsia="Times New Roman" w:hAnsi="Times New Roman"/>
            <w:sz w:val="18"/>
            <w:szCs w:val="18"/>
            <w:u w:val="single" w:color="auto"/>
            <w:color w:val="0000FF"/>
          </w:rPr>
          <w:t>on Form 10-Q filed with the SEC on August 12, 2015, pursuant to the Exchange Act (file number 001-36223)).</w:t>
        </w:r>
      </w:hyperlink>
    </w:p>
    <w:p>
      <w:pPr>
        <w:spacing w:after="0" w:line="10" w:lineRule="exact"/>
        <w:rPr>
          <w:rFonts w:ascii="Times New Roman" w:cs="Times New Roman" w:eastAsia="Times New Roman" w:hAnsi="Times New Roman"/>
          <w:sz w:val="18"/>
          <w:szCs w:val="18"/>
          <w:u w:val="single" w:color="auto"/>
          <w:color w:val="0000FF"/>
        </w:rPr>
      </w:pPr>
    </w:p>
    <w:p>
      <w:pPr>
        <w:ind w:left="1280" w:right="26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210">
        <w:r>
          <w:rPr>
            <w:rFonts w:ascii="Times New Roman" w:cs="Times New Roman" w:eastAsia="Times New Roman" w:hAnsi="Times New Roman"/>
            <w:sz w:val="18"/>
            <w:szCs w:val="18"/>
            <w:u w:val="single" w:color="auto"/>
            <w:color w:val="0000FF"/>
          </w:rPr>
          <w:t>10.56†</w:t>
        </w:r>
      </w:hyperlink>
      <w:r>
        <w:rPr>
          <w:rFonts w:ascii="Times New Roman" w:cs="Times New Roman" w:eastAsia="Times New Roman" w:hAnsi="Times New Roman"/>
          <w:sz w:val="18"/>
          <w:szCs w:val="18"/>
          <w:u w:val="single" w:color="auto"/>
          <w:color w:val="0000FF"/>
        </w:rPr>
        <w:tab/>
      </w:r>
      <w:hyperlink r:id="rId210">
        <w:r>
          <w:rPr>
            <w:rFonts w:ascii="Times New Roman" w:cs="Times New Roman" w:eastAsia="Times New Roman" w:hAnsi="Times New Roman"/>
            <w:sz w:val="18"/>
            <w:szCs w:val="18"/>
            <w:u w:val="single" w:color="auto"/>
            <w:color w:val="0000FF"/>
          </w:rPr>
          <w:t>Form of Performance Restricted Stock Award (incorporated by reference to Exhibit 10.61 to Aramark’s Annual Report on Form 10-K</w:t>
        </w:r>
      </w:hyperlink>
      <w:r>
        <w:rPr>
          <w:rFonts w:ascii="Times New Roman" w:cs="Times New Roman" w:eastAsia="Times New Roman" w:hAnsi="Times New Roman"/>
          <w:sz w:val="18"/>
          <w:szCs w:val="18"/>
          <w:u w:val="single" w:color="auto"/>
          <w:color w:val="0000FF"/>
        </w:rPr>
        <w:t xml:space="preserve"> </w:t>
      </w:r>
      <w:hyperlink r:id="rId210">
        <w:r>
          <w:rPr>
            <w:rFonts w:ascii="Times New Roman" w:cs="Times New Roman" w:eastAsia="Times New Roman" w:hAnsi="Times New Roman"/>
            <w:sz w:val="18"/>
            <w:szCs w:val="18"/>
            <w:u w:val="single" w:color="auto"/>
            <w:color w:val="0000FF"/>
          </w:rPr>
          <w:t>filed with the SEC on December 1, 2015, pursuant to the Exchange Act (file number 001-36223)).</w:t>
        </w:r>
      </w:hyperlink>
    </w:p>
    <w:p>
      <w:pPr>
        <w:spacing w:after="0" w:line="10" w:lineRule="exact"/>
        <w:rPr>
          <w:rFonts w:ascii="Times New Roman" w:cs="Times New Roman" w:eastAsia="Times New Roman" w:hAnsi="Times New Roman"/>
          <w:sz w:val="18"/>
          <w:szCs w:val="18"/>
          <w:u w:val="single" w:color="auto"/>
          <w:color w:val="0000FF"/>
        </w:rPr>
      </w:pPr>
    </w:p>
    <w:p>
      <w:pPr>
        <w:ind w:left="1280" w:right="400" w:hanging="637"/>
        <w:spacing w:after="0" w:line="226" w:lineRule="auto"/>
        <w:tabs>
          <w:tab w:leader="none" w:pos="1260" w:val="left"/>
        </w:tabs>
        <w:rPr>
          <w:rFonts w:ascii="Times New Roman" w:cs="Times New Roman" w:eastAsia="Times New Roman" w:hAnsi="Times New Roman"/>
          <w:sz w:val="18"/>
          <w:szCs w:val="18"/>
          <w:u w:val="single" w:color="auto"/>
          <w:color w:val="0000FF"/>
        </w:rPr>
      </w:pPr>
      <w:hyperlink r:id="rId211">
        <w:r>
          <w:rPr>
            <w:rFonts w:ascii="Times New Roman" w:cs="Times New Roman" w:eastAsia="Times New Roman" w:hAnsi="Times New Roman"/>
            <w:sz w:val="18"/>
            <w:szCs w:val="18"/>
            <w:u w:val="single" w:color="auto"/>
            <w:color w:val="0000FF"/>
          </w:rPr>
          <w:t>10.57†</w:t>
        </w:r>
      </w:hyperlink>
      <w:r>
        <w:rPr>
          <w:rFonts w:ascii="Times New Roman" w:cs="Times New Roman" w:eastAsia="Times New Roman" w:hAnsi="Times New Roman"/>
          <w:sz w:val="18"/>
          <w:szCs w:val="18"/>
          <w:u w:val="single" w:color="auto"/>
          <w:color w:val="0000FF"/>
        </w:rPr>
        <w:tab/>
      </w:r>
      <w:hyperlink r:id="rId211">
        <w:r>
          <w:rPr>
            <w:rFonts w:ascii="Times New Roman" w:cs="Times New Roman" w:eastAsia="Times New Roman" w:hAnsi="Times New Roman"/>
            <w:sz w:val="18"/>
            <w:szCs w:val="18"/>
            <w:u w:val="single" w:color="auto"/>
            <w:color w:val="0000FF"/>
          </w:rPr>
          <w:t>Form of Restricted Stock Unit Award (Time Vesting) (Retirement Notice/Full Vest) (incorporated by reference to Exhibit 10.70 to</w:t>
        </w:r>
      </w:hyperlink>
      <w:r>
        <w:rPr>
          <w:rFonts w:ascii="Times New Roman" w:cs="Times New Roman" w:eastAsia="Times New Roman" w:hAnsi="Times New Roman"/>
          <w:sz w:val="18"/>
          <w:szCs w:val="18"/>
          <w:u w:val="single" w:color="auto"/>
          <w:color w:val="0000FF"/>
        </w:rPr>
        <w:t xml:space="preserve"> </w:t>
      </w:r>
      <w:hyperlink r:id="rId211">
        <w:r>
          <w:rPr>
            <w:rFonts w:ascii="Times New Roman" w:cs="Times New Roman" w:eastAsia="Times New Roman" w:hAnsi="Times New Roman"/>
            <w:sz w:val="18"/>
            <w:szCs w:val="18"/>
            <w:u w:val="single" w:color="auto"/>
            <w:color w:val="0000FF"/>
          </w:rPr>
          <w:t>Aramark's Annual Report on Form 10-K filed with the SEC on November 22, 2017 pursuant to the Exchange Act (file number 001-</w:t>
        </w:r>
      </w:hyperlink>
      <w:hyperlink r:id="rId211">
        <w:r>
          <w:rPr>
            <w:rFonts w:ascii="Times New Roman" w:cs="Times New Roman" w:eastAsia="Times New Roman" w:hAnsi="Times New Roman"/>
            <w:sz w:val="18"/>
            <w:szCs w:val="18"/>
            <w:u w:val="single" w:color="auto"/>
            <w:color w:val="0000FF"/>
          </w:rPr>
          <w:t>36223).</w:t>
        </w:r>
      </w:hyperlink>
    </w:p>
    <w:p>
      <w:pPr>
        <w:spacing w:after="0" w:line="9" w:lineRule="exact"/>
        <w:rPr>
          <w:rFonts w:ascii="Times New Roman" w:cs="Times New Roman" w:eastAsia="Times New Roman" w:hAnsi="Times New Roman"/>
          <w:sz w:val="18"/>
          <w:szCs w:val="18"/>
          <w:u w:val="single" w:color="auto"/>
          <w:color w:val="0000FF"/>
        </w:rPr>
      </w:pPr>
    </w:p>
    <w:p>
      <w:pPr>
        <w:ind w:left="1280" w:right="12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212">
        <w:r>
          <w:rPr>
            <w:rFonts w:ascii="Times New Roman" w:cs="Times New Roman" w:eastAsia="Times New Roman" w:hAnsi="Times New Roman"/>
            <w:sz w:val="18"/>
            <w:szCs w:val="18"/>
            <w:u w:val="single" w:color="auto"/>
            <w:color w:val="0000FF"/>
          </w:rPr>
          <w:t>10.58†</w:t>
        </w:r>
      </w:hyperlink>
      <w:r>
        <w:rPr>
          <w:rFonts w:ascii="Times New Roman" w:cs="Times New Roman" w:eastAsia="Times New Roman" w:hAnsi="Times New Roman"/>
          <w:sz w:val="18"/>
          <w:szCs w:val="18"/>
          <w:u w:val="single" w:color="auto"/>
          <w:color w:val="0000FF"/>
        </w:rPr>
        <w:tab/>
      </w:r>
      <w:hyperlink r:id="rId212">
        <w:r>
          <w:rPr>
            <w:rFonts w:ascii="Times New Roman" w:cs="Times New Roman" w:eastAsia="Times New Roman" w:hAnsi="Times New Roman"/>
            <w:sz w:val="18"/>
            <w:szCs w:val="18"/>
            <w:u w:val="single" w:color="auto"/>
            <w:color w:val="0000FF"/>
          </w:rPr>
          <w:t>Form of Performance Stock Unit Award (Retirement Notice/Full Vest) (incorporated by reference to Exhibit 10.71 to Aramark's Annual</w:t>
        </w:r>
      </w:hyperlink>
      <w:r>
        <w:rPr>
          <w:rFonts w:ascii="Times New Roman" w:cs="Times New Roman" w:eastAsia="Times New Roman" w:hAnsi="Times New Roman"/>
          <w:sz w:val="18"/>
          <w:szCs w:val="18"/>
          <w:u w:val="single" w:color="auto"/>
          <w:color w:val="0000FF"/>
        </w:rPr>
        <w:t xml:space="preserve"> </w:t>
      </w:r>
      <w:hyperlink r:id="rId212">
        <w:r>
          <w:rPr>
            <w:rFonts w:ascii="Times New Roman" w:cs="Times New Roman" w:eastAsia="Times New Roman" w:hAnsi="Times New Roman"/>
            <w:sz w:val="18"/>
            <w:szCs w:val="18"/>
            <w:u w:val="single" w:color="auto"/>
            <w:color w:val="0000FF"/>
          </w:rPr>
          <w:t>Report on Form 10-K filed with the SEC on November 22, 2017 pursuant to the Exchange Act (file number 001-36223).</w:t>
        </w:r>
      </w:hyperlink>
    </w:p>
    <w:p>
      <w:pPr>
        <w:spacing w:after="0" w:line="10" w:lineRule="exact"/>
        <w:rPr>
          <w:rFonts w:ascii="Times New Roman" w:cs="Times New Roman" w:eastAsia="Times New Roman" w:hAnsi="Times New Roman"/>
          <w:sz w:val="18"/>
          <w:szCs w:val="18"/>
          <w:u w:val="single" w:color="auto"/>
          <w:color w:val="0000FF"/>
        </w:rPr>
      </w:pPr>
    </w:p>
    <w:p>
      <w:pPr>
        <w:ind w:left="1280" w:right="380" w:hanging="637"/>
        <w:spacing w:after="0" w:line="256" w:lineRule="auto"/>
        <w:tabs>
          <w:tab w:leader="none" w:pos="1260" w:val="left"/>
        </w:tabs>
        <w:rPr>
          <w:rFonts w:ascii="Times New Roman" w:cs="Times New Roman" w:eastAsia="Times New Roman" w:hAnsi="Times New Roman"/>
          <w:sz w:val="17"/>
          <w:szCs w:val="17"/>
          <w:u w:val="single" w:color="auto"/>
          <w:color w:val="0000FF"/>
        </w:rPr>
      </w:pPr>
      <w:hyperlink r:id="rId213">
        <w:r>
          <w:rPr>
            <w:rFonts w:ascii="Times New Roman" w:cs="Times New Roman" w:eastAsia="Times New Roman" w:hAnsi="Times New Roman"/>
            <w:sz w:val="18"/>
            <w:szCs w:val="18"/>
            <w:u w:val="single" w:color="auto"/>
            <w:color w:val="0000FF"/>
          </w:rPr>
          <w:t>10.59†</w:t>
        </w:r>
      </w:hyperlink>
      <w:r>
        <w:rPr>
          <w:rFonts w:ascii="Times New Roman" w:cs="Times New Roman" w:eastAsia="Times New Roman" w:hAnsi="Times New Roman"/>
          <w:sz w:val="18"/>
          <w:szCs w:val="18"/>
          <w:u w:val="single" w:color="auto"/>
          <w:color w:val="0000FF"/>
        </w:rPr>
        <w:tab/>
      </w:r>
      <w:hyperlink r:id="rId213">
        <w:r>
          <w:rPr>
            <w:rFonts w:ascii="Times New Roman" w:cs="Times New Roman" w:eastAsia="Times New Roman" w:hAnsi="Times New Roman"/>
            <w:sz w:val="17"/>
            <w:szCs w:val="17"/>
            <w:u w:val="single" w:color="auto"/>
            <w:color w:val="0000FF"/>
          </w:rPr>
          <w:t>Form of Non-Qualified Stock Option Award (Retirement Notice/Full Vest) (incorporated by reference to Exhibit 10.72 to Aramark's</w:t>
        </w:r>
      </w:hyperlink>
      <w:r>
        <w:rPr>
          <w:rFonts w:ascii="Times New Roman" w:cs="Times New Roman" w:eastAsia="Times New Roman" w:hAnsi="Times New Roman"/>
          <w:sz w:val="17"/>
          <w:szCs w:val="17"/>
          <w:u w:val="single" w:color="auto"/>
          <w:color w:val="0000FF"/>
        </w:rPr>
        <w:t xml:space="preserve"> </w:t>
      </w:r>
      <w:hyperlink r:id="rId213">
        <w:r>
          <w:rPr>
            <w:rFonts w:ascii="Times New Roman" w:cs="Times New Roman" w:eastAsia="Times New Roman" w:hAnsi="Times New Roman"/>
            <w:sz w:val="17"/>
            <w:szCs w:val="17"/>
            <w:u w:val="single" w:color="auto"/>
            <w:color w:val="0000FF"/>
          </w:rPr>
          <w:t>Annual Report on Form 10-K filed with the SEC on November 22, 2017 pursuant to the Exchange Act (file number 001-36223).</w:t>
        </w:r>
      </w:hyperlink>
    </w:p>
    <w:p>
      <w:pPr>
        <w:spacing w:after="0" w:line="1" w:lineRule="exact"/>
        <w:rPr>
          <w:rFonts w:ascii="Times New Roman" w:cs="Times New Roman" w:eastAsia="Times New Roman" w:hAnsi="Times New Roman"/>
          <w:sz w:val="18"/>
          <w:szCs w:val="18"/>
          <w:u w:val="single" w:color="auto"/>
          <w:color w:val="0000FF"/>
        </w:rPr>
      </w:pPr>
    </w:p>
    <w:p>
      <w:pPr>
        <w:ind w:left="1280" w:right="400" w:hanging="637"/>
        <w:spacing w:after="0" w:line="226" w:lineRule="auto"/>
        <w:tabs>
          <w:tab w:leader="none" w:pos="1260" w:val="left"/>
        </w:tabs>
        <w:rPr>
          <w:rFonts w:ascii="Times New Roman" w:cs="Times New Roman" w:eastAsia="Times New Roman" w:hAnsi="Times New Roman"/>
          <w:sz w:val="18"/>
          <w:szCs w:val="18"/>
          <w:u w:val="single" w:color="auto"/>
          <w:color w:val="0000FF"/>
        </w:rPr>
      </w:pPr>
      <w:hyperlink r:id="rId214">
        <w:r>
          <w:rPr>
            <w:rFonts w:ascii="Times New Roman" w:cs="Times New Roman" w:eastAsia="Times New Roman" w:hAnsi="Times New Roman"/>
            <w:sz w:val="18"/>
            <w:szCs w:val="18"/>
            <w:u w:val="single" w:color="auto"/>
            <w:color w:val="0000FF"/>
          </w:rPr>
          <w:t>10.60†</w:t>
        </w:r>
      </w:hyperlink>
      <w:r>
        <w:rPr>
          <w:rFonts w:ascii="Times New Roman" w:cs="Times New Roman" w:eastAsia="Times New Roman" w:hAnsi="Times New Roman"/>
          <w:sz w:val="18"/>
          <w:szCs w:val="18"/>
          <w:u w:val="single" w:color="auto"/>
          <w:color w:val="0000FF"/>
        </w:rPr>
        <w:tab/>
      </w:r>
      <w:hyperlink r:id="rId214">
        <w:r>
          <w:rPr>
            <w:rFonts w:ascii="Times New Roman" w:cs="Times New Roman" w:eastAsia="Times New Roman" w:hAnsi="Times New Roman"/>
            <w:sz w:val="18"/>
            <w:szCs w:val="18"/>
            <w:u w:val="single" w:color="auto"/>
            <w:color w:val="0000FF"/>
          </w:rPr>
          <w:t>Form of Restricted Stock Unit Award (Time Vesting) (Retirement Notice/2Y Vest) (incorporated by reference to Exhibit 10.73 to</w:t>
        </w:r>
      </w:hyperlink>
      <w:r>
        <w:rPr>
          <w:rFonts w:ascii="Times New Roman" w:cs="Times New Roman" w:eastAsia="Times New Roman" w:hAnsi="Times New Roman"/>
          <w:sz w:val="18"/>
          <w:szCs w:val="18"/>
          <w:u w:val="single" w:color="auto"/>
          <w:color w:val="0000FF"/>
        </w:rPr>
        <w:t xml:space="preserve"> </w:t>
      </w:r>
      <w:hyperlink r:id="rId214">
        <w:r>
          <w:rPr>
            <w:rFonts w:ascii="Times New Roman" w:cs="Times New Roman" w:eastAsia="Times New Roman" w:hAnsi="Times New Roman"/>
            <w:sz w:val="18"/>
            <w:szCs w:val="18"/>
            <w:u w:val="single" w:color="auto"/>
            <w:color w:val="0000FF"/>
          </w:rPr>
          <w:t>Aramark's Annual Report on Form 10-K filed with the SEC on November 22, 2017 pursuant to the Exchange Act (file number 001-</w:t>
        </w:r>
      </w:hyperlink>
      <w:hyperlink r:id="rId214">
        <w:r>
          <w:rPr>
            <w:rFonts w:ascii="Times New Roman" w:cs="Times New Roman" w:eastAsia="Times New Roman" w:hAnsi="Times New Roman"/>
            <w:sz w:val="18"/>
            <w:szCs w:val="18"/>
            <w:u w:val="single" w:color="auto"/>
            <w:color w:val="0000FF"/>
          </w:rPr>
          <w:t>36223).</w:t>
        </w:r>
      </w:hyperlink>
    </w:p>
    <w:p>
      <w:pPr>
        <w:spacing w:after="0" w:line="9" w:lineRule="exact"/>
        <w:rPr>
          <w:rFonts w:ascii="Times New Roman" w:cs="Times New Roman" w:eastAsia="Times New Roman" w:hAnsi="Times New Roman"/>
          <w:sz w:val="18"/>
          <w:szCs w:val="18"/>
          <w:u w:val="single" w:color="auto"/>
          <w:color w:val="0000FF"/>
        </w:rPr>
      </w:pPr>
    </w:p>
    <w:p>
      <w:pPr>
        <w:ind w:left="1280" w:right="180" w:hanging="637"/>
        <w:spacing w:after="0" w:line="250" w:lineRule="auto"/>
        <w:tabs>
          <w:tab w:leader="none" w:pos="1260" w:val="left"/>
        </w:tabs>
        <w:rPr>
          <w:rFonts w:ascii="Times New Roman" w:cs="Times New Roman" w:eastAsia="Times New Roman" w:hAnsi="Times New Roman"/>
          <w:sz w:val="18"/>
          <w:szCs w:val="18"/>
          <w:u w:val="single" w:color="auto"/>
          <w:color w:val="0000FF"/>
        </w:rPr>
      </w:pPr>
      <w:hyperlink r:id="rId215"/>
      <w:r>
        <w:rPr>
          <w:rFonts w:ascii="Times New Roman" w:cs="Times New Roman" w:eastAsia="Times New Roman" w:hAnsi="Times New Roman"/>
          <w:sz w:val="35"/>
          <w:szCs w:val="35"/>
          <w:u w:val="single" w:color="auto"/>
          <w:color w:val="0000FF"/>
          <w:vertAlign w:val="superscript"/>
        </w:rPr>
        <w:t>10.</w:t>
      </w:r>
      <w:hyperlink r:id="rId215">
        <w:r>
          <w:rPr>
            <w:rFonts w:ascii="Times New Roman" w:cs="Times New Roman" w:eastAsia="Times New Roman" w:hAnsi="Times New Roman"/>
            <w:sz w:val="35"/>
            <w:szCs w:val="35"/>
            <w:u w:val="single" w:color="auto"/>
            <w:color w:val="0000FF"/>
            <w:vertAlign w:val="superscript"/>
          </w:rPr>
          <w:t>61†</w:t>
        </w:r>
      </w:hyperlink>
      <w:r>
        <w:rPr>
          <w:rFonts w:ascii="Times New Roman" w:cs="Times New Roman" w:eastAsia="Times New Roman" w:hAnsi="Times New Roman"/>
          <w:sz w:val="18"/>
          <w:szCs w:val="18"/>
          <w:u w:val="single" w:color="auto"/>
          <w:color w:val="0000FF"/>
        </w:rPr>
        <w:tab/>
      </w:r>
      <w:hyperlink r:id="rId215">
        <w:r>
          <w:rPr>
            <w:rFonts w:ascii="Times New Roman" w:cs="Times New Roman" w:eastAsia="Times New Roman" w:hAnsi="Times New Roman"/>
            <w:sz w:val="18"/>
            <w:szCs w:val="18"/>
            <w:u w:val="single" w:color="auto"/>
            <w:color w:val="0000FF"/>
          </w:rPr>
          <w:t>Form of Performance Stock Unit Award (Retirement Notice/2Y Vest) (incorporated by reference to Exhibit 10.74 to Aramark's Annual</w:t>
        </w:r>
      </w:hyperlink>
      <w:r>
        <w:rPr>
          <w:rFonts w:ascii="Times New Roman" w:cs="Times New Roman" w:eastAsia="Times New Roman" w:hAnsi="Times New Roman"/>
          <w:sz w:val="18"/>
          <w:szCs w:val="18"/>
          <w:u w:val="single" w:color="auto"/>
          <w:color w:val="0000FF"/>
        </w:rPr>
        <w:t xml:space="preserve"> </w:t>
      </w:r>
      <w:hyperlink r:id="rId215">
        <w:r>
          <w:rPr>
            <w:rFonts w:ascii="Times New Roman" w:cs="Times New Roman" w:eastAsia="Times New Roman" w:hAnsi="Times New Roman"/>
            <w:sz w:val="18"/>
            <w:szCs w:val="18"/>
            <w:u w:val="single" w:color="auto"/>
            <w:color w:val="0000FF"/>
          </w:rPr>
          <w:t>Report on Form 10-K filed with the SEC on November 22, 2017 pursuant to the Exchange Act (file number 001-36223).</w:t>
        </w:r>
      </w:hyperlink>
    </w:p>
    <w:p>
      <w:pPr>
        <w:spacing w:after="0" w:line="119" w:lineRule="exact"/>
        <w:rPr>
          <w:rFonts w:ascii="Times New Roman" w:cs="Times New Roman" w:eastAsia="Times New Roman" w:hAnsi="Times New Roman"/>
          <w:sz w:val="18"/>
          <w:szCs w:val="18"/>
          <w:u w:val="single" w:color="auto"/>
          <w:color w:val="0000FF"/>
        </w:rPr>
      </w:pPr>
    </w:p>
    <w:p>
      <w:pPr>
        <w:ind w:left="1280" w:right="460" w:hanging="637"/>
        <w:spacing w:after="0" w:line="256" w:lineRule="auto"/>
        <w:tabs>
          <w:tab w:leader="none" w:pos="1260" w:val="left"/>
        </w:tabs>
        <w:rPr>
          <w:rFonts w:ascii="Times New Roman" w:cs="Times New Roman" w:eastAsia="Times New Roman" w:hAnsi="Times New Roman"/>
          <w:sz w:val="17"/>
          <w:szCs w:val="17"/>
          <w:u w:val="single" w:color="auto"/>
          <w:color w:val="0000FF"/>
        </w:rPr>
      </w:pPr>
      <w:hyperlink r:id="rId216">
        <w:r>
          <w:rPr>
            <w:rFonts w:ascii="Times New Roman" w:cs="Times New Roman" w:eastAsia="Times New Roman" w:hAnsi="Times New Roman"/>
            <w:sz w:val="18"/>
            <w:szCs w:val="18"/>
            <w:u w:val="single" w:color="auto"/>
            <w:color w:val="0000FF"/>
          </w:rPr>
          <w:t>10.62†</w:t>
        </w:r>
      </w:hyperlink>
      <w:r>
        <w:rPr>
          <w:rFonts w:ascii="Times New Roman" w:cs="Times New Roman" w:eastAsia="Times New Roman" w:hAnsi="Times New Roman"/>
          <w:sz w:val="18"/>
          <w:szCs w:val="18"/>
          <w:u w:val="single" w:color="auto"/>
          <w:color w:val="0000FF"/>
        </w:rPr>
        <w:tab/>
      </w:r>
      <w:hyperlink r:id="rId216">
        <w:r>
          <w:rPr>
            <w:rFonts w:ascii="Times New Roman" w:cs="Times New Roman" w:eastAsia="Times New Roman" w:hAnsi="Times New Roman"/>
            <w:sz w:val="17"/>
            <w:szCs w:val="17"/>
            <w:u w:val="single" w:color="auto"/>
            <w:color w:val="0000FF"/>
          </w:rPr>
          <w:t>Form of Non-Qualified Stock Option Award (Retirement Notice/2Y Vest) (incorporated by reference to Exhibit 10.75 to Aramark's</w:t>
        </w:r>
      </w:hyperlink>
      <w:r>
        <w:rPr>
          <w:rFonts w:ascii="Times New Roman" w:cs="Times New Roman" w:eastAsia="Times New Roman" w:hAnsi="Times New Roman"/>
          <w:sz w:val="17"/>
          <w:szCs w:val="17"/>
          <w:u w:val="single" w:color="auto"/>
          <w:color w:val="0000FF"/>
        </w:rPr>
        <w:t xml:space="preserve"> </w:t>
      </w:r>
      <w:hyperlink r:id="rId216">
        <w:r>
          <w:rPr>
            <w:rFonts w:ascii="Times New Roman" w:cs="Times New Roman" w:eastAsia="Times New Roman" w:hAnsi="Times New Roman"/>
            <w:sz w:val="17"/>
            <w:szCs w:val="17"/>
            <w:u w:val="single" w:color="auto"/>
            <w:color w:val="0000FF"/>
          </w:rPr>
          <w:t>Annual Report on Form 10-K filed with the SEC on November 22, 2017 pursuant to the Exchange Act (file number 001-36223).</w:t>
        </w:r>
      </w:hyperlink>
    </w:p>
    <w:p>
      <w:pPr>
        <w:spacing w:after="0" w:line="1" w:lineRule="exact"/>
        <w:rPr>
          <w:rFonts w:ascii="Times New Roman" w:cs="Times New Roman" w:eastAsia="Times New Roman" w:hAnsi="Times New Roman"/>
          <w:sz w:val="18"/>
          <w:szCs w:val="18"/>
          <w:u w:val="single" w:color="auto"/>
          <w:color w:val="0000FF"/>
        </w:rPr>
      </w:pPr>
    </w:p>
    <w:p>
      <w:pPr>
        <w:ind w:left="128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217">
        <w:r>
          <w:rPr>
            <w:rFonts w:ascii="Times New Roman" w:cs="Times New Roman" w:eastAsia="Times New Roman" w:hAnsi="Times New Roman"/>
            <w:sz w:val="18"/>
            <w:szCs w:val="18"/>
            <w:u w:val="single" w:color="auto"/>
            <w:color w:val="0000FF"/>
          </w:rPr>
          <w:t>10.63†</w:t>
        </w:r>
      </w:hyperlink>
      <w:r>
        <w:rPr>
          <w:rFonts w:ascii="Times New Roman" w:cs="Times New Roman" w:eastAsia="Times New Roman" w:hAnsi="Times New Roman"/>
          <w:sz w:val="18"/>
          <w:szCs w:val="18"/>
          <w:u w:val="single" w:color="auto"/>
          <w:color w:val="0000FF"/>
        </w:rPr>
        <w:tab/>
      </w:r>
      <w:hyperlink r:id="rId217">
        <w:r>
          <w:rPr>
            <w:rFonts w:ascii="Times New Roman" w:cs="Times New Roman" w:eastAsia="Times New Roman" w:hAnsi="Times New Roman"/>
            <w:sz w:val="18"/>
            <w:szCs w:val="18"/>
            <w:u w:val="single" w:color="auto"/>
            <w:color w:val="0000FF"/>
          </w:rPr>
          <w:t>Form of Non-Qualified Stock Option Award (incorporated by reference to Exhibit 10.93 to Aramark’s Annual Report on Form 10-K filed</w:t>
        </w:r>
      </w:hyperlink>
      <w:r>
        <w:rPr>
          <w:rFonts w:ascii="Times New Roman" w:cs="Times New Roman" w:eastAsia="Times New Roman" w:hAnsi="Times New Roman"/>
          <w:sz w:val="18"/>
          <w:szCs w:val="18"/>
          <w:u w:val="single" w:color="auto"/>
          <w:color w:val="0000FF"/>
        </w:rPr>
        <w:t xml:space="preserve"> </w:t>
      </w:r>
      <w:hyperlink r:id="rId217">
        <w:r>
          <w:rPr>
            <w:rFonts w:ascii="Times New Roman" w:cs="Times New Roman" w:eastAsia="Times New Roman" w:hAnsi="Times New Roman"/>
            <w:sz w:val="18"/>
            <w:szCs w:val="18"/>
            <w:u w:val="single" w:color="auto"/>
            <w:color w:val="0000FF"/>
          </w:rPr>
          <w:t>with the SEC on November 26, 2019, pursuant to the Exchange Act (file number 001-36223)).</w:t>
        </w:r>
      </w:hyperlink>
    </w:p>
    <w:p>
      <w:pPr>
        <w:ind w:left="640"/>
        <w:spacing w:after="0"/>
        <w:tabs>
          <w:tab w:leader="none" w:pos="1260" w:val="left"/>
        </w:tabs>
        <w:rPr>
          <w:rFonts w:ascii="Times New Roman" w:cs="Times New Roman" w:eastAsia="Times New Roman" w:hAnsi="Times New Roman"/>
          <w:sz w:val="17"/>
          <w:szCs w:val="17"/>
          <w:u w:val="single" w:color="auto"/>
          <w:color w:val="0000FF"/>
        </w:rPr>
      </w:pPr>
      <w:hyperlink r:id="rId218">
        <w:r>
          <w:rPr>
            <w:rFonts w:ascii="Times New Roman" w:cs="Times New Roman" w:eastAsia="Times New Roman" w:hAnsi="Times New Roman"/>
            <w:sz w:val="18"/>
            <w:szCs w:val="18"/>
            <w:u w:val="single" w:color="auto"/>
            <w:color w:val="0000FF"/>
          </w:rPr>
          <w:t>10.</w:t>
        </w:r>
      </w:hyperlink>
      <w:r>
        <w:rPr>
          <w:rFonts w:ascii="Times New Roman" w:cs="Times New Roman" w:eastAsia="Times New Roman" w:hAnsi="Times New Roman"/>
          <w:sz w:val="18"/>
          <w:szCs w:val="18"/>
          <w:u w:val="single" w:color="auto"/>
          <w:color w:val="0000FF"/>
        </w:rPr>
        <w:t>64†</w:t>
        <w:tab/>
      </w:r>
      <w:hyperlink r:id="rId218">
        <w:r>
          <w:rPr>
            <w:rFonts w:ascii="Times New Roman" w:cs="Times New Roman" w:eastAsia="Times New Roman" w:hAnsi="Times New Roman"/>
            <w:sz w:val="17"/>
            <w:szCs w:val="17"/>
            <w:u w:val="single" w:color="auto"/>
            <w:color w:val="0000FF"/>
          </w:rPr>
          <w:t>Form of Restricted Stock Unit Award (Time Vesting) (incorporated by reference to Exhibit 10.94 to Aramark’s Annual Report on Form</w:t>
        </w:r>
      </w:hyperlink>
    </w:p>
    <w:p>
      <w:pPr>
        <w:ind w:left="1280"/>
        <w:spacing w:after="0"/>
        <w:rPr>
          <w:rFonts w:ascii="Times New Roman" w:cs="Times New Roman" w:eastAsia="Times New Roman" w:hAnsi="Times New Roman"/>
          <w:sz w:val="18"/>
          <w:szCs w:val="18"/>
          <w:u w:val="single" w:color="auto"/>
          <w:color w:val="0000FF"/>
        </w:rPr>
      </w:pPr>
      <w:hyperlink r:id="rId218">
        <w:r>
          <w:rPr>
            <w:rFonts w:ascii="Times New Roman" w:cs="Times New Roman" w:eastAsia="Times New Roman" w:hAnsi="Times New Roman"/>
            <w:sz w:val="18"/>
            <w:szCs w:val="18"/>
            <w:u w:val="single" w:color="auto"/>
            <w:color w:val="0000FF"/>
          </w:rPr>
          <w:t>10-K filed with the SEC on November 26, 2019, pursuant to the Exchange Act (file number 001-36223)).</w:t>
        </w:r>
      </w:hyperlink>
    </w:p>
    <w:p>
      <w:pPr>
        <w:spacing w:after="0" w:line="16" w:lineRule="exact"/>
        <w:rPr>
          <w:sz w:val="20"/>
          <w:szCs w:val="20"/>
          <w:color w:val="auto"/>
        </w:rPr>
      </w:pPr>
    </w:p>
    <w:p>
      <w:pPr>
        <w:ind w:left="1280" w:right="30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219">
        <w:r>
          <w:rPr>
            <w:rFonts w:ascii="Times New Roman" w:cs="Times New Roman" w:eastAsia="Times New Roman" w:hAnsi="Times New Roman"/>
            <w:sz w:val="18"/>
            <w:szCs w:val="18"/>
            <w:u w:val="single" w:color="auto"/>
            <w:color w:val="0000FF"/>
          </w:rPr>
          <w:t>10.65†</w:t>
        </w:r>
      </w:hyperlink>
      <w:r>
        <w:rPr>
          <w:rFonts w:ascii="Times New Roman" w:cs="Times New Roman" w:eastAsia="Times New Roman" w:hAnsi="Times New Roman"/>
          <w:sz w:val="18"/>
          <w:szCs w:val="18"/>
          <w:u w:val="single" w:color="auto"/>
          <w:color w:val="0000FF"/>
        </w:rPr>
        <w:tab/>
      </w:r>
      <w:hyperlink r:id="rId219">
        <w:r>
          <w:rPr>
            <w:rFonts w:ascii="Times New Roman" w:cs="Times New Roman" w:eastAsia="Times New Roman" w:hAnsi="Times New Roman"/>
            <w:sz w:val="18"/>
            <w:szCs w:val="18"/>
            <w:u w:val="single" w:color="auto"/>
            <w:color w:val="0000FF"/>
          </w:rPr>
          <w:t>Form of Performance Stock Unit Award (incorporated by reference to Exhibit 10.95 to Aramark’s Annual Report on Form 10-K filed</w:t>
        </w:r>
      </w:hyperlink>
      <w:r>
        <w:rPr>
          <w:rFonts w:ascii="Times New Roman" w:cs="Times New Roman" w:eastAsia="Times New Roman" w:hAnsi="Times New Roman"/>
          <w:sz w:val="18"/>
          <w:szCs w:val="18"/>
          <w:u w:val="single" w:color="auto"/>
          <w:color w:val="0000FF"/>
        </w:rPr>
        <w:t xml:space="preserve"> </w:t>
      </w:r>
      <w:hyperlink r:id="rId219">
        <w:r>
          <w:rPr>
            <w:rFonts w:ascii="Times New Roman" w:cs="Times New Roman" w:eastAsia="Times New Roman" w:hAnsi="Times New Roman"/>
            <w:sz w:val="18"/>
            <w:szCs w:val="18"/>
            <w:u w:val="single" w:color="auto"/>
            <w:color w:val="0000FF"/>
          </w:rPr>
          <w:t>with the SEC on November 26, 2019, pursuant to the Exchange Act (file number 001-36223)).</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31" w:lineRule="exact"/>
        <w:rPr>
          <w:rFonts w:ascii="Times New Roman" w:cs="Times New Roman" w:eastAsia="Times New Roman" w:hAnsi="Times New Roman"/>
          <w:sz w:val="18"/>
          <w:szCs w:val="18"/>
          <w:u w:val="single" w:color="auto"/>
          <w:color w:val="0000FF"/>
        </w:rPr>
      </w:pPr>
    </w:p>
    <w:p>
      <w:pPr>
        <w:jc w:val="center"/>
        <w:ind w:right="-59"/>
        <w:spacing w:after="0"/>
        <w:rPr>
          <w:sz w:val="20"/>
          <w:szCs w:val="20"/>
          <w:color w:val="auto"/>
        </w:rPr>
      </w:pPr>
      <w:r>
        <w:rPr>
          <w:rFonts w:ascii="Times New Roman" w:cs="Times New Roman" w:eastAsia="Times New Roman" w:hAnsi="Times New Roman"/>
          <w:sz w:val="18"/>
          <w:szCs w:val="18"/>
          <w:color w:val="auto"/>
        </w:rPr>
        <w:t>S-59</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75" w:right="3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40"/>
        <w:spacing w:after="0"/>
        <w:tabs>
          <w:tab w:leader="none" w:pos="1260" w:val="left"/>
        </w:tabs>
        <w:rPr>
          <w:rFonts w:ascii="Times New Roman" w:cs="Times New Roman" w:eastAsia="Times New Roman" w:hAnsi="Times New Roman"/>
          <w:sz w:val="17"/>
          <w:szCs w:val="17"/>
          <w:u w:val="single" w:color="auto"/>
          <w:color w:val="0000FF"/>
        </w:rPr>
      </w:pPr>
      <w:hyperlink r:id="rId221">
        <w:r>
          <w:rPr>
            <w:rFonts w:ascii="Times New Roman" w:cs="Times New Roman" w:eastAsia="Times New Roman" w:hAnsi="Times New Roman"/>
            <w:sz w:val="18"/>
            <w:szCs w:val="18"/>
            <w:u w:val="single" w:color="auto"/>
            <w:color w:val="0000FF"/>
          </w:rPr>
          <w:t>10.</w:t>
        </w:r>
      </w:hyperlink>
      <w:r>
        <w:rPr>
          <w:rFonts w:ascii="Times New Roman" w:cs="Times New Roman" w:eastAsia="Times New Roman" w:hAnsi="Times New Roman"/>
          <w:sz w:val="18"/>
          <w:szCs w:val="18"/>
          <w:u w:val="single" w:color="auto"/>
          <w:color w:val="0000FF"/>
        </w:rPr>
        <w:t>66†</w:t>
        <w:tab/>
      </w:r>
      <w:hyperlink r:id="rId221">
        <w:r>
          <w:rPr>
            <w:rFonts w:ascii="Times New Roman" w:cs="Times New Roman" w:eastAsia="Times New Roman" w:hAnsi="Times New Roman"/>
            <w:sz w:val="17"/>
            <w:szCs w:val="17"/>
            <w:u w:val="single" w:color="auto"/>
            <w:color w:val="0000FF"/>
          </w:rPr>
          <w:t>Form of Schedule I to Performance Stock Unit Award (incorporated by reference to Exhibit 10.96 to Aramark’s Annual Report on Form</w:t>
        </w:r>
      </w:hyperlink>
    </w:p>
    <w:p>
      <w:pPr>
        <w:ind w:left="1280"/>
        <w:spacing w:after="0"/>
        <w:rPr>
          <w:rFonts w:ascii="Times New Roman" w:cs="Times New Roman" w:eastAsia="Times New Roman" w:hAnsi="Times New Roman"/>
          <w:sz w:val="18"/>
          <w:szCs w:val="18"/>
          <w:u w:val="single" w:color="auto"/>
          <w:color w:val="0000FF"/>
        </w:rPr>
      </w:pPr>
      <w:hyperlink r:id="rId221">
        <w:r>
          <w:rPr>
            <w:rFonts w:ascii="Times New Roman" w:cs="Times New Roman" w:eastAsia="Times New Roman" w:hAnsi="Times New Roman"/>
            <w:sz w:val="18"/>
            <w:szCs w:val="18"/>
            <w:u w:val="single" w:color="auto"/>
            <w:color w:val="0000FF"/>
          </w:rPr>
          <w:t>10-K filed with the SEC on November 26, 2019, pursuant to the Exchange Act (file number 001-36223)).</w:t>
        </w:r>
      </w:hyperlink>
    </w:p>
    <w:p>
      <w:pPr>
        <w:spacing w:after="0" w:line="16" w:lineRule="exact"/>
        <w:rPr>
          <w:sz w:val="20"/>
          <w:szCs w:val="20"/>
          <w:color w:val="auto"/>
        </w:rPr>
      </w:pPr>
    </w:p>
    <w:p>
      <w:pPr>
        <w:ind w:left="1280" w:hanging="637"/>
        <w:spacing w:after="0" w:line="226" w:lineRule="auto"/>
        <w:tabs>
          <w:tab w:leader="none" w:pos="1260" w:val="left"/>
        </w:tabs>
        <w:rPr>
          <w:rFonts w:ascii="Times New Roman" w:cs="Times New Roman" w:eastAsia="Times New Roman" w:hAnsi="Times New Roman"/>
          <w:sz w:val="18"/>
          <w:szCs w:val="18"/>
          <w:u w:val="single" w:color="auto"/>
          <w:color w:val="0000FF"/>
        </w:rPr>
      </w:pPr>
      <w:hyperlink r:id="rId222">
        <w:r>
          <w:rPr>
            <w:rFonts w:ascii="Times New Roman" w:cs="Times New Roman" w:eastAsia="Times New Roman" w:hAnsi="Times New Roman"/>
            <w:sz w:val="18"/>
            <w:szCs w:val="18"/>
            <w:u w:val="single" w:color="auto"/>
            <w:color w:val="0000FF"/>
          </w:rPr>
          <w:t>10.67†</w:t>
        </w:r>
      </w:hyperlink>
      <w:r>
        <w:rPr>
          <w:rFonts w:ascii="Times New Roman" w:cs="Times New Roman" w:eastAsia="Times New Roman" w:hAnsi="Times New Roman"/>
          <w:sz w:val="18"/>
          <w:szCs w:val="18"/>
          <w:u w:val="single" w:color="auto"/>
          <w:color w:val="0000FF"/>
        </w:rPr>
        <w:tab/>
      </w:r>
      <w:hyperlink r:id="rId222">
        <w:r>
          <w:rPr>
            <w:rFonts w:ascii="Times New Roman" w:cs="Times New Roman" w:eastAsia="Times New Roman" w:hAnsi="Times New Roman"/>
            <w:sz w:val="18"/>
            <w:szCs w:val="18"/>
            <w:u w:val="single" w:color="auto"/>
            <w:color w:val="0000FF"/>
          </w:rPr>
          <w:t>Amended and Restated Form of Non-Qualified Stock Option Award dated July 16, 2020 between Aramark and John J. Zillmer</w:t>
        </w:r>
      </w:hyperlink>
      <w:r>
        <w:rPr>
          <w:rFonts w:ascii="Times New Roman" w:cs="Times New Roman" w:eastAsia="Times New Roman" w:hAnsi="Times New Roman"/>
          <w:sz w:val="18"/>
          <w:szCs w:val="18"/>
          <w:u w:val="single" w:color="auto"/>
          <w:color w:val="0000FF"/>
        </w:rPr>
        <w:t xml:space="preserve"> </w:t>
      </w:r>
      <w:hyperlink r:id="rId222">
        <w:r>
          <w:rPr>
            <w:rFonts w:ascii="Times New Roman" w:cs="Times New Roman" w:eastAsia="Times New Roman" w:hAnsi="Times New Roman"/>
            <w:sz w:val="18"/>
            <w:szCs w:val="18"/>
            <w:u w:val="single" w:color="auto"/>
            <w:color w:val="0000FF"/>
          </w:rPr>
          <w:t>(incorporated by reference to Exhibit 10.6 of Aramark’s Current Report on Form 8-K filed with the SEC on July 17, 2020, pursuant to the</w:t>
        </w:r>
      </w:hyperlink>
      <w:r>
        <w:rPr>
          <w:rFonts w:ascii="Times New Roman" w:cs="Times New Roman" w:eastAsia="Times New Roman" w:hAnsi="Times New Roman"/>
          <w:sz w:val="18"/>
          <w:szCs w:val="18"/>
          <w:u w:val="single" w:color="auto"/>
          <w:color w:val="0000FF"/>
        </w:rPr>
        <w:t xml:space="preserve"> </w:t>
      </w:r>
      <w:hyperlink r:id="rId222">
        <w:r>
          <w:rPr>
            <w:rFonts w:ascii="Times New Roman" w:cs="Times New Roman" w:eastAsia="Times New Roman" w:hAnsi="Times New Roman"/>
            <w:sz w:val="18"/>
            <w:szCs w:val="18"/>
            <w:u w:val="single" w:color="auto"/>
            <w:color w:val="0000FF"/>
          </w:rPr>
          <w:t>Exchange Act (file number 001-36223)).</w:t>
        </w:r>
      </w:hyperlink>
    </w:p>
    <w:p>
      <w:pPr>
        <w:spacing w:after="0" w:line="9" w:lineRule="exact"/>
        <w:rPr>
          <w:rFonts w:ascii="Times New Roman" w:cs="Times New Roman" w:eastAsia="Times New Roman" w:hAnsi="Times New Roman"/>
          <w:sz w:val="18"/>
          <w:szCs w:val="18"/>
          <w:u w:val="single" w:color="auto"/>
          <w:color w:val="0000FF"/>
        </w:rPr>
      </w:pPr>
    </w:p>
    <w:p>
      <w:pPr>
        <w:ind w:left="1280" w:hanging="637"/>
        <w:spacing w:after="0" w:line="226" w:lineRule="auto"/>
        <w:tabs>
          <w:tab w:leader="none" w:pos="1260" w:val="left"/>
        </w:tabs>
        <w:rPr>
          <w:rFonts w:ascii="Times New Roman" w:cs="Times New Roman" w:eastAsia="Times New Roman" w:hAnsi="Times New Roman"/>
          <w:sz w:val="18"/>
          <w:szCs w:val="18"/>
          <w:u w:val="single" w:color="auto"/>
          <w:color w:val="0000FF"/>
        </w:rPr>
      </w:pPr>
      <w:hyperlink r:id="rId223">
        <w:r>
          <w:rPr>
            <w:rFonts w:ascii="Times New Roman" w:cs="Times New Roman" w:eastAsia="Times New Roman" w:hAnsi="Times New Roman"/>
            <w:sz w:val="18"/>
            <w:szCs w:val="18"/>
            <w:u w:val="single" w:color="auto"/>
            <w:color w:val="0000FF"/>
          </w:rPr>
          <w:t>10.68†</w:t>
        </w:r>
      </w:hyperlink>
      <w:r>
        <w:rPr>
          <w:rFonts w:ascii="Times New Roman" w:cs="Times New Roman" w:eastAsia="Times New Roman" w:hAnsi="Times New Roman"/>
          <w:sz w:val="18"/>
          <w:szCs w:val="18"/>
          <w:u w:val="single" w:color="auto"/>
          <w:color w:val="0000FF"/>
        </w:rPr>
        <w:tab/>
      </w:r>
      <w:hyperlink r:id="rId223">
        <w:r>
          <w:rPr>
            <w:rFonts w:ascii="Times New Roman" w:cs="Times New Roman" w:eastAsia="Times New Roman" w:hAnsi="Times New Roman"/>
            <w:sz w:val="18"/>
            <w:szCs w:val="18"/>
            <w:u w:val="single" w:color="auto"/>
            <w:color w:val="0000FF"/>
          </w:rPr>
          <w:t>Amended and Restated Restricted Stock Unit Award (Time Vesting) dated July 16, 2020 between Aramark and John J. Zillmer</w:t>
        </w:r>
      </w:hyperlink>
      <w:r>
        <w:rPr>
          <w:rFonts w:ascii="Times New Roman" w:cs="Times New Roman" w:eastAsia="Times New Roman" w:hAnsi="Times New Roman"/>
          <w:sz w:val="18"/>
          <w:szCs w:val="18"/>
          <w:u w:val="single" w:color="auto"/>
          <w:color w:val="0000FF"/>
        </w:rPr>
        <w:t xml:space="preserve"> </w:t>
      </w:r>
      <w:hyperlink r:id="rId223">
        <w:r>
          <w:rPr>
            <w:rFonts w:ascii="Times New Roman" w:cs="Times New Roman" w:eastAsia="Times New Roman" w:hAnsi="Times New Roman"/>
            <w:sz w:val="18"/>
            <w:szCs w:val="18"/>
            <w:u w:val="single" w:color="auto"/>
            <w:color w:val="0000FF"/>
          </w:rPr>
          <w:t>(incorporated by reference to Exhibit 10.7 of Aramark’s Current Report on Form 8-K filed with the SEC on July 17, 2020, pursuant to the</w:t>
        </w:r>
      </w:hyperlink>
      <w:r>
        <w:rPr>
          <w:rFonts w:ascii="Times New Roman" w:cs="Times New Roman" w:eastAsia="Times New Roman" w:hAnsi="Times New Roman"/>
          <w:sz w:val="18"/>
          <w:szCs w:val="18"/>
          <w:u w:val="single" w:color="auto"/>
          <w:color w:val="0000FF"/>
        </w:rPr>
        <w:t xml:space="preserve"> </w:t>
      </w:r>
      <w:hyperlink r:id="rId223">
        <w:r>
          <w:rPr>
            <w:rFonts w:ascii="Times New Roman" w:cs="Times New Roman" w:eastAsia="Times New Roman" w:hAnsi="Times New Roman"/>
            <w:sz w:val="18"/>
            <w:szCs w:val="18"/>
            <w:u w:val="single" w:color="auto"/>
            <w:color w:val="0000FF"/>
          </w:rPr>
          <w:t>Exchange Act (file number 001-36223)).</w:t>
        </w:r>
      </w:hyperlink>
    </w:p>
    <w:p>
      <w:pPr>
        <w:spacing w:after="0" w:line="9" w:lineRule="exact"/>
        <w:rPr>
          <w:rFonts w:ascii="Times New Roman" w:cs="Times New Roman" w:eastAsia="Times New Roman" w:hAnsi="Times New Roman"/>
          <w:sz w:val="18"/>
          <w:szCs w:val="18"/>
          <w:u w:val="single" w:color="auto"/>
          <w:color w:val="0000FF"/>
        </w:rPr>
      </w:pPr>
    </w:p>
    <w:p>
      <w:pPr>
        <w:ind w:left="1280" w:right="80" w:hanging="637"/>
        <w:spacing w:after="0" w:line="226" w:lineRule="auto"/>
        <w:tabs>
          <w:tab w:leader="none" w:pos="1260" w:val="left"/>
        </w:tabs>
        <w:rPr>
          <w:rFonts w:ascii="Times New Roman" w:cs="Times New Roman" w:eastAsia="Times New Roman" w:hAnsi="Times New Roman"/>
          <w:sz w:val="18"/>
          <w:szCs w:val="18"/>
          <w:u w:val="single" w:color="auto"/>
          <w:color w:val="0000FF"/>
        </w:rPr>
      </w:pPr>
      <w:hyperlink r:id="rId224">
        <w:r>
          <w:rPr>
            <w:rFonts w:ascii="Times New Roman" w:cs="Times New Roman" w:eastAsia="Times New Roman" w:hAnsi="Times New Roman"/>
            <w:sz w:val="18"/>
            <w:szCs w:val="18"/>
            <w:u w:val="single" w:color="auto"/>
            <w:color w:val="0000FF"/>
          </w:rPr>
          <w:t>10.69†</w:t>
        </w:r>
      </w:hyperlink>
      <w:r>
        <w:rPr>
          <w:rFonts w:ascii="Times New Roman" w:cs="Times New Roman" w:eastAsia="Times New Roman" w:hAnsi="Times New Roman"/>
          <w:sz w:val="18"/>
          <w:szCs w:val="18"/>
          <w:u w:val="single" w:color="auto"/>
          <w:color w:val="0000FF"/>
        </w:rPr>
        <w:tab/>
      </w:r>
      <w:hyperlink r:id="rId224">
        <w:r>
          <w:rPr>
            <w:rFonts w:ascii="Times New Roman" w:cs="Times New Roman" w:eastAsia="Times New Roman" w:hAnsi="Times New Roman"/>
            <w:sz w:val="18"/>
            <w:szCs w:val="18"/>
            <w:u w:val="single" w:color="auto"/>
            <w:color w:val="0000FF"/>
          </w:rPr>
          <w:t>Amended and Restated Form of Performance Stock Unit Award dated July 16, 2020 between Aramark and John J. Zillmer (incorporated</w:t>
        </w:r>
      </w:hyperlink>
      <w:r>
        <w:rPr>
          <w:rFonts w:ascii="Times New Roman" w:cs="Times New Roman" w:eastAsia="Times New Roman" w:hAnsi="Times New Roman"/>
          <w:sz w:val="18"/>
          <w:szCs w:val="18"/>
          <w:u w:val="single" w:color="auto"/>
          <w:color w:val="0000FF"/>
        </w:rPr>
        <w:t xml:space="preserve"> </w:t>
      </w:r>
      <w:hyperlink r:id="rId224">
        <w:r>
          <w:rPr>
            <w:rFonts w:ascii="Times New Roman" w:cs="Times New Roman" w:eastAsia="Times New Roman" w:hAnsi="Times New Roman"/>
            <w:sz w:val="18"/>
            <w:szCs w:val="18"/>
            <w:u w:val="single" w:color="auto"/>
            <w:color w:val="0000FF"/>
          </w:rPr>
          <w:t>by reference to Exhibit 10.8 of Aramark’s Current Report on Form 8-K filed with the SEC on July 17, 2020, pursuant to the Exchange</w:t>
        </w:r>
      </w:hyperlink>
      <w:r>
        <w:rPr>
          <w:rFonts w:ascii="Times New Roman" w:cs="Times New Roman" w:eastAsia="Times New Roman" w:hAnsi="Times New Roman"/>
          <w:sz w:val="18"/>
          <w:szCs w:val="18"/>
          <w:u w:val="single" w:color="auto"/>
          <w:color w:val="0000FF"/>
        </w:rPr>
        <w:t xml:space="preserve"> </w:t>
      </w:r>
      <w:hyperlink r:id="rId224">
        <w:r>
          <w:rPr>
            <w:rFonts w:ascii="Times New Roman" w:cs="Times New Roman" w:eastAsia="Times New Roman" w:hAnsi="Times New Roman"/>
            <w:sz w:val="18"/>
            <w:szCs w:val="18"/>
            <w:u w:val="single" w:color="auto"/>
            <w:color w:val="0000FF"/>
          </w:rPr>
          <w:t>Act (file number 001-36223)).</w:t>
        </w:r>
      </w:hyperlink>
    </w:p>
    <w:p>
      <w:pPr>
        <w:spacing w:after="0" w:line="9" w:lineRule="exact"/>
        <w:rPr>
          <w:rFonts w:ascii="Times New Roman" w:cs="Times New Roman" w:eastAsia="Times New Roman" w:hAnsi="Times New Roman"/>
          <w:sz w:val="18"/>
          <w:szCs w:val="18"/>
          <w:u w:val="single" w:color="auto"/>
          <w:color w:val="0000FF"/>
        </w:rPr>
      </w:pPr>
    </w:p>
    <w:p>
      <w:pPr>
        <w:jc w:val="both"/>
        <w:ind w:left="1280" w:right="420" w:hanging="637"/>
        <w:spacing w:after="0" w:line="226" w:lineRule="auto"/>
        <w:tabs>
          <w:tab w:leader="none" w:pos="1260" w:val="left"/>
        </w:tabs>
        <w:rPr>
          <w:rFonts w:ascii="Times New Roman" w:cs="Times New Roman" w:eastAsia="Times New Roman" w:hAnsi="Times New Roman"/>
          <w:sz w:val="18"/>
          <w:szCs w:val="18"/>
          <w:u w:val="single" w:color="auto"/>
          <w:color w:val="0000FF"/>
        </w:rPr>
      </w:pPr>
      <w:hyperlink r:id="rId225">
        <w:r>
          <w:rPr>
            <w:rFonts w:ascii="Times New Roman" w:cs="Times New Roman" w:eastAsia="Times New Roman" w:hAnsi="Times New Roman"/>
            <w:sz w:val="18"/>
            <w:szCs w:val="18"/>
            <w:u w:val="single" w:color="auto"/>
            <w:color w:val="0000FF"/>
          </w:rPr>
          <w:t>10.70†</w:t>
        </w:r>
      </w:hyperlink>
      <w:r>
        <w:rPr>
          <w:rFonts w:ascii="Times New Roman" w:cs="Times New Roman" w:eastAsia="Times New Roman" w:hAnsi="Times New Roman"/>
          <w:sz w:val="18"/>
          <w:szCs w:val="18"/>
          <w:u w:val="single" w:color="auto"/>
          <w:color w:val="0000FF"/>
        </w:rPr>
        <w:tab/>
      </w:r>
      <w:hyperlink r:id="rId225">
        <w:r>
          <w:rPr>
            <w:rFonts w:ascii="Times New Roman" w:cs="Times New Roman" w:eastAsia="Times New Roman" w:hAnsi="Times New Roman"/>
            <w:sz w:val="18"/>
            <w:szCs w:val="18"/>
            <w:u w:val="single" w:color="auto"/>
            <w:color w:val="0000FF"/>
          </w:rPr>
          <w:t>Amended and Restated Form of Non-Qualified Stock Option Award dated September 4, 2020 between Aramark and John J. Zillmer</w:t>
        </w:r>
      </w:hyperlink>
      <w:r>
        <w:rPr>
          <w:rFonts w:ascii="Times New Roman" w:cs="Times New Roman" w:eastAsia="Times New Roman" w:hAnsi="Times New Roman"/>
          <w:sz w:val="18"/>
          <w:szCs w:val="18"/>
          <w:u w:val="single" w:color="auto"/>
          <w:color w:val="0000FF"/>
        </w:rPr>
        <w:t xml:space="preserve"> </w:t>
      </w:r>
      <w:hyperlink r:id="rId225">
        <w:r>
          <w:rPr>
            <w:rFonts w:ascii="Times New Roman" w:cs="Times New Roman" w:eastAsia="Times New Roman" w:hAnsi="Times New Roman"/>
            <w:sz w:val="18"/>
            <w:szCs w:val="18"/>
            <w:u w:val="single" w:color="auto"/>
            <w:color w:val="0000FF"/>
          </w:rPr>
          <w:t>(incorporated by reference to Exhibit 10.104 to Aramark’s Annual Report on Form 10-K filed with the SEC on November 24, 2020</w:t>
        </w:r>
      </w:hyperlink>
      <w:r>
        <w:rPr>
          <w:rFonts w:ascii="Times New Roman" w:cs="Times New Roman" w:eastAsia="Times New Roman" w:hAnsi="Times New Roman"/>
          <w:sz w:val="18"/>
          <w:szCs w:val="18"/>
          <w:u w:val="single" w:color="auto"/>
          <w:color w:val="0000FF"/>
        </w:rPr>
        <w:t xml:space="preserve"> </w:t>
      </w:r>
      <w:hyperlink r:id="rId225">
        <w:r>
          <w:rPr>
            <w:rFonts w:ascii="Times New Roman" w:cs="Times New Roman" w:eastAsia="Times New Roman" w:hAnsi="Times New Roman"/>
            <w:sz w:val="18"/>
            <w:szCs w:val="18"/>
            <w:u w:val="single" w:color="auto"/>
            <w:color w:val="0000FF"/>
          </w:rPr>
          <w:t>pursuant to the Exchange Act (file number 001-36223)).</w:t>
        </w:r>
      </w:hyperlink>
    </w:p>
    <w:p>
      <w:pPr>
        <w:spacing w:after="0" w:line="9" w:lineRule="exact"/>
        <w:rPr>
          <w:rFonts w:ascii="Times New Roman" w:cs="Times New Roman" w:eastAsia="Times New Roman" w:hAnsi="Times New Roman"/>
          <w:sz w:val="18"/>
          <w:szCs w:val="18"/>
          <w:u w:val="single" w:color="auto"/>
          <w:color w:val="0000FF"/>
        </w:rPr>
      </w:pPr>
    </w:p>
    <w:p>
      <w:pPr>
        <w:ind w:left="1280" w:right="30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226">
        <w:r>
          <w:rPr>
            <w:rFonts w:ascii="Times New Roman" w:cs="Times New Roman" w:eastAsia="Times New Roman" w:hAnsi="Times New Roman"/>
            <w:sz w:val="18"/>
            <w:szCs w:val="18"/>
            <w:u w:val="single" w:color="auto"/>
            <w:color w:val="0000FF"/>
          </w:rPr>
          <w:t>10.71†</w:t>
        </w:r>
      </w:hyperlink>
      <w:r>
        <w:rPr>
          <w:rFonts w:ascii="Times New Roman" w:cs="Times New Roman" w:eastAsia="Times New Roman" w:hAnsi="Times New Roman"/>
          <w:sz w:val="18"/>
          <w:szCs w:val="18"/>
          <w:u w:val="single" w:color="auto"/>
          <w:color w:val="0000FF"/>
        </w:rPr>
        <w:tab/>
      </w:r>
      <w:hyperlink r:id="rId226">
        <w:r>
          <w:rPr>
            <w:rFonts w:ascii="Times New Roman" w:cs="Times New Roman" w:eastAsia="Times New Roman" w:hAnsi="Times New Roman"/>
            <w:sz w:val="18"/>
            <w:szCs w:val="18"/>
            <w:u w:val="single" w:color="auto"/>
            <w:color w:val="0000FF"/>
          </w:rPr>
          <w:t>Form of Non-Qualified Stock Option Award (incorporated by reference to Exhibit 10.105 to Aramark’s Annual Report on Form 10-K</w:t>
        </w:r>
      </w:hyperlink>
      <w:r>
        <w:rPr>
          <w:rFonts w:ascii="Times New Roman" w:cs="Times New Roman" w:eastAsia="Times New Roman" w:hAnsi="Times New Roman"/>
          <w:sz w:val="18"/>
          <w:szCs w:val="18"/>
          <w:u w:val="single" w:color="auto"/>
          <w:color w:val="0000FF"/>
        </w:rPr>
        <w:t xml:space="preserve"> </w:t>
      </w:r>
      <w:hyperlink r:id="rId226">
        <w:r>
          <w:rPr>
            <w:rFonts w:ascii="Times New Roman" w:cs="Times New Roman" w:eastAsia="Times New Roman" w:hAnsi="Times New Roman"/>
            <w:sz w:val="18"/>
            <w:szCs w:val="18"/>
            <w:u w:val="single" w:color="auto"/>
            <w:color w:val="0000FF"/>
          </w:rPr>
          <w:t>filed with the SEC on November 24, 2020 pursuant to the Exchange Act (file number 001-36223)).</w:t>
        </w:r>
      </w:hyperlink>
    </w:p>
    <w:p>
      <w:pPr>
        <w:spacing w:after="0" w:line="10" w:lineRule="exact"/>
        <w:rPr>
          <w:rFonts w:ascii="Times New Roman" w:cs="Times New Roman" w:eastAsia="Times New Roman" w:hAnsi="Times New Roman"/>
          <w:sz w:val="18"/>
          <w:szCs w:val="18"/>
          <w:u w:val="single" w:color="auto"/>
          <w:color w:val="0000FF"/>
        </w:rPr>
      </w:pPr>
    </w:p>
    <w:p>
      <w:pPr>
        <w:jc w:val="both"/>
        <w:ind w:left="1280" w:right="420" w:hanging="637"/>
        <w:spacing w:after="0" w:line="226" w:lineRule="auto"/>
        <w:tabs>
          <w:tab w:leader="none" w:pos="1260" w:val="left"/>
        </w:tabs>
        <w:rPr>
          <w:rFonts w:ascii="Times New Roman" w:cs="Times New Roman" w:eastAsia="Times New Roman" w:hAnsi="Times New Roman"/>
          <w:sz w:val="18"/>
          <w:szCs w:val="18"/>
          <w:u w:val="single" w:color="auto"/>
          <w:color w:val="0000FF"/>
        </w:rPr>
      </w:pPr>
      <w:hyperlink r:id="rId227">
        <w:r>
          <w:rPr>
            <w:rFonts w:ascii="Times New Roman" w:cs="Times New Roman" w:eastAsia="Times New Roman" w:hAnsi="Times New Roman"/>
            <w:sz w:val="18"/>
            <w:szCs w:val="18"/>
            <w:u w:val="single" w:color="auto"/>
            <w:color w:val="0000FF"/>
          </w:rPr>
          <w:t>10.72†</w:t>
        </w:r>
      </w:hyperlink>
      <w:r>
        <w:rPr>
          <w:rFonts w:ascii="Times New Roman" w:cs="Times New Roman" w:eastAsia="Times New Roman" w:hAnsi="Times New Roman"/>
          <w:sz w:val="18"/>
          <w:szCs w:val="18"/>
          <w:u w:val="single" w:color="auto"/>
          <w:color w:val="0000FF"/>
        </w:rPr>
        <w:tab/>
      </w:r>
      <w:hyperlink r:id="rId227">
        <w:r>
          <w:rPr>
            <w:rFonts w:ascii="Times New Roman" w:cs="Times New Roman" w:eastAsia="Times New Roman" w:hAnsi="Times New Roman"/>
            <w:sz w:val="18"/>
            <w:szCs w:val="18"/>
            <w:u w:val="single" w:color="auto"/>
            <w:color w:val="0000FF"/>
          </w:rPr>
          <w:t>Amended and Restated Form of Non-Qualified Stock Option Award dated September 4, 2020 between Aramark and John J. Zillmer</w:t>
        </w:r>
      </w:hyperlink>
      <w:r>
        <w:rPr>
          <w:rFonts w:ascii="Times New Roman" w:cs="Times New Roman" w:eastAsia="Times New Roman" w:hAnsi="Times New Roman"/>
          <w:sz w:val="18"/>
          <w:szCs w:val="18"/>
          <w:u w:val="single" w:color="auto"/>
          <w:color w:val="0000FF"/>
        </w:rPr>
        <w:t xml:space="preserve"> </w:t>
      </w:r>
      <w:hyperlink r:id="rId227">
        <w:r>
          <w:rPr>
            <w:rFonts w:ascii="Times New Roman" w:cs="Times New Roman" w:eastAsia="Times New Roman" w:hAnsi="Times New Roman"/>
            <w:sz w:val="18"/>
            <w:szCs w:val="18"/>
            <w:u w:val="single" w:color="auto"/>
            <w:color w:val="0000FF"/>
          </w:rPr>
          <w:t>(incorporated by reference to Exhibit 10.106 to Aramark’s Annual Report on Form 10-K filed with the SEC on November 24, 2020</w:t>
        </w:r>
      </w:hyperlink>
      <w:r>
        <w:rPr>
          <w:rFonts w:ascii="Times New Roman" w:cs="Times New Roman" w:eastAsia="Times New Roman" w:hAnsi="Times New Roman"/>
          <w:sz w:val="18"/>
          <w:szCs w:val="18"/>
          <w:u w:val="single" w:color="auto"/>
          <w:color w:val="0000FF"/>
        </w:rPr>
        <w:t xml:space="preserve"> </w:t>
      </w:r>
      <w:hyperlink r:id="rId227">
        <w:r>
          <w:rPr>
            <w:rFonts w:ascii="Times New Roman" w:cs="Times New Roman" w:eastAsia="Times New Roman" w:hAnsi="Times New Roman"/>
            <w:sz w:val="18"/>
            <w:szCs w:val="18"/>
            <w:u w:val="single" w:color="auto"/>
            <w:color w:val="0000FF"/>
          </w:rPr>
          <w:t>pursuant to the Exchange Act (file number 001-36223)).</w:t>
        </w:r>
      </w:hyperlink>
    </w:p>
    <w:p>
      <w:pPr>
        <w:spacing w:after="0" w:line="9" w:lineRule="exact"/>
        <w:rPr>
          <w:rFonts w:ascii="Times New Roman" w:cs="Times New Roman" w:eastAsia="Times New Roman" w:hAnsi="Times New Roman"/>
          <w:sz w:val="18"/>
          <w:szCs w:val="18"/>
          <w:u w:val="single" w:color="auto"/>
          <w:color w:val="0000FF"/>
        </w:rPr>
      </w:pPr>
    </w:p>
    <w:p>
      <w:pPr>
        <w:jc w:val="both"/>
        <w:ind w:left="1280" w:right="420" w:hanging="637"/>
        <w:spacing w:after="0" w:line="226" w:lineRule="auto"/>
        <w:tabs>
          <w:tab w:leader="none" w:pos="1260" w:val="left"/>
        </w:tabs>
        <w:rPr>
          <w:rFonts w:ascii="Times New Roman" w:cs="Times New Roman" w:eastAsia="Times New Roman" w:hAnsi="Times New Roman"/>
          <w:sz w:val="18"/>
          <w:szCs w:val="18"/>
          <w:u w:val="single" w:color="auto"/>
          <w:color w:val="0000FF"/>
        </w:rPr>
      </w:pPr>
      <w:hyperlink r:id="rId228">
        <w:r>
          <w:rPr>
            <w:rFonts w:ascii="Times New Roman" w:cs="Times New Roman" w:eastAsia="Times New Roman" w:hAnsi="Times New Roman"/>
            <w:sz w:val="18"/>
            <w:szCs w:val="18"/>
            <w:u w:val="single" w:color="auto"/>
            <w:color w:val="0000FF"/>
          </w:rPr>
          <w:t>10.73†</w:t>
        </w:r>
      </w:hyperlink>
      <w:r>
        <w:rPr>
          <w:rFonts w:ascii="Times New Roman" w:cs="Times New Roman" w:eastAsia="Times New Roman" w:hAnsi="Times New Roman"/>
          <w:sz w:val="18"/>
          <w:szCs w:val="18"/>
          <w:u w:val="single" w:color="auto"/>
          <w:color w:val="0000FF"/>
        </w:rPr>
        <w:tab/>
      </w:r>
      <w:hyperlink r:id="rId228">
        <w:r>
          <w:rPr>
            <w:rFonts w:ascii="Times New Roman" w:cs="Times New Roman" w:eastAsia="Times New Roman" w:hAnsi="Times New Roman"/>
            <w:sz w:val="18"/>
            <w:szCs w:val="18"/>
            <w:u w:val="single" w:color="auto"/>
            <w:color w:val="0000FF"/>
          </w:rPr>
          <w:t>Amended and Restated Restricted Stock Unit Award (Time Vesting) dated September 4, 2020 between Aramark and John J. Zillmer</w:t>
        </w:r>
      </w:hyperlink>
      <w:r>
        <w:rPr>
          <w:rFonts w:ascii="Times New Roman" w:cs="Times New Roman" w:eastAsia="Times New Roman" w:hAnsi="Times New Roman"/>
          <w:sz w:val="18"/>
          <w:szCs w:val="18"/>
          <w:u w:val="single" w:color="auto"/>
          <w:color w:val="0000FF"/>
        </w:rPr>
        <w:t xml:space="preserve"> </w:t>
      </w:r>
      <w:hyperlink r:id="rId228">
        <w:r>
          <w:rPr>
            <w:rFonts w:ascii="Times New Roman" w:cs="Times New Roman" w:eastAsia="Times New Roman" w:hAnsi="Times New Roman"/>
            <w:sz w:val="18"/>
            <w:szCs w:val="18"/>
            <w:u w:val="single" w:color="auto"/>
            <w:color w:val="0000FF"/>
          </w:rPr>
          <w:t>(incorporated by reference to Exhibit 10.107 to Aramark’s Annual Report on Form 10-K filed with the SEC on November 24, 2020</w:t>
        </w:r>
      </w:hyperlink>
      <w:r>
        <w:rPr>
          <w:rFonts w:ascii="Times New Roman" w:cs="Times New Roman" w:eastAsia="Times New Roman" w:hAnsi="Times New Roman"/>
          <w:sz w:val="18"/>
          <w:szCs w:val="18"/>
          <w:u w:val="single" w:color="auto"/>
          <w:color w:val="0000FF"/>
        </w:rPr>
        <w:t xml:space="preserve"> </w:t>
      </w:r>
      <w:hyperlink r:id="rId228">
        <w:r>
          <w:rPr>
            <w:rFonts w:ascii="Times New Roman" w:cs="Times New Roman" w:eastAsia="Times New Roman" w:hAnsi="Times New Roman"/>
            <w:sz w:val="18"/>
            <w:szCs w:val="18"/>
            <w:u w:val="single" w:color="auto"/>
            <w:color w:val="0000FF"/>
          </w:rPr>
          <w:t>pursuant to the Exchange Act (file number 001-36223)).</w:t>
        </w:r>
      </w:hyperlink>
    </w:p>
    <w:p>
      <w:pPr>
        <w:spacing w:after="0" w:line="9" w:lineRule="exact"/>
        <w:rPr>
          <w:rFonts w:ascii="Times New Roman" w:cs="Times New Roman" w:eastAsia="Times New Roman" w:hAnsi="Times New Roman"/>
          <w:sz w:val="18"/>
          <w:szCs w:val="18"/>
          <w:u w:val="single" w:color="auto"/>
          <w:color w:val="0000FF"/>
        </w:rPr>
      </w:pPr>
    </w:p>
    <w:p>
      <w:pPr>
        <w:ind w:left="1280" w:right="30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229">
        <w:r>
          <w:rPr>
            <w:rFonts w:ascii="Times New Roman" w:cs="Times New Roman" w:eastAsia="Times New Roman" w:hAnsi="Times New Roman"/>
            <w:sz w:val="18"/>
            <w:szCs w:val="18"/>
            <w:u w:val="single" w:color="auto"/>
            <w:color w:val="0000FF"/>
          </w:rPr>
          <w:t>10.74†</w:t>
        </w:r>
      </w:hyperlink>
      <w:r>
        <w:rPr>
          <w:rFonts w:ascii="Times New Roman" w:cs="Times New Roman" w:eastAsia="Times New Roman" w:hAnsi="Times New Roman"/>
          <w:sz w:val="18"/>
          <w:szCs w:val="18"/>
          <w:u w:val="single" w:color="auto"/>
          <w:color w:val="0000FF"/>
        </w:rPr>
        <w:tab/>
      </w:r>
      <w:hyperlink r:id="rId229">
        <w:r>
          <w:rPr>
            <w:rFonts w:ascii="Times New Roman" w:cs="Times New Roman" w:eastAsia="Times New Roman" w:hAnsi="Times New Roman"/>
            <w:sz w:val="18"/>
            <w:szCs w:val="18"/>
            <w:u w:val="single" w:color="auto"/>
            <w:color w:val="0000FF"/>
          </w:rPr>
          <w:t>Form of Non-Qualified Stock Option Award (incorporated by reference to Exhibit 10.108 to Aramark’s Annual Report on Form 10-K</w:t>
        </w:r>
      </w:hyperlink>
      <w:r>
        <w:rPr>
          <w:rFonts w:ascii="Times New Roman" w:cs="Times New Roman" w:eastAsia="Times New Roman" w:hAnsi="Times New Roman"/>
          <w:sz w:val="18"/>
          <w:szCs w:val="18"/>
          <w:u w:val="single" w:color="auto"/>
          <w:color w:val="0000FF"/>
        </w:rPr>
        <w:t xml:space="preserve"> </w:t>
      </w:r>
      <w:hyperlink r:id="rId229">
        <w:r>
          <w:rPr>
            <w:rFonts w:ascii="Times New Roman" w:cs="Times New Roman" w:eastAsia="Times New Roman" w:hAnsi="Times New Roman"/>
            <w:sz w:val="18"/>
            <w:szCs w:val="18"/>
            <w:u w:val="single" w:color="auto"/>
            <w:color w:val="0000FF"/>
          </w:rPr>
          <w:t>filed with the SEC on November 24, 2020 pursuant to the Exchange Act (file number 001-36223)).</w:t>
        </w:r>
      </w:hyperlink>
    </w:p>
    <w:p>
      <w:pPr>
        <w:ind w:left="640"/>
        <w:spacing w:after="0"/>
        <w:tabs>
          <w:tab w:leader="none" w:pos="1260" w:val="left"/>
        </w:tabs>
        <w:rPr>
          <w:rFonts w:ascii="Times New Roman" w:cs="Times New Roman" w:eastAsia="Times New Roman" w:hAnsi="Times New Roman"/>
          <w:sz w:val="17"/>
          <w:szCs w:val="17"/>
          <w:u w:val="single" w:color="auto"/>
          <w:color w:val="0000FF"/>
        </w:rPr>
      </w:pPr>
      <w:hyperlink r:id="rId230">
        <w:r>
          <w:rPr>
            <w:rFonts w:ascii="Times New Roman" w:cs="Times New Roman" w:eastAsia="Times New Roman" w:hAnsi="Times New Roman"/>
            <w:sz w:val="18"/>
            <w:szCs w:val="18"/>
            <w:u w:val="single" w:color="auto"/>
            <w:color w:val="0000FF"/>
          </w:rPr>
          <w:t>10.</w:t>
        </w:r>
      </w:hyperlink>
      <w:r>
        <w:rPr>
          <w:rFonts w:ascii="Times New Roman" w:cs="Times New Roman" w:eastAsia="Times New Roman" w:hAnsi="Times New Roman"/>
          <w:sz w:val="18"/>
          <w:szCs w:val="18"/>
          <w:u w:val="single" w:color="auto"/>
          <w:color w:val="0000FF"/>
        </w:rPr>
        <w:t>75†</w:t>
        <w:tab/>
      </w:r>
      <w:hyperlink r:id="rId230">
        <w:r>
          <w:rPr>
            <w:rFonts w:ascii="Times New Roman" w:cs="Times New Roman" w:eastAsia="Times New Roman" w:hAnsi="Times New Roman"/>
            <w:sz w:val="17"/>
            <w:szCs w:val="17"/>
            <w:u w:val="single" w:color="auto"/>
            <w:color w:val="0000FF"/>
          </w:rPr>
          <w:t>Form of Restricted Stock Unit Award (Time Vesting) (incorporated by reference to Exhibit 10.109 to Aramark’s Annual Report on Form</w:t>
        </w:r>
      </w:hyperlink>
    </w:p>
    <w:p>
      <w:pPr>
        <w:ind w:left="1280"/>
        <w:spacing w:after="0"/>
        <w:rPr>
          <w:rFonts w:ascii="Times New Roman" w:cs="Times New Roman" w:eastAsia="Times New Roman" w:hAnsi="Times New Roman"/>
          <w:sz w:val="18"/>
          <w:szCs w:val="18"/>
          <w:u w:val="single" w:color="auto"/>
          <w:color w:val="0000FF"/>
        </w:rPr>
      </w:pPr>
      <w:hyperlink r:id="rId230">
        <w:r>
          <w:rPr>
            <w:rFonts w:ascii="Times New Roman" w:cs="Times New Roman" w:eastAsia="Times New Roman" w:hAnsi="Times New Roman"/>
            <w:sz w:val="18"/>
            <w:szCs w:val="18"/>
            <w:u w:val="single" w:color="auto"/>
            <w:color w:val="0000FF"/>
          </w:rPr>
          <w:t>10-K filed with the SEC on November 24, 2020 pursuant to the Exchange Act (file number 001-36223)).</w:t>
        </w:r>
      </w:hyperlink>
    </w:p>
    <w:p>
      <w:pPr>
        <w:spacing w:after="0" w:line="16" w:lineRule="exact"/>
        <w:rPr>
          <w:sz w:val="20"/>
          <w:szCs w:val="20"/>
          <w:color w:val="auto"/>
        </w:rPr>
      </w:pPr>
    </w:p>
    <w:p>
      <w:pPr>
        <w:ind w:left="1280" w:right="36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231">
        <w:r>
          <w:rPr>
            <w:rFonts w:ascii="Times New Roman" w:cs="Times New Roman" w:eastAsia="Times New Roman" w:hAnsi="Times New Roman"/>
            <w:sz w:val="18"/>
            <w:szCs w:val="18"/>
            <w:u w:val="single" w:color="auto"/>
            <w:color w:val="0000FF"/>
          </w:rPr>
          <w:t>10.76†</w:t>
        </w:r>
      </w:hyperlink>
      <w:r>
        <w:rPr>
          <w:rFonts w:ascii="Times New Roman" w:cs="Times New Roman" w:eastAsia="Times New Roman" w:hAnsi="Times New Roman"/>
          <w:sz w:val="18"/>
          <w:szCs w:val="18"/>
          <w:u w:val="single" w:color="auto"/>
          <w:color w:val="0000FF"/>
        </w:rPr>
        <w:tab/>
      </w:r>
      <w:hyperlink r:id="rId231">
        <w:r>
          <w:rPr>
            <w:rFonts w:ascii="Times New Roman" w:cs="Times New Roman" w:eastAsia="Times New Roman" w:hAnsi="Times New Roman"/>
            <w:sz w:val="18"/>
            <w:szCs w:val="18"/>
            <w:u w:val="single" w:color="auto"/>
            <w:color w:val="0000FF"/>
          </w:rPr>
          <w:t>Form of Schedule I to Performance Stock Unit Award (ELC Grant) (incorporated by reference to Exhibit 10.82 to Aramark's Annual</w:t>
        </w:r>
      </w:hyperlink>
      <w:r>
        <w:rPr>
          <w:rFonts w:ascii="Times New Roman" w:cs="Times New Roman" w:eastAsia="Times New Roman" w:hAnsi="Times New Roman"/>
          <w:sz w:val="18"/>
          <w:szCs w:val="18"/>
          <w:u w:val="single" w:color="auto"/>
          <w:color w:val="0000FF"/>
        </w:rPr>
        <w:t xml:space="preserve"> </w:t>
      </w:r>
      <w:hyperlink r:id="rId231">
        <w:r>
          <w:rPr>
            <w:rFonts w:ascii="Times New Roman" w:cs="Times New Roman" w:eastAsia="Times New Roman" w:hAnsi="Times New Roman"/>
            <w:sz w:val="18"/>
            <w:szCs w:val="18"/>
            <w:u w:val="single" w:color="auto"/>
            <w:color w:val="0000FF"/>
          </w:rPr>
          <w:t>Report on Form 10-K filed with the SEC on November 23, 2022 pursuant to the Exchange Act (file number 001-36223)).</w:t>
        </w:r>
      </w:hyperlink>
    </w:p>
    <w:p>
      <w:pPr>
        <w:spacing w:after="0" w:line="10" w:lineRule="exact"/>
        <w:rPr>
          <w:rFonts w:ascii="Times New Roman" w:cs="Times New Roman" w:eastAsia="Times New Roman" w:hAnsi="Times New Roman"/>
          <w:sz w:val="18"/>
          <w:szCs w:val="18"/>
          <w:u w:val="single" w:color="auto"/>
          <w:color w:val="0000FF"/>
        </w:rPr>
      </w:pPr>
    </w:p>
    <w:p>
      <w:pPr>
        <w:ind w:left="1280" w:right="40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232">
        <w:r>
          <w:rPr>
            <w:rFonts w:ascii="Times New Roman" w:cs="Times New Roman" w:eastAsia="Times New Roman" w:hAnsi="Times New Roman"/>
            <w:sz w:val="18"/>
            <w:szCs w:val="18"/>
            <w:u w:val="single" w:color="auto"/>
            <w:color w:val="0000FF"/>
          </w:rPr>
          <w:t>10.77†</w:t>
        </w:r>
      </w:hyperlink>
      <w:r>
        <w:rPr>
          <w:rFonts w:ascii="Times New Roman" w:cs="Times New Roman" w:eastAsia="Times New Roman" w:hAnsi="Times New Roman"/>
          <w:sz w:val="18"/>
          <w:szCs w:val="18"/>
          <w:u w:val="single" w:color="auto"/>
          <w:color w:val="0000FF"/>
        </w:rPr>
        <w:tab/>
      </w:r>
      <w:hyperlink r:id="rId232">
        <w:r>
          <w:rPr>
            <w:rFonts w:ascii="Times New Roman" w:cs="Times New Roman" w:eastAsia="Times New Roman" w:hAnsi="Times New Roman"/>
            <w:sz w:val="18"/>
            <w:szCs w:val="18"/>
            <w:u w:val="single" w:color="auto"/>
            <w:color w:val="0000FF"/>
          </w:rPr>
          <w:t>Form of Schedule I to Performance Stock Unit Award (ELT Grant) (incorporated by reference to Exhibit 10.83 to Aramark's Annual</w:t>
        </w:r>
      </w:hyperlink>
      <w:r>
        <w:rPr>
          <w:rFonts w:ascii="Times New Roman" w:cs="Times New Roman" w:eastAsia="Times New Roman" w:hAnsi="Times New Roman"/>
          <w:sz w:val="18"/>
          <w:szCs w:val="18"/>
          <w:u w:val="single" w:color="auto"/>
          <w:color w:val="0000FF"/>
        </w:rPr>
        <w:t xml:space="preserve"> </w:t>
      </w:r>
      <w:hyperlink r:id="rId232">
        <w:r>
          <w:rPr>
            <w:rFonts w:ascii="Times New Roman" w:cs="Times New Roman" w:eastAsia="Times New Roman" w:hAnsi="Times New Roman"/>
            <w:sz w:val="18"/>
            <w:szCs w:val="18"/>
            <w:u w:val="single" w:color="auto"/>
            <w:color w:val="0000FF"/>
          </w:rPr>
          <w:t>Report on Form 10-K filed with the SEC on November 23, 2022 pursuant to the Exchange Act (file number 001-36223)).</w:t>
        </w:r>
      </w:hyperlink>
    </w:p>
    <w:p>
      <w:pPr>
        <w:spacing w:after="0" w:line="10" w:lineRule="exact"/>
        <w:rPr>
          <w:rFonts w:ascii="Times New Roman" w:cs="Times New Roman" w:eastAsia="Times New Roman" w:hAnsi="Times New Roman"/>
          <w:sz w:val="18"/>
          <w:szCs w:val="18"/>
          <w:u w:val="single" w:color="auto"/>
          <w:color w:val="0000FF"/>
        </w:rPr>
      </w:pPr>
    </w:p>
    <w:p>
      <w:pPr>
        <w:ind w:left="1280" w:right="40" w:hanging="637"/>
        <w:spacing w:after="0" w:line="226" w:lineRule="auto"/>
        <w:tabs>
          <w:tab w:leader="none" w:pos="1260" w:val="left"/>
        </w:tabs>
        <w:rPr>
          <w:rFonts w:ascii="Times New Roman" w:cs="Times New Roman" w:eastAsia="Times New Roman" w:hAnsi="Times New Roman"/>
          <w:sz w:val="18"/>
          <w:szCs w:val="18"/>
          <w:u w:val="single" w:color="auto"/>
          <w:color w:val="0000FF"/>
        </w:rPr>
      </w:pPr>
      <w:hyperlink r:id="rId233">
        <w:r>
          <w:rPr>
            <w:rFonts w:ascii="Times New Roman" w:cs="Times New Roman" w:eastAsia="Times New Roman" w:hAnsi="Times New Roman"/>
            <w:sz w:val="18"/>
            <w:szCs w:val="18"/>
            <w:u w:val="single" w:color="auto"/>
            <w:color w:val="0000FF"/>
          </w:rPr>
          <w:t>10.78†</w:t>
        </w:r>
      </w:hyperlink>
      <w:r>
        <w:rPr>
          <w:rFonts w:ascii="Times New Roman" w:cs="Times New Roman" w:eastAsia="Times New Roman" w:hAnsi="Times New Roman"/>
          <w:sz w:val="18"/>
          <w:szCs w:val="18"/>
          <w:u w:val="single" w:color="auto"/>
          <w:color w:val="0000FF"/>
        </w:rPr>
        <w:tab/>
      </w:r>
      <w:hyperlink r:id="rId233">
        <w:r>
          <w:rPr>
            <w:rFonts w:ascii="Times New Roman" w:cs="Times New Roman" w:eastAsia="Times New Roman" w:hAnsi="Times New Roman"/>
            <w:sz w:val="18"/>
            <w:szCs w:val="18"/>
            <w:u w:val="single" w:color="auto"/>
            <w:color w:val="0000FF"/>
          </w:rPr>
          <w:t>Form of Deferred Stock Unit Award Agreement under the Fifth Amended and Restated Aramark 2007 Management Stock Incentive Plan</w:t>
        </w:r>
      </w:hyperlink>
      <w:r>
        <w:rPr>
          <w:rFonts w:ascii="Times New Roman" w:cs="Times New Roman" w:eastAsia="Times New Roman" w:hAnsi="Times New Roman"/>
          <w:sz w:val="18"/>
          <w:szCs w:val="18"/>
          <w:u w:val="single" w:color="auto"/>
          <w:color w:val="0000FF"/>
        </w:rPr>
        <w:t xml:space="preserve"> </w:t>
      </w:r>
      <w:hyperlink r:id="rId233">
        <w:r>
          <w:rPr>
            <w:rFonts w:ascii="Times New Roman" w:cs="Times New Roman" w:eastAsia="Times New Roman" w:hAnsi="Times New Roman"/>
            <w:sz w:val="18"/>
            <w:szCs w:val="18"/>
            <w:u w:val="single" w:color="auto"/>
            <w:color w:val="0000FF"/>
          </w:rPr>
          <w:t>(incorporated by reference to Exhibit 10.46 to Aramark’s Form S-1/A filed with the SEC on November 19, 2013 (file number 333-</w:t>
        </w:r>
      </w:hyperlink>
      <w:hyperlink r:id="rId233">
        <w:r>
          <w:rPr>
            <w:rFonts w:ascii="Times New Roman" w:cs="Times New Roman" w:eastAsia="Times New Roman" w:hAnsi="Times New Roman"/>
            <w:sz w:val="18"/>
            <w:szCs w:val="18"/>
            <w:u w:val="single" w:color="auto"/>
            <w:color w:val="0000FF"/>
          </w:rPr>
          <w:t>191057)).</w:t>
        </w:r>
      </w:hyperlink>
    </w:p>
    <w:p>
      <w:pPr>
        <w:spacing w:after="0" w:line="9" w:lineRule="exact"/>
        <w:rPr>
          <w:rFonts w:ascii="Times New Roman" w:cs="Times New Roman" w:eastAsia="Times New Roman" w:hAnsi="Times New Roman"/>
          <w:sz w:val="18"/>
          <w:szCs w:val="18"/>
          <w:u w:val="single" w:color="auto"/>
          <w:color w:val="0000FF"/>
        </w:rPr>
      </w:pPr>
    </w:p>
    <w:p>
      <w:pPr>
        <w:ind w:left="1280" w:right="62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234">
        <w:r>
          <w:rPr>
            <w:rFonts w:ascii="Times New Roman" w:cs="Times New Roman" w:eastAsia="Times New Roman" w:hAnsi="Times New Roman"/>
            <w:sz w:val="18"/>
            <w:szCs w:val="18"/>
            <w:u w:val="single" w:color="auto"/>
            <w:color w:val="0000FF"/>
          </w:rPr>
          <w:t>10.79†</w:t>
        </w:r>
      </w:hyperlink>
      <w:r>
        <w:rPr>
          <w:rFonts w:ascii="Times New Roman" w:cs="Times New Roman" w:eastAsia="Times New Roman" w:hAnsi="Times New Roman"/>
          <w:sz w:val="18"/>
          <w:szCs w:val="18"/>
          <w:u w:val="single" w:color="auto"/>
          <w:color w:val="0000FF"/>
        </w:rPr>
        <w:tab/>
      </w:r>
      <w:hyperlink r:id="rId234">
        <w:r>
          <w:rPr>
            <w:rFonts w:ascii="Times New Roman" w:cs="Times New Roman" w:eastAsia="Times New Roman" w:hAnsi="Times New Roman"/>
            <w:sz w:val="18"/>
            <w:szCs w:val="18"/>
            <w:u w:val="single" w:color="auto"/>
            <w:color w:val="0000FF"/>
          </w:rPr>
          <w:t>Form of Deferred Stock Unit Award under the Aramark 2013 Stock Incentive Plan (incorporated by reference to Exhibit 10.73 to</w:t>
        </w:r>
      </w:hyperlink>
      <w:r>
        <w:rPr>
          <w:rFonts w:ascii="Times New Roman" w:cs="Times New Roman" w:eastAsia="Times New Roman" w:hAnsi="Times New Roman"/>
          <w:sz w:val="18"/>
          <w:szCs w:val="18"/>
          <w:u w:val="single" w:color="auto"/>
          <w:color w:val="0000FF"/>
        </w:rPr>
        <w:t xml:space="preserve"> </w:t>
      </w:r>
      <w:hyperlink r:id="rId234">
        <w:r>
          <w:rPr>
            <w:rFonts w:ascii="Times New Roman" w:cs="Times New Roman" w:eastAsia="Times New Roman" w:hAnsi="Times New Roman"/>
            <w:sz w:val="18"/>
            <w:szCs w:val="18"/>
            <w:u w:val="single" w:color="auto"/>
            <w:color w:val="0000FF"/>
          </w:rPr>
          <w:t>Aramark’s Form S-1/A filed with the SEC on November 19, 2013 (file number 333-191057)).</w:t>
        </w:r>
      </w:hyperlink>
    </w:p>
    <w:p>
      <w:pPr>
        <w:spacing w:after="0" w:line="10" w:lineRule="exact"/>
        <w:rPr>
          <w:rFonts w:ascii="Times New Roman" w:cs="Times New Roman" w:eastAsia="Times New Roman" w:hAnsi="Times New Roman"/>
          <w:sz w:val="18"/>
          <w:szCs w:val="18"/>
          <w:u w:val="single" w:color="auto"/>
          <w:color w:val="0000FF"/>
        </w:rPr>
      </w:pPr>
    </w:p>
    <w:p>
      <w:pPr>
        <w:jc w:val="both"/>
        <w:ind w:left="1280" w:right="220" w:hanging="637"/>
        <w:spacing w:after="0" w:line="226" w:lineRule="auto"/>
        <w:tabs>
          <w:tab w:leader="none" w:pos="1260" w:val="left"/>
        </w:tabs>
        <w:rPr>
          <w:rFonts w:ascii="Times New Roman" w:cs="Times New Roman" w:eastAsia="Times New Roman" w:hAnsi="Times New Roman"/>
          <w:sz w:val="18"/>
          <w:szCs w:val="18"/>
          <w:u w:val="single" w:color="auto"/>
          <w:color w:val="0000FF"/>
        </w:rPr>
      </w:pPr>
      <w:hyperlink r:id="rId235">
        <w:r>
          <w:rPr>
            <w:rFonts w:ascii="Times New Roman" w:cs="Times New Roman" w:eastAsia="Times New Roman" w:hAnsi="Times New Roman"/>
            <w:sz w:val="18"/>
            <w:szCs w:val="18"/>
            <w:u w:val="single" w:color="auto"/>
            <w:color w:val="0000FF"/>
          </w:rPr>
          <w:t>10.80†</w:t>
        </w:r>
      </w:hyperlink>
      <w:r>
        <w:rPr>
          <w:rFonts w:ascii="Times New Roman" w:cs="Times New Roman" w:eastAsia="Times New Roman" w:hAnsi="Times New Roman"/>
          <w:sz w:val="18"/>
          <w:szCs w:val="18"/>
          <w:u w:val="single" w:color="auto"/>
          <w:color w:val="0000FF"/>
        </w:rPr>
        <w:tab/>
      </w:r>
      <w:hyperlink r:id="rId236">
        <w:r>
          <w:rPr>
            <w:rFonts w:ascii="Times New Roman" w:cs="Times New Roman" w:eastAsia="Times New Roman" w:hAnsi="Times New Roman"/>
            <w:sz w:val="18"/>
            <w:szCs w:val="18"/>
            <w:u w:val="single" w:color="auto"/>
            <w:color w:val="0000FF"/>
          </w:rPr>
          <w:t>Form of Deferred Stock Unit Award Agreement under the Aramark 2013 Stock Incentive Plan (Revised) (incorporated by reference to</w:t>
        </w:r>
      </w:hyperlink>
      <w:r>
        <w:rPr>
          <w:rFonts w:ascii="Times New Roman" w:cs="Times New Roman" w:eastAsia="Times New Roman" w:hAnsi="Times New Roman"/>
          <w:sz w:val="18"/>
          <w:szCs w:val="18"/>
          <w:u w:val="single" w:color="auto"/>
          <w:color w:val="0000FF"/>
        </w:rPr>
        <w:t xml:space="preserve"> </w:t>
      </w:r>
      <w:hyperlink r:id="rId236">
        <w:r>
          <w:rPr>
            <w:rFonts w:ascii="Times New Roman" w:cs="Times New Roman" w:eastAsia="Times New Roman" w:hAnsi="Times New Roman"/>
            <w:sz w:val="18"/>
            <w:szCs w:val="18"/>
            <w:u w:val="single" w:color="auto"/>
            <w:color w:val="0000FF"/>
          </w:rPr>
          <w:t>Exhibit 10.77 to Aramark’s Annual Report on Form 10-K filed with the SEC on December 3, 2014, pursuant to the Exchange Act (file</w:t>
        </w:r>
      </w:hyperlink>
      <w:r>
        <w:rPr>
          <w:rFonts w:ascii="Times New Roman" w:cs="Times New Roman" w:eastAsia="Times New Roman" w:hAnsi="Times New Roman"/>
          <w:sz w:val="18"/>
          <w:szCs w:val="18"/>
          <w:u w:val="single" w:color="auto"/>
          <w:color w:val="0000FF"/>
        </w:rPr>
        <w:t xml:space="preserve"> </w:t>
      </w:r>
      <w:hyperlink r:id="rId236">
        <w:r>
          <w:rPr>
            <w:rFonts w:ascii="Times New Roman" w:cs="Times New Roman" w:eastAsia="Times New Roman" w:hAnsi="Times New Roman"/>
            <w:sz w:val="18"/>
            <w:szCs w:val="18"/>
            <w:u w:val="single" w:color="auto"/>
            <w:color w:val="0000FF"/>
          </w:rPr>
          <w:t>number 001-36223)).</w:t>
        </w:r>
      </w:hyperlink>
    </w:p>
    <w:p>
      <w:pPr>
        <w:spacing w:after="0" w:line="9" w:lineRule="exact"/>
        <w:rPr>
          <w:rFonts w:ascii="Times New Roman" w:cs="Times New Roman" w:eastAsia="Times New Roman" w:hAnsi="Times New Roman"/>
          <w:sz w:val="18"/>
          <w:szCs w:val="18"/>
          <w:u w:val="single" w:color="auto"/>
          <w:color w:val="0000FF"/>
        </w:rPr>
      </w:pPr>
    </w:p>
    <w:p>
      <w:pPr>
        <w:ind w:left="1280" w:right="20" w:hanging="637"/>
        <w:spacing w:after="0" w:line="256" w:lineRule="auto"/>
        <w:tabs>
          <w:tab w:leader="none" w:pos="1260" w:val="left"/>
        </w:tabs>
        <w:rPr>
          <w:rFonts w:ascii="Times New Roman" w:cs="Times New Roman" w:eastAsia="Times New Roman" w:hAnsi="Times New Roman"/>
          <w:sz w:val="17"/>
          <w:szCs w:val="17"/>
          <w:u w:val="single" w:color="auto"/>
          <w:color w:val="0000FF"/>
        </w:rPr>
      </w:pPr>
      <w:hyperlink r:id="rId237">
        <w:r>
          <w:rPr>
            <w:rFonts w:ascii="Times New Roman" w:cs="Times New Roman" w:eastAsia="Times New Roman" w:hAnsi="Times New Roman"/>
            <w:sz w:val="18"/>
            <w:szCs w:val="18"/>
            <w:u w:val="single" w:color="auto"/>
            <w:color w:val="0000FF"/>
          </w:rPr>
          <w:t>10.81†</w:t>
        </w:r>
      </w:hyperlink>
      <w:r>
        <w:rPr>
          <w:rFonts w:ascii="Times New Roman" w:cs="Times New Roman" w:eastAsia="Times New Roman" w:hAnsi="Times New Roman"/>
          <w:sz w:val="18"/>
          <w:szCs w:val="18"/>
          <w:u w:val="single" w:color="auto"/>
          <w:color w:val="0000FF"/>
        </w:rPr>
        <w:tab/>
      </w:r>
      <w:hyperlink r:id="rId237">
        <w:r>
          <w:rPr>
            <w:rFonts w:ascii="Times New Roman" w:cs="Times New Roman" w:eastAsia="Times New Roman" w:hAnsi="Times New Roman"/>
            <w:sz w:val="17"/>
            <w:szCs w:val="17"/>
            <w:u w:val="single" w:color="auto"/>
            <w:color w:val="0000FF"/>
          </w:rPr>
          <w:t>Form of Deferred Stock Unit Agreement under the Aramark 2013 Stock Incentive Plan (incorporated by reference to Exhibit 10.4 to</w:t>
        </w:r>
      </w:hyperlink>
      <w:r>
        <w:rPr>
          <w:rFonts w:ascii="Times New Roman" w:cs="Times New Roman" w:eastAsia="Times New Roman" w:hAnsi="Times New Roman"/>
          <w:sz w:val="17"/>
          <w:szCs w:val="17"/>
          <w:u w:val="single" w:color="auto"/>
          <w:color w:val="0000FF"/>
        </w:rPr>
        <w:t xml:space="preserve"> </w:t>
      </w:r>
      <w:hyperlink r:id="rId237">
        <w:r>
          <w:rPr>
            <w:rFonts w:ascii="Times New Roman" w:cs="Times New Roman" w:eastAsia="Times New Roman" w:hAnsi="Times New Roman"/>
            <w:sz w:val="17"/>
            <w:szCs w:val="17"/>
            <w:u w:val="single" w:color="auto"/>
            <w:color w:val="0000FF"/>
          </w:rPr>
          <w:t>Aramark’s Quarterly Report on Form 10-Q filed with the SEC on May 13, 2015, pursuant to the Exchange Act (file number 001-36223)).</w:t>
        </w:r>
      </w:hyperlink>
    </w:p>
    <w:p>
      <w:pPr>
        <w:spacing w:after="0" w:line="1" w:lineRule="exact"/>
        <w:rPr>
          <w:rFonts w:ascii="Times New Roman" w:cs="Times New Roman" w:eastAsia="Times New Roman" w:hAnsi="Times New Roman"/>
          <w:sz w:val="18"/>
          <w:szCs w:val="18"/>
          <w:u w:val="single" w:color="auto"/>
          <w:color w:val="0000FF"/>
        </w:rPr>
      </w:pPr>
    </w:p>
    <w:p>
      <w:pPr>
        <w:ind w:left="1280" w:right="220" w:hanging="637"/>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238">
        <w:r>
          <w:rPr>
            <w:rFonts w:ascii="Times New Roman" w:cs="Times New Roman" w:eastAsia="Times New Roman" w:hAnsi="Times New Roman"/>
            <w:sz w:val="18"/>
            <w:szCs w:val="18"/>
            <w:u w:val="single" w:color="auto"/>
            <w:color w:val="0000FF"/>
          </w:rPr>
          <w:t>10.82†</w:t>
        </w:r>
      </w:hyperlink>
      <w:r>
        <w:rPr>
          <w:rFonts w:ascii="Times New Roman" w:cs="Times New Roman" w:eastAsia="Times New Roman" w:hAnsi="Times New Roman"/>
          <w:sz w:val="18"/>
          <w:szCs w:val="18"/>
          <w:u w:val="single" w:color="auto"/>
          <w:color w:val="0000FF"/>
        </w:rPr>
        <w:tab/>
      </w:r>
      <w:hyperlink r:id="rId238">
        <w:r>
          <w:rPr>
            <w:rFonts w:ascii="Times New Roman" w:cs="Times New Roman" w:eastAsia="Times New Roman" w:hAnsi="Times New Roman"/>
            <w:sz w:val="18"/>
            <w:szCs w:val="18"/>
            <w:u w:val="single" w:color="auto"/>
            <w:color w:val="0000FF"/>
          </w:rPr>
          <w:t>Form of Aircraft Timesharing Agreement (incorporated by reference to Exhibit 10.69 to Aramark’s Annual Report on Form 10-K filed</w:t>
        </w:r>
      </w:hyperlink>
      <w:r>
        <w:rPr>
          <w:rFonts w:ascii="Times New Roman" w:cs="Times New Roman" w:eastAsia="Times New Roman" w:hAnsi="Times New Roman"/>
          <w:sz w:val="18"/>
          <w:szCs w:val="18"/>
          <w:u w:val="single" w:color="auto"/>
          <w:color w:val="0000FF"/>
        </w:rPr>
        <w:t xml:space="preserve"> </w:t>
      </w:r>
      <w:hyperlink r:id="rId238">
        <w:r>
          <w:rPr>
            <w:rFonts w:ascii="Times New Roman" w:cs="Times New Roman" w:eastAsia="Times New Roman" w:hAnsi="Times New Roman"/>
            <w:sz w:val="18"/>
            <w:szCs w:val="18"/>
            <w:u w:val="single" w:color="auto"/>
            <w:color w:val="0000FF"/>
          </w:rPr>
          <w:t>with the SEC on December 1, 2015, pursuant to the Exchange Act (file number 001-36223)).</w:t>
        </w:r>
      </w:hyperlink>
    </w:p>
    <w:p>
      <w:pPr>
        <w:spacing w:after="0" w:line="10" w:lineRule="exact"/>
        <w:rPr>
          <w:rFonts w:ascii="Times New Roman" w:cs="Times New Roman" w:eastAsia="Times New Roman" w:hAnsi="Times New Roman"/>
          <w:sz w:val="18"/>
          <w:szCs w:val="18"/>
          <w:u w:val="single" w:color="auto"/>
          <w:color w:val="0000FF"/>
        </w:rPr>
      </w:pPr>
    </w:p>
    <w:p>
      <w:pPr>
        <w:ind w:left="1280" w:hanging="547"/>
        <w:spacing w:after="0" w:line="226" w:lineRule="auto"/>
        <w:tabs>
          <w:tab w:leader="none" w:pos="1260" w:val="left"/>
        </w:tabs>
        <w:rPr>
          <w:rFonts w:ascii="Times New Roman" w:cs="Times New Roman" w:eastAsia="Times New Roman" w:hAnsi="Times New Roman"/>
          <w:sz w:val="18"/>
          <w:szCs w:val="18"/>
          <w:u w:val="single" w:color="auto"/>
          <w:color w:val="0000FF"/>
        </w:rPr>
      </w:pPr>
      <w:hyperlink r:id="rId239">
        <w:r>
          <w:rPr>
            <w:rFonts w:ascii="Times New Roman" w:cs="Times New Roman" w:eastAsia="Times New Roman" w:hAnsi="Times New Roman"/>
            <w:sz w:val="18"/>
            <w:szCs w:val="18"/>
            <w:u w:val="single" w:color="auto"/>
            <w:color w:val="0000FF"/>
          </w:rPr>
          <w:t>10.83</w:t>
        </w:r>
      </w:hyperlink>
      <w:r>
        <w:rPr>
          <w:rFonts w:ascii="Times New Roman" w:cs="Times New Roman" w:eastAsia="Times New Roman" w:hAnsi="Times New Roman"/>
          <w:sz w:val="18"/>
          <w:szCs w:val="18"/>
          <w:u w:val="single" w:color="auto"/>
          <w:color w:val="0000FF"/>
        </w:rPr>
        <w:tab/>
      </w:r>
      <w:hyperlink r:id="rId239">
        <w:r>
          <w:rPr>
            <w:rFonts w:ascii="Times New Roman" w:cs="Times New Roman" w:eastAsia="Times New Roman" w:hAnsi="Times New Roman"/>
            <w:sz w:val="18"/>
            <w:szCs w:val="18"/>
            <w:u w:val="single" w:color="auto"/>
            <w:color w:val="0000FF"/>
          </w:rPr>
          <w:t>Stewardship Framework Agreement by and between Aramark and MR BridgeStone Advisor LLC, on behalf of itself and its affiliated</w:t>
        </w:r>
      </w:hyperlink>
      <w:r>
        <w:rPr>
          <w:rFonts w:ascii="Times New Roman" w:cs="Times New Roman" w:eastAsia="Times New Roman" w:hAnsi="Times New Roman"/>
          <w:sz w:val="18"/>
          <w:szCs w:val="18"/>
          <w:u w:val="single" w:color="auto"/>
          <w:color w:val="0000FF"/>
        </w:rPr>
        <w:t xml:space="preserve"> </w:t>
      </w:r>
      <w:hyperlink r:id="rId239">
        <w:r>
          <w:rPr>
            <w:rFonts w:ascii="Times New Roman" w:cs="Times New Roman" w:eastAsia="Times New Roman" w:hAnsi="Times New Roman"/>
            <w:sz w:val="18"/>
            <w:szCs w:val="18"/>
            <w:u w:val="single" w:color="auto"/>
            <w:color w:val="0000FF"/>
          </w:rPr>
          <w:t>funds, dated October 6, 2019. (incorporated by reference to Exhibit 10.1 to Aramark’s Current Report on Form 8-K filed with the SEC on</w:t>
        </w:r>
      </w:hyperlink>
      <w:r>
        <w:rPr>
          <w:rFonts w:ascii="Times New Roman" w:cs="Times New Roman" w:eastAsia="Times New Roman" w:hAnsi="Times New Roman"/>
          <w:sz w:val="18"/>
          <w:szCs w:val="18"/>
          <w:u w:val="single" w:color="auto"/>
          <w:color w:val="0000FF"/>
        </w:rPr>
        <w:t xml:space="preserve"> </w:t>
      </w:r>
      <w:hyperlink r:id="rId239">
        <w:r>
          <w:rPr>
            <w:rFonts w:ascii="Times New Roman" w:cs="Times New Roman" w:eastAsia="Times New Roman" w:hAnsi="Times New Roman"/>
            <w:sz w:val="18"/>
            <w:szCs w:val="18"/>
            <w:u w:val="single" w:color="auto"/>
            <w:color w:val="0000FF"/>
          </w:rPr>
          <w:t>October 7, 2019, pursuant to the Exchange Act (file number 001-36223)).</w:t>
        </w:r>
      </w:hyperlink>
    </w:p>
    <w:p>
      <w:pPr>
        <w:spacing w:after="0" w:line="9" w:lineRule="exact"/>
        <w:rPr>
          <w:rFonts w:ascii="Times New Roman" w:cs="Times New Roman" w:eastAsia="Times New Roman" w:hAnsi="Times New Roman"/>
          <w:sz w:val="18"/>
          <w:szCs w:val="18"/>
          <w:u w:val="single" w:color="auto"/>
          <w:color w:val="0000FF"/>
        </w:rPr>
      </w:pPr>
    </w:p>
    <w:p>
      <w:pPr>
        <w:ind w:left="1280" w:hanging="548"/>
        <w:spacing w:after="0" w:line="226" w:lineRule="auto"/>
        <w:tabs>
          <w:tab w:leader="none" w:pos="1260" w:val="left"/>
        </w:tabs>
        <w:rPr>
          <w:rFonts w:ascii="Times New Roman" w:cs="Times New Roman" w:eastAsia="Times New Roman" w:hAnsi="Times New Roman"/>
          <w:sz w:val="18"/>
          <w:szCs w:val="18"/>
          <w:u w:val="single" w:color="auto"/>
          <w:color w:val="0000FF"/>
        </w:rPr>
      </w:pPr>
      <w:hyperlink r:id="rId240">
        <w:r>
          <w:rPr>
            <w:rFonts w:ascii="Times New Roman" w:cs="Times New Roman" w:eastAsia="Times New Roman" w:hAnsi="Times New Roman"/>
            <w:sz w:val="18"/>
            <w:szCs w:val="18"/>
            <w:u w:val="single" w:color="auto"/>
            <w:color w:val="0000FF"/>
          </w:rPr>
          <w:t>10.84</w:t>
        </w:r>
      </w:hyperlink>
      <w:r>
        <w:rPr>
          <w:rFonts w:ascii="Times New Roman" w:cs="Times New Roman" w:eastAsia="Times New Roman" w:hAnsi="Times New Roman"/>
          <w:sz w:val="18"/>
          <w:szCs w:val="18"/>
          <w:u w:val="single" w:color="auto"/>
          <w:color w:val="0000FF"/>
        </w:rPr>
        <w:tab/>
      </w:r>
      <w:hyperlink r:id="rId240">
        <w:r>
          <w:rPr>
            <w:rFonts w:ascii="Times New Roman" w:cs="Times New Roman" w:eastAsia="Times New Roman" w:hAnsi="Times New Roman"/>
            <w:sz w:val="18"/>
            <w:szCs w:val="18"/>
            <w:u w:val="single" w:color="auto"/>
            <w:color w:val="0000FF"/>
          </w:rPr>
          <w:t>Letter Amendment to Stewardship Framework Agreement by and between Aramark and MR BridgeStone Advisor LLC, on behalf of</w:t>
        </w:r>
      </w:hyperlink>
      <w:r>
        <w:rPr>
          <w:rFonts w:ascii="Times New Roman" w:cs="Times New Roman" w:eastAsia="Times New Roman" w:hAnsi="Times New Roman"/>
          <w:sz w:val="18"/>
          <w:szCs w:val="18"/>
          <w:u w:val="single" w:color="auto"/>
          <w:color w:val="0000FF"/>
        </w:rPr>
        <w:t xml:space="preserve"> </w:t>
      </w:r>
      <w:hyperlink r:id="rId240">
        <w:r>
          <w:rPr>
            <w:rFonts w:ascii="Times New Roman" w:cs="Times New Roman" w:eastAsia="Times New Roman" w:hAnsi="Times New Roman"/>
            <w:sz w:val="18"/>
            <w:szCs w:val="18"/>
            <w:u w:val="single" w:color="auto"/>
            <w:color w:val="0000FF"/>
          </w:rPr>
          <w:t>itself and its affiliated funds, dated December 14, 2020 (incorporated by reference to Exhibit 10.3 to Aramark's Quarterly Report on Form</w:t>
        </w:r>
      </w:hyperlink>
      <w:r>
        <w:rPr>
          <w:rFonts w:ascii="Times New Roman" w:cs="Times New Roman" w:eastAsia="Times New Roman" w:hAnsi="Times New Roman"/>
          <w:sz w:val="18"/>
          <w:szCs w:val="18"/>
          <w:u w:val="single" w:color="auto"/>
          <w:color w:val="0000FF"/>
        </w:rPr>
        <w:t xml:space="preserve"> </w:t>
      </w:r>
      <w:hyperlink r:id="rId240">
        <w:r>
          <w:rPr>
            <w:rFonts w:ascii="Times New Roman" w:cs="Times New Roman" w:eastAsia="Times New Roman" w:hAnsi="Times New Roman"/>
            <w:sz w:val="18"/>
            <w:szCs w:val="18"/>
            <w:u w:val="single" w:color="auto"/>
            <w:color w:val="0000FF"/>
          </w:rPr>
          <w:t>10-Q filed with the SEC on February 9, 2021, pursuant to the Exchange Act (file number 001-36223)).</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30" w:lineRule="exact"/>
        <w:rPr>
          <w:rFonts w:ascii="Times New Roman" w:cs="Times New Roman" w:eastAsia="Times New Roman" w:hAnsi="Times New Roman"/>
          <w:sz w:val="18"/>
          <w:szCs w:val="18"/>
          <w:u w:val="single" w:color="auto"/>
          <w:color w:val="0000FF"/>
        </w:rPr>
      </w:pPr>
    </w:p>
    <w:p>
      <w:pPr>
        <w:jc w:val="center"/>
        <w:ind w:right="-39"/>
        <w:spacing w:after="0"/>
        <w:rPr>
          <w:sz w:val="20"/>
          <w:szCs w:val="20"/>
          <w:color w:val="auto"/>
        </w:rPr>
      </w:pPr>
      <w:r>
        <w:rPr>
          <w:rFonts w:ascii="Times New Roman" w:cs="Times New Roman" w:eastAsia="Times New Roman" w:hAnsi="Times New Roman"/>
          <w:sz w:val="18"/>
          <w:szCs w:val="18"/>
          <w:color w:val="auto"/>
        </w:rPr>
        <w:t>S-60</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80" w:hanging="548"/>
        <w:spacing w:after="0" w:line="226" w:lineRule="auto"/>
        <w:tabs>
          <w:tab w:leader="none" w:pos="1260" w:val="left"/>
        </w:tabs>
        <w:rPr>
          <w:rFonts w:ascii="Times New Roman" w:cs="Times New Roman" w:eastAsia="Times New Roman" w:hAnsi="Times New Roman"/>
          <w:sz w:val="18"/>
          <w:szCs w:val="18"/>
          <w:u w:val="single" w:color="auto"/>
          <w:color w:val="0000FF"/>
        </w:rPr>
      </w:pPr>
      <w:hyperlink r:id="rId242">
        <w:r>
          <w:rPr>
            <w:rFonts w:ascii="Times New Roman" w:cs="Times New Roman" w:eastAsia="Times New Roman" w:hAnsi="Times New Roman"/>
            <w:sz w:val="18"/>
            <w:szCs w:val="18"/>
            <w:u w:val="single" w:color="auto"/>
            <w:color w:val="0000FF"/>
          </w:rPr>
          <w:t>10.85</w:t>
        </w:r>
      </w:hyperlink>
      <w:r>
        <w:rPr>
          <w:rFonts w:ascii="Times New Roman" w:cs="Times New Roman" w:eastAsia="Times New Roman" w:hAnsi="Times New Roman"/>
          <w:sz w:val="18"/>
          <w:szCs w:val="18"/>
          <w:u w:val="single" w:color="auto"/>
          <w:color w:val="0000FF"/>
        </w:rPr>
        <w:tab/>
      </w:r>
      <w:hyperlink r:id="rId242">
        <w:r>
          <w:rPr>
            <w:rFonts w:ascii="Times New Roman" w:cs="Times New Roman" w:eastAsia="Times New Roman" w:hAnsi="Times New Roman"/>
            <w:sz w:val="18"/>
            <w:szCs w:val="18"/>
            <w:u w:val="single" w:color="auto"/>
            <w:color w:val="0000FF"/>
          </w:rPr>
          <w:t>Registration Rights Agreement, dated as of December 14, 2020, by and between MR BridgeStone Advisor LLC, on behalf of itself and</w:t>
        </w:r>
      </w:hyperlink>
      <w:r>
        <w:rPr>
          <w:rFonts w:ascii="Times New Roman" w:cs="Times New Roman" w:eastAsia="Times New Roman" w:hAnsi="Times New Roman"/>
          <w:sz w:val="18"/>
          <w:szCs w:val="18"/>
          <w:u w:val="single" w:color="auto"/>
          <w:color w:val="0000FF"/>
        </w:rPr>
        <w:t xml:space="preserve"> </w:t>
      </w:r>
      <w:hyperlink r:id="rId242">
        <w:r>
          <w:rPr>
            <w:rFonts w:ascii="Times New Roman" w:cs="Times New Roman" w:eastAsia="Times New Roman" w:hAnsi="Times New Roman"/>
            <w:sz w:val="18"/>
            <w:szCs w:val="18"/>
            <w:u w:val="single" w:color="auto"/>
            <w:color w:val="0000FF"/>
          </w:rPr>
          <w:t>its affiliated funds, and Aramark (incorporated by reference to Exhibit 10.1 to Aramark’s Current Report on Form 8-K filed with the SEC</w:t>
        </w:r>
      </w:hyperlink>
      <w:r>
        <w:rPr>
          <w:rFonts w:ascii="Times New Roman" w:cs="Times New Roman" w:eastAsia="Times New Roman" w:hAnsi="Times New Roman"/>
          <w:sz w:val="18"/>
          <w:szCs w:val="18"/>
          <w:u w:val="single" w:color="auto"/>
          <w:color w:val="0000FF"/>
        </w:rPr>
        <w:t xml:space="preserve"> </w:t>
      </w:r>
      <w:hyperlink r:id="rId242">
        <w:r>
          <w:rPr>
            <w:rFonts w:ascii="Times New Roman" w:cs="Times New Roman" w:eastAsia="Times New Roman" w:hAnsi="Times New Roman"/>
            <w:sz w:val="18"/>
            <w:szCs w:val="18"/>
            <w:u w:val="single" w:color="auto"/>
            <w:color w:val="0000FF"/>
          </w:rPr>
          <w:t>on December 16, 2020, pursuant to the Exchange Act (file number 001-36223)).</w:t>
        </w:r>
      </w:hyperlink>
    </w:p>
    <w:p>
      <w:pPr>
        <w:spacing w:after="0" w:line="9" w:lineRule="exact"/>
        <w:rPr>
          <w:rFonts w:ascii="Times New Roman" w:cs="Times New Roman" w:eastAsia="Times New Roman" w:hAnsi="Times New Roman"/>
          <w:sz w:val="18"/>
          <w:szCs w:val="18"/>
          <w:u w:val="single" w:color="auto"/>
          <w:color w:val="0000FF"/>
        </w:rPr>
      </w:pPr>
    </w:p>
    <w:p>
      <w:pPr>
        <w:ind w:left="1280" w:right="240" w:hanging="548"/>
        <w:spacing w:after="0" w:line="237" w:lineRule="auto"/>
        <w:tabs>
          <w:tab w:leader="none" w:pos="1260" w:val="left"/>
        </w:tabs>
        <w:rPr>
          <w:rFonts w:ascii="Times New Roman" w:cs="Times New Roman" w:eastAsia="Times New Roman" w:hAnsi="Times New Roman"/>
          <w:sz w:val="18"/>
          <w:szCs w:val="18"/>
          <w:u w:val="single" w:color="auto"/>
          <w:color w:val="0000FF"/>
        </w:rPr>
      </w:pPr>
      <w:hyperlink r:id="rId243">
        <w:r>
          <w:rPr>
            <w:rFonts w:ascii="Times New Roman" w:cs="Times New Roman" w:eastAsia="Times New Roman" w:hAnsi="Times New Roman"/>
            <w:sz w:val="18"/>
            <w:szCs w:val="18"/>
            <w:u w:val="single" w:color="auto"/>
            <w:color w:val="0000FF"/>
          </w:rPr>
          <w:t>10.86</w:t>
        </w:r>
      </w:hyperlink>
      <w:r>
        <w:rPr>
          <w:rFonts w:ascii="Times New Roman" w:cs="Times New Roman" w:eastAsia="Times New Roman" w:hAnsi="Times New Roman"/>
          <w:sz w:val="18"/>
          <w:szCs w:val="18"/>
          <w:u w:val="single" w:color="auto"/>
          <w:color w:val="0000FF"/>
        </w:rPr>
        <w:tab/>
      </w:r>
      <w:hyperlink r:id="rId243">
        <w:r>
          <w:rPr>
            <w:rFonts w:ascii="Times New Roman" w:cs="Times New Roman" w:eastAsia="Times New Roman" w:hAnsi="Times New Roman"/>
            <w:sz w:val="18"/>
            <w:szCs w:val="18"/>
            <w:u w:val="single" w:color="auto"/>
            <w:color w:val="0000FF"/>
          </w:rPr>
          <w:t>Aramark 2021 Employee Stock Purchase Plan (incorporated by reference to Appendix B to the Company's Proxy Statement filed with</w:t>
        </w:r>
      </w:hyperlink>
      <w:r>
        <w:rPr>
          <w:rFonts w:ascii="Times New Roman" w:cs="Times New Roman" w:eastAsia="Times New Roman" w:hAnsi="Times New Roman"/>
          <w:sz w:val="18"/>
          <w:szCs w:val="18"/>
          <w:u w:val="single" w:color="auto"/>
          <w:color w:val="0000FF"/>
        </w:rPr>
        <w:t xml:space="preserve"> </w:t>
      </w:r>
      <w:hyperlink r:id="rId243">
        <w:r>
          <w:rPr>
            <w:rFonts w:ascii="Times New Roman" w:cs="Times New Roman" w:eastAsia="Times New Roman" w:hAnsi="Times New Roman"/>
            <w:sz w:val="18"/>
            <w:szCs w:val="18"/>
            <w:u w:val="single" w:color="auto"/>
            <w:color w:val="0000FF"/>
          </w:rPr>
          <w:t>the SEC on December 23, 2020 (file number 001-36223)).</w:t>
        </w:r>
      </w:hyperlink>
    </w:p>
    <w:p>
      <w:pPr>
        <w:spacing w:after="0" w:line="10" w:lineRule="exact"/>
        <w:rPr>
          <w:rFonts w:ascii="Times New Roman" w:cs="Times New Roman" w:eastAsia="Times New Roman" w:hAnsi="Times New Roman"/>
          <w:sz w:val="18"/>
          <w:szCs w:val="18"/>
          <w:u w:val="single" w:color="auto"/>
          <w:color w:val="0000FF"/>
        </w:rPr>
      </w:pPr>
    </w:p>
    <w:p>
      <w:pPr>
        <w:ind w:left="560"/>
        <w:spacing w:after="0"/>
        <w:tabs>
          <w:tab w:leader="none" w:pos="1260" w:val="left"/>
        </w:tabs>
        <w:rPr>
          <w:sz w:val="20"/>
          <w:szCs w:val="20"/>
          <w:color w:val="auto"/>
        </w:rPr>
      </w:pPr>
      <w:r>
        <w:rPr>
          <w:rFonts w:ascii="Times New Roman" w:cs="Times New Roman" w:eastAsia="Times New Roman" w:hAnsi="Times New Roman"/>
          <w:sz w:val="18"/>
          <w:szCs w:val="18"/>
          <w:u w:val="single" w:color="auto"/>
          <w:color w:val="0000FF"/>
        </w:rPr>
        <w:t>10.87*†</w:t>
      </w:r>
      <w:r>
        <w:rPr>
          <w:sz w:val="20"/>
          <w:szCs w:val="20"/>
          <w:color w:val="auto"/>
        </w:rPr>
        <w:tab/>
      </w:r>
      <w:r>
        <w:rPr>
          <w:rFonts w:ascii="Times New Roman" w:cs="Times New Roman" w:eastAsia="Times New Roman" w:hAnsi="Times New Roman"/>
          <w:sz w:val="17"/>
          <w:szCs w:val="17"/>
          <w:u w:val="single" w:color="auto"/>
          <w:color w:val="0000FF"/>
        </w:rPr>
        <w:t>Amendment Number One to the Aramark 2021 Employee Stock Purchase Plan effective November 7th, 2022</w:t>
      </w:r>
    </w:p>
    <w:p>
      <w:pPr>
        <w:spacing w:after="0" w:line="27" w:lineRule="exact"/>
        <w:rPr>
          <w:rFonts w:ascii="Times New Roman" w:cs="Times New Roman" w:eastAsia="Times New Roman" w:hAnsi="Times New Roman"/>
          <w:sz w:val="18"/>
          <w:szCs w:val="18"/>
          <w:u w:val="single" w:color="auto"/>
          <w:color w:val="0000FF"/>
        </w:rPr>
      </w:pPr>
    </w:p>
    <w:p>
      <w:pPr>
        <w:ind w:left="560"/>
        <w:spacing w:after="0"/>
        <w:tabs>
          <w:tab w:leader="none" w:pos="1260" w:val="left"/>
        </w:tabs>
        <w:rPr>
          <w:sz w:val="20"/>
          <w:szCs w:val="20"/>
          <w:color w:val="auto"/>
        </w:rPr>
      </w:pPr>
      <w:r>
        <w:rPr>
          <w:rFonts w:ascii="Times New Roman" w:cs="Times New Roman" w:eastAsia="Times New Roman" w:hAnsi="Times New Roman"/>
          <w:sz w:val="18"/>
          <w:szCs w:val="18"/>
          <w:u w:val="single" w:color="auto"/>
          <w:color w:val="0000FF"/>
        </w:rPr>
        <w:t>10.88*†</w:t>
      </w:r>
      <w:r>
        <w:rPr>
          <w:sz w:val="20"/>
          <w:szCs w:val="20"/>
          <w:color w:val="auto"/>
        </w:rPr>
        <w:tab/>
      </w:r>
      <w:r>
        <w:rPr>
          <w:rFonts w:ascii="Times New Roman" w:cs="Times New Roman" w:eastAsia="Times New Roman" w:hAnsi="Times New Roman"/>
          <w:sz w:val="17"/>
          <w:szCs w:val="17"/>
          <w:u w:val="single" w:color="auto"/>
          <w:color w:val="0000FF"/>
        </w:rPr>
        <w:t>Form of ELT Stock Option Grant Agreement</w:t>
      </w:r>
    </w:p>
    <w:p>
      <w:pPr>
        <w:spacing w:after="0" w:line="23" w:lineRule="exact"/>
        <w:rPr>
          <w:rFonts w:ascii="Times New Roman" w:cs="Times New Roman" w:eastAsia="Times New Roman" w:hAnsi="Times New Roman"/>
          <w:sz w:val="18"/>
          <w:szCs w:val="18"/>
          <w:u w:val="single" w:color="auto"/>
          <w:color w:val="0000FF"/>
        </w:rPr>
      </w:pPr>
    </w:p>
    <w:p>
      <w:pPr>
        <w:ind w:left="560"/>
        <w:spacing w:after="0"/>
        <w:tabs>
          <w:tab w:leader="none" w:pos="1260" w:val="left"/>
        </w:tabs>
        <w:rPr>
          <w:sz w:val="20"/>
          <w:szCs w:val="20"/>
          <w:color w:val="auto"/>
        </w:rPr>
      </w:pPr>
      <w:r>
        <w:rPr>
          <w:rFonts w:ascii="Times New Roman" w:cs="Times New Roman" w:eastAsia="Times New Roman" w:hAnsi="Times New Roman"/>
          <w:sz w:val="18"/>
          <w:szCs w:val="18"/>
          <w:u w:val="single" w:color="auto"/>
          <w:color w:val="0000FF"/>
        </w:rPr>
        <w:t>10.89*†</w:t>
      </w:r>
      <w:r>
        <w:rPr>
          <w:sz w:val="20"/>
          <w:szCs w:val="20"/>
          <w:color w:val="auto"/>
        </w:rPr>
        <w:tab/>
      </w:r>
      <w:r>
        <w:rPr>
          <w:rFonts w:ascii="Times New Roman" w:cs="Times New Roman" w:eastAsia="Times New Roman" w:hAnsi="Times New Roman"/>
          <w:sz w:val="17"/>
          <w:szCs w:val="17"/>
          <w:u w:val="single" w:color="auto"/>
          <w:color w:val="0000FF"/>
        </w:rPr>
        <w:t>Form of ELT Restricted Stock Unit Grant Agreement</w:t>
      </w:r>
    </w:p>
    <w:p>
      <w:pPr>
        <w:spacing w:after="0" w:line="23" w:lineRule="exact"/>
        <w:rPr>
          <w:rFonts w:ascii="Times New Roman" w:cs="Times New Roman" w:eastAsia="Times New Roman" w:hAnsi="Times New Roman"/>
          <w:sz w:val="18"/>
          <w:szCs w:val="18"/>
          <w:u w:val="single" w:color="auto"/>
          <w:color w:val="0000FF"/>
        </w:rPr>
      </w:pPr>
    </w:p>
    <w:p>
      <w:pPr>
        <w:ind w:left="560"/>
        <w:spacing w:after="0"/>
        <w:tabs>
          <w:tab w:leader="none" w:pos="1260" w:val="left"/>
        </w:tabs>
        <w:rPr>
          <w:sz w:val="20"/>
          <w:szCs w:val="20"/>
          <w:color w:val="auto"/>
        </w:rPr>
      </w:pPr>
      <w:r>
        <w:rPr>
          <w:rFonts w:ascii="Times New Roman" w:cs="Times New Roman" w:eastAsia="Times New Roman" w:hAnsi="Times New Roman"/>
          <w:sz w:val="18"/>
          <w:szCs w:val="18"/>
          <w:u w:val="single" w:color="auto"/>
          <w:color w:val="0000FF"/>
        </w:rPr>
        <w:t>10.90*†</w:t>
      </w:r>
      <w:r>
        <w:rPr>
          <w:sz w:val="20"/>
          <w:szCs w:val="20"/>
          <w:color w:val="auto"/>
        </w:rPr>
        <w:tab/>
      </w:r>
      <w:r>
        <w:rPr>
          <w:rFonts w:ascii="Times New Roman" w:cs="Times New Roman" w:eastAsia="Times New Roman" w:hAnsi="Times New Roman"/>
          <w:sz w:val="17"/>
          <w:szCs w:val="17"/>
          <w:u w:val="single" w:color="auto"/>
          <w:color w:val="0000FF"/>
        </w:rPr>
        <w:t>Form of ELT Performance Stock Unit Grant Agreement</w:t>
      </w:r>
    </w:p>
    <w:p>
      <w:pPr>
        <w:spacing w:after="0" w:line="23" w:lineRule="exact"/>
        <w:rPr>
          <w:rFonts w:ascii="Times New Roman" w:cs="Times New Roman" w:eastAsia="Times New Roman" w:hAnsi="Times New Roman"/>
          <w:sz w:val="18"/>
          <w:szCs w:val="18"/>
          <w:u w:val="single" w:color="auto"/>
          <w:color w:val="0000FF"/>
        </w:rPr>
      </w:pPr>
    </w:p>
    <w:p>
      <w:pPr>
        <w:ind w:left="560"/>
        <w:spacing w:after="0"/>
        <w:tabs>
          <w:tab w:leader="none" w:pos="1260" w:val="left"/>
        </w:tabs>
        <w:rPr>
          <w:sz w:val="20"/>
          <w:szCs w:val="20"/>
          <w:color w:val="auto"/>
        </w:rPr>
      </w:pPr>
      <w:r>
        <w:rPr>
          <w:rFonts w:ascii="Times New Roman" w:cs="Times New Roman" w:eastAsia="Times New Roman" w:hAnsi="Times New Roman"/>
          <w:sz w:val="18"/>
          <w:szCs w:val="18"/>
          <w:u w:val="single" w:color="auto"/>
          <w:color w:val="0000FF"/>
        </w:rPr>
        <w:t>10.91*†</w:t>
        <w:tab/>
        <w:t>Form of CEO Performance Stock Unit Grant Agreement</w:t>
      </w:r>
    </w:p>
    <w:p>
      <w:pPr>
        <w:spacing w:after="0" w:line="23" w:lineRule="exact"/>
        <w:rPr>
          <w:rFonts w:ascii="Times New Roman" w:cs="Times New Roman" w:eastAsia="Times New Roman" w:hAnsi="Times New Roman"/>
          <w:sz w:val="18"/>
          <w:szCs w:val="18"/>
          <w:u w:val="single" w:color="auto"/>
          <w:color w:val="0000FF"/>
        </w:rPr>
      </w:pPr>
    </w:p>
    <w:p>
      <w:pPr>
        <w:ind w:left="560"/>
        <w:spacing w:after="0"/>
        <w:tabs>
          <w:tab w:leader="none" w:pos="1260" w:val="left"/>
        </w:tabs>
        <w:rPr>
          <w:sz w:val="20"/>
          <w:szCs w:val="20"/>
          <w:color w:val="auto"/>
        </w:rPr>
      </w:pPr>
      <w:r>
        <w:rPr>
          <w:rFonts w:ascii="Times New Roman" w:cs="Times New Roman" w:eastAsia="Times New Roman" w:hAnsi="Times New Roman"/>
          <w:sz w:val="18"/>
          <w:szCs w:val="18"/>
          <w:u w:val="single" w:color="auto"/>
          <w:color w:val="0000FF"/>
        </w:rPr>
        <w:t>10.92*†</w:t>
        <w:tab/>
        <w:t>Form of CEO Restrictive Stock Unit Grant Agreement</w:t>
      </w:r>
    </w:p>
    <w:p>
      <w:pPr>
        <w:spacing w:after="0" w:line="23" w:lineRule="exact"/>
        <w:rPr>
          <w:rFonts w:ascii="Times New Roman" w:cs="Times New Roman" w:eastAsia="Times New Roman" w:hAnsi="Times New Roman"/>
          <w:sz w:val="18"/>
          <w:szCs w:val="18"/>
          <w:u w:val="single" w:color="auto"/>
          <w:color w:val="0000FF"/>
        </w:rPr>
      </w:pPr>
    </w:p>
    <w:p>
      <w:pPr>
        <w:ind w:left="560"/>
        <w:spacing w:after="0"/>
        <w:tabs>
          <w:tab w:leader="none" w:pos="1260" w:val="left"/>
        </w:tabs>
        <w:rPr>
          <w:sz w:val="20"/>
          <w:szCs w:val="20"/>
          <w:color w:val="auto"/>
        </w:rPr>
      </w:pPr>
      <w:r>
        <w:rPr>
          <w:rFonts w:ascii="Times New Roman" w:cs="Times New Roman" w:eastAsia="Times New Roman" w:hAnsi="Times New Roman"/>
          <w:sz w:val="18"/>
          <w:szCs w:val="18"/>
          <w:u w:val="single" w:color="auto"/>
          <w:color w:val="0000FF"/>
        </w:rPr>
        <w:t>10.93*†</w:t>
      </w:r>
      <w:r>
        <w:rPr>
          <w:sz w:val="20"/>
          <w:szCs w:val="20"/>
          <w:color w:val="auto"/>
        </w:rPr>
        <w:tab/>
      </w:r>
      <w:r>
        <w:rPr>
          <w:rFonts w:ascii="Times New Roman" w:cs="Times New Roman" w:eastAsia="Times New Roman" w:hAnsi="Times New Roman"/>
          <w:sz w:val="17"/>
          <w:szCs w:val="17"/>
          <w:u w:val="single" w:color="auto"/>
          <w:color w:val="0000FF"/>
        </w:rPr>
        <w:t>Form of CEO Stock Option Grant Agreement</w:t>
      </w:r>
    </w:p>
    <w:p>
      <w:pPr>
        <w:spacing w:after="0" w:line="23" w:lineRule="exact"/>
        <w:rPr>
          <w:rFonts w:ascii="Times New Roman" w:cs="Times New Roman" w:eastAsia="Times New Roman" w:hAnsi="Times New Roman"/>
          <w:sz w:val="18"/>
          <w:szCs w:val="18"/>
          <w:u w:val="single" w:color="auto"/>
          <w:color w:val="0000FF"/>
        </w:rPr>
      </w:pPr>
    </w:p>
    <w:p>
      <w:pPr>
        <w:ind w:left="560"/>
        <w:spacing w:after="0"/>
        <w:tabs>
          <w:tab w:leader="none" w:pos="1260" w:val="left"/>
        </w:tabs>
        <w:rPr>
          <w:sz w:val="20"/>
          <w:szCs w:val="20"/>
          <w:color w:val="auto"/>
        </w:rPr>
      </w:pPr>
      <w:r>
        <w:rPr>
          <w:rFonts w:ascii="Times New Roman" w:cs="Times New Roman" w:eastAsia="Times New Roman" w:hAnsi="Times New Roman"/>
          <w:sz w:val="18"/>
          <w:szCs w:val="18"/>
          <w:u w:val="single" w:color="auto"/>
          <w:color w:val="0000FF"/>
        </w:rPr>
        <w:t>10.94*†</w:t>
        <w:tab/>
        <w:t>Form of Schedule I to Performance Stock Units for 2023-2025</w:t>
      </w:r>
    </w:p>
    <w:p>
      <w:pPr>
        <w:spacing w:after="0" w:line="23" w:lineRule="exact"/>
        <w:rPr>
          <w:rFonts w:ascii="Times New Roman" w:cs="Times New Roman" w:eastAsia="Times New Roman" w:hAnsi="Times New Roman"/>
          <w:sz w:val="18"/>
          <w:szCs w:val="18"/>
          <w:u w:val="single" w:color="auto"/>
          <w:color w:val="0000FF"/>
        </w:rPr>
      </w:pPr>
    </w:p>
    <w:p>
      <w:pPr>
        <w:ind w:left="740"/>
        <w:spacing w:after="0"/>
        <w:tabs>
          <w:tab w:leader="none" w:pos="1260" w:val="left"/>
        </w:tabs>
        <w:rPr>
          <w:sz w:val="20"/>
          <w:szCs w:val="20"/>
          <w:color w:val="auto"/>
        </w:rPr>
      </w:pPr>
      <w:r>
        <w:rPr>
          <w:rFonts w:ascii="Times New Roman" w:cs="Times New Roman" w:eastAsia="Times New Roman" w:hAnsi="Times New Roman"/>
          <w:sz w:val="18"/>
          <w:szCs w:val="18"/>
          <w:u w:val="single" w:color="auto"/>
          <w:color w:val="0000FF"/>
        </w:rPr>
        <w:t>21.1*</w:t>
        <w:tab/>
        <w:t>List of subsidiaries of Aramark.</w:t>
      </w:r>
    </w:p>
    <w:p>
      <w:pPr>
        <w:spacing w:after="0" w:line="23" w:lineRule="exact"/>
        <w:rPr>
          <w:rFonts w:ascii="Times New Roman" w:cs="Times New Roman" w:eastAsia="Times New Roman" w:hAnsi="Times New Roman"/>
          <w:sz w:val="18"/>
          <w:szCs w:val="18"/>
          <w:u w:val="single" w:color="auto"/>
          <w:color w:val="0000FF"/>
        </w:rPr>
      </w:pPr>
    </w:p>
    <w:p>
      <w:pPr>
        <w:ind w:left="740"/>
        <w:spacing w:after="0"/>
        <w:tabs>
          <w:tab w:leader="none" w:pos="1260" w:val="left"/>
        </w:tabs>
        <w:rPr>
          <w:sz w:val="20"/>
          <w:szCs w:val="20"/>
          <w:color w:val="auto"/>
        </w:rPr>
      </w:pPr>
      <w:r>
        <w:rPr>
          <w:rFonts w:ascii="Times New Roman" w:cs="Times New Roman" w:eastAsia="Times New Roman" w:hAnsi="Times New Roman"/>
          <w:sz w:val="18"/>
          <w:szCs w:val="18"/>
          <w:u w:val="single" w:color="auto"/>
          <w:color w:val="0000FF"/>
        </w:rPr>
        <w:t>23.1*</w:t>
      </w:r>
      <w:r>
        <w:rPr>
          <w:sz w:val="20"/>
          <w:szCs w:val="20"/>
          <w:color w:val="auto"/>
        </w:rPr>
        <w:tab/>
      </w:r>
      <w:r>
        <w:rPr>
          <w:rFonts w:ascii="Times New Roman" w:cs="Times New Roman" w:eastAsia="Times New Roman" w:hAnsi="Times New Roman"/>
          <w:sz w:val="17"/>
          <w:szCs w:val="17"/>
          <w:u w:val="single" w:color="auto"/>
          <w:color w:val="0000FF"/>
        </w:rPr>
        <w:t>Consent of Independent Registered Public Accounting Firm-KPMG LLP.</w:t>
      </w:r>
    </w:p>
    <w:p>
      <w:pPr>
        <w:spacing w:after="0" w:line="23" w:lineRule="exact"/>
        <w:rPr>
          <w:rFonts w:ascii="Times New Roman" w:cs="Times New Roman" w:eastAsia="Times New Roman" w:hAnsi="Times New Roman"/>
          <w:sz w:val="18"/>
          <w:szCs w:val="18"/>
          <w:u w:val="single" w:color="auto"/>
          <w:color w:val="0000FF"/>
        </w:rPr>
      </w:pPr>
    </w:p>
    <w:p>
      <w:pPr>
        <w:ind w:left="740"/>
        <w:spacing w:after="0"/>
        <w:tabs>
          <w:tab w:leader="none" w:pos="1260" w:val="left"/>
        </w:tabs>
        <w:rPr>
          <w:sz w:val="20"/>
          <w:szCs w:val="20"/>
          <w:color w:val="auto"/>
        </w:rPr>
      </w:pPr>
      <w:r>
        <w:rPr>
          <w:rFonts w:ascii="Times New Roman" w:cs="Times New Roman" w:eastAsia="Times New Roman" w:hAnsi="Times New Roman"/>
          <w:sz w:val="18"/>
          <w:szCs w:val="18"/>
          <w:u w:val="single" w:color="auto"/>
          <w:color w:val="0000FF"/>
        </w:rPr>
        <w:t>23.2*</w:t>
      </w:r>
      <w:r>
        <w:rPr>
          <w:sz w:val="20"/>
          <w:szCs w:val="20"/>
          <w:color w:val="auto"/>
        </w:rPr>
        <w:tab/>
      </w:r>
      <w:r>
        <w:rPr>
          <w:rFonts w:ascii="Times New Roman" w:cs="Times New Roman" w:eastAsia="Times New Roman" w:hAnsi="Times New Roman"/>
          <w:sz w:val="17"/>
          <w:szCs w:val="17"/>
          <w:u w:val="single" w:color="auto"/>
          <w:color w:val="0000FF"/>
        </w:rPr>
        <w:t>Consent of Independent Registered Public Accounting Firm-Deloitte &amp; Touche LLP.</w:t>
      </w:r>
    </w:p>
    <w:p>
      <w:pPr>
        <w:spacing w:after="0" w:line="23" w:lineRule="exact"/>
        <w:rPr>
          <w:rFonts w:ascii="Times New Roman" w:cs="Times New Roman" w:eastAsia="Times New Roman" w:hAnsi="Times New Roman"/>
          <w:sz w:val="18"/>
          <w:szCs w:val="18"/>
          <w:u w:val="single" w:color="auto"/>
          <w:color w:val="0000FF"/>
        </w:rPr>
      </w:pPr>
    </w:p>
    <w:p>
      <w:pPr>
        <w:ind w:left="740"/>
        <w:spacing w:after="0"/>
        <w:tabs>
          <w:tab w:leader="none" w:pos="1260" w:val="left"/>
        </w:tabs>
        <w:rPr>
          <w:sz w:val="20"/>
          <w:szCs w:val="20"/>
          <w:color w:val="auto"/>
        </w:rPr>
      </w:pPr>
      <w:r>
        <w:rPr>
          <w:rFonts w:ascii="Times New Roman" w:cs="Times New Roman" w:eastAsia="Times New Roman" w:hAnsi="Times New Roman"/>
          <w:sz w:val="18"/>
          <w:szCs w:val="18"/>
          <w:u w:val="single" w:color="auto"/>
          <w:color w:val="0000FF"/>
        </w:rPr>
        <w:t>31.1*</w:t>
      </w:r>
      <w:r>
        <w:rPr>
          <w:sz w:val="20"/>
          <w:szCs w:val="20"/>
          <w:color w:val="auto"/>
        </w:rPr>
        <w:tab/>
      </w:r>
      <w:r>
        <w:rPr>
          <w:rFonts w:ascii="Times New Roman" w:cs="Times New Roman" w:eastAsia="Times New Roman" w:hAnsi="Times New Roman"/>
          <w:sz w:val="17"/>
          <w:szCs w:val="17"/>
          <w:u w:val="single" w:color="auto"/>
          <w:color w:val="0000FF"/>
        </w:rPr>
        <w:t>Certification of John J. Zillmer, Chief Executive Officer, pursuant to Section 302 of the Sarbanes-Oxley Act of 2002.</w:t>
      </w:r>
    </w:p>
    <w:p>
      <w:pPr>
        <w:spacing w:after="0" w:line="23" w:lineRule="exact"/>
        <w:rPr>
          <w:rFonts w:ascii="Times New Roman" w:cs="Times New Roman" w:eastAsia="Times New Roman" w:hAnsi="Times New Roman"/>
          <w:sz w:val="18"/>
          <w:szCs w:val="18"/>
          <w:u w:val="single" w:color="auto"/>
          <w:color w:val="0000FF"/>
        </w:rPr>
      </w:pPr>
    </w:p>
    <w:p>
      <w:pPr>
        <w:ind w:left="740"/>
        <w:spacing w:after="0"/>
        <w:tabs>
          <w:tab w:leader="none" w:pos="1260" w:val="left"/>
        </w:tabs>
        <w:rPr>
          <w:sz w:val="20"/>
          <w:szCs w:val="20"/>
          <w:color w:val="auto"/>
        </w:rPr>
      </w:pPr>
      <w:r>
        <w:rPr>
          <w:rFonts w:ascii="Times New Roman" w:cs="Times New Roman" w:eastAsia="Times New Roman" w:hAnsi="Times New Roman"/>
          <w:sz w:val="18"/>
          <w:szCs w:val="18"/>
          <w:u w:val="single" w:color="auto"/>
          <w:color w:val="0000FF"/>
        </w:rPr>
        <w:t>31.2*</w:t>
      </w:r>
      <w:r>
        <w:rPr>
          <w:sz w:val="20"/>
          <w:szCs w:val="20"/>
          <w:color w:val="auto"/>
        </w:rPr>
        <w:tab/>
      </w:r>
      <w:r>
        <w:rPr>
          <w:rFonts w:ascii="Times New Roman" w:cs="Times New Roman" w:eastAsia="Times New Roman" w:hAnsi="Times New Roman"/>
          <w:sz w:val="17"/>
          <w:szCs w:val="17"/>
          <w:u w:val="single" w:color="auto"/>
          <w:color w:val="0000FF"/>
        </w:rPr>
        <w:t>Certification of Thomas G. Ondrof, Chief Financial Officer, pursuant to Section 302 of the Sarbanes-Oxley Act of 2002.</w:t>
      </w:r>
    </w:p>
    <w:p>
      <w:pPr>
        <w:spacing w:after="0" w:line="23" w:lineRule="exact"/>
        <w:rPr>
          <w:rFonts w:ascii="Times New Roman" w:cs="Times New Roman" w:eastAsia="Times New Roman" w:hAnsi="Times New Roman"/>
          <w:sz w:val="18"/>
          <w:szCs w:val="18"/>
          <w:u w:val="single" w:color="auto"/>
          <w:color w:val="0000FF"/>
        </w:rPr>
      </w:pPr>
    </w:p>
    <w:p>
      <w:pPr>
        <w:ind w:left="1280" w:right="100" w:hanging="548"/>
        <w:spacing w:after="0" w:line="234" w:lineRule="auto"/>
        <w:tabs>
          <w:tab w:leader="none" w:pos="1260" w:val="left"/>
        </w:tabs>
        <w:rPr>
          <w:sz w:val="20"/>
          <w:szCs w:val="20"/>
          <w:color w:val="auto"/>
        </w:rPr>
      </w:pPr>
      <w:r>
        <w:rPr>
          <w:rFonts w:ascii="Times New Roman" w:cs="Times New Roman" w:eastAsia="Times New Roman" w:hAnsi="Times New Roman"/>
          <w:sz w:val="18"/>
          <w:szCs w:val="18"/>
          <w:u w:val="single" w:color="auto"/>
          <w:color w:val="0000FF"/>
        </w:rPr>
        <w:t>32.1*</w:t>
        <w:tab/>
        <w:t>Certification of John J. Zillmer, Chief Executive Officer, and Thomas G. Ondrof, Chief Financial Officer, pursuant to Section 906 of the Sarbanes-Oxley Act of 2002.</w:t>
      </w:r>
    </w:p>
    <w:p>
      <w:pPr>
        <w:spacing w:after="0" w:line="10" w:lineRule="exact"/>
        <w:rPr>
          <w:rFonts w:ascii="Times New Roman" w:cs="Times New Roman" w:eastAsia="Times New Roman" w:hAnsi="Times New Roman"/>
          <w:sz w:val="18"/>
          <w:szCs w:val="18"/>
          <w:u w:val="single" w:color="auto"/>
          <w:color w:val="0000FF"/>
        </w:rPr>
      </w:pPr>
    </w:p>
    <w:p>
      <w:pPr>
        <w:ind w:left="1280" w:right="20" w:hanging="412"/>
        <w:spacing w:after="0" w:line="215" w:lineRule="auto"/>
        <w:tabs>
          <w:tab w:leader="none" w:pos="1280" w:val="left"/>
        </w:tabs>
        <w:numPr>
          <w:ilvl w:val="0"/>
          <w:numId w:val="6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The following financial information from Aramark's Annual Report on Form 10-K for the period ended September 30, 2022 formatted in inline XBRL: (i) Consolidated Balance Sheets as of September 30, 2022 and October 1, 2021; (ii) Consolidated Statements of Income (Loss) for the fiscal years ended September 30, 2022, October 1, 2021 and October 2, 2020; (iii) Consolidated Statements of Comprehensive Income (Loss) for the fiscal years ended September 30, 2022, October 1, 2021 and October 2, 2020; (iv) Consolidated Statements of Cash Flows for the fiscal years ended September 30, 2022, October 1, 2021 and October 2, 2020; (v) Consolidated Statements of Stockholders' Equity for the fiscal years ended September 30, 2022, October 1, 2021 and October 2, 2020; (vi) Notes to Consolidated Financial Statements; and (vii) Schedule II-Valuation and Qualifying Accounts and Reserves for the fiscal years ended September 30, 2022, October 1, 2021 and October 2, 2020</w:t>
      </w:r>
    </w:p>
    <w:p>
      <w:pPr>
        <w:spacing w:after="0" w:line="15" w:lineRule="exact"/>
        <w:rPr>
          <w:rFonts w:ascii="Times New Roman" w:cs="Times New Roman" w:eastAsia="Times New Roman" w:hAnsi="Times New Roman"/>
          <w:sz w:val="18"/>
          <w:szCs w:val="18"/>
          <w:u w:val="single" w:color="auto"/>
          <w:color w:val="0000FF"/>
        </w:rPr>
      </w:pPr>
    </w:p>
    <w:tbl>
      <w:tblPr>
        <w:tblLayout w:type="fixed"/>
        <w:tblInd w:w="380" w:type="dxa"/>
        <w:tblCellMar>
          <w:top w:w="0" w:type="dxa"/>
          <w:left w:w="0" w:type="dxa"/>
          <w:bottom w:w="0" w:type="dxa"/>
          <w:right w:w="0" w:type="dxa"/>
        </w:tblCellMar>
      </w:tblPr>
      <w:tr>
        <w:trPr>
          <w:trHeight w:val="229"/>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101.SCH*</w:t>
            </w:r>
          </w:p>
        </w:tc>
        <w:tc>
          <w:tcPr>
            <w:tcW w:w="8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3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101.CAL*</w:t>
            </w:r>
          </w:p>
        </w:tc>
        <w:tc>
          <w:tcPr>
            <w:tcW w:w="8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3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101.DEF*</w:t>
            </w:r>
          </w:p>
        </w:tc>
        <w:tc>
          <w:tcPr>
            <w:tcW w:w="8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3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101.LAB*</w:t>
            </w:r>
          </w:p>
        </w:tc>
        <w:tc>
          <w:tcPr>
            <w:tcW w:w="8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29"/>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101.PRE*</w:t>
            </w:r>
          </w:p>
        </w:tc>
        <w:tc>
          <w:tcPr>
            <w:tcW w:w="8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8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Inline XBRL for the cover page of this Annual Report on Form 10-K; included in Exhibit 101 Inline XBRL document set.</w:t>
            </w:r>
          </w:p>
        </w:tc>
      </w:tr>
    </w:tbl>
    <w:p>
      <w:pPr>
        <w:spacing w:after="0" w:line="117" w:lineRule="exact"/>
        <w:rPr>
          <w:rFonts w:ascii="Times New Roman" w:cs="Times New Roman" w:eastAsia="Times New Roman" w:hAnsi="Times New Roman"/>
          <w:sz w:val="18"/>
          <w:szCs w:val="18"/>
          <w:u w:val="single" w:color="auto"/>
          <w:color w:val="0000FF"/>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63" w:lineRule="exact"/>
        <w:rPr>
          <w:rFonts w:ascii="Times New Roman" w:cs="Times New Roman" w:eastAsia="Times New Roman" w:hAnsi="Times New Roman"/>
          <w:sz w:val="18"/>
          <w:szCs w:val="18"/>
          <w:u w:val="single" w:color="auto"/>
          <w:color w:val="0000FF"/>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tab/>
        <w:t>Identifies exhibits that consist of management contract or compensatory arrangement.</w:t>
      </w:r>
    </w:p>
    <w:p>
      <w:pPr>
        <w:spacing w:after="0" w:line="104" w:lineRule="exact"/>
        <w:rPr>
          <w:rFonts w:ascii="Times New Roman" w:cs="Times New Roman" w:eastAsia="Times New Roman" w:hAnsi="Times New Roman"/>
          <w:sz w:val="18"/>
          <w:szCs w:val="18"/>
          <w:u w:val="single" w:color="auto"/>
          <w:color w:val="0000FF"/>
        </w:rPr>
      </w:pPr>
    </w:p>
    <w:p>
      <w:pPr>
        <w:ind w:left="500" w:hanging="492"/>
        <w:spacing w:after="0" w:line="249" w:lineRule="auto"/>
        <w:tabs>
          <w:tab w:leader="none" w:pos="392"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These merger agreements are filed as exhibits to this Annual Report on Form 10-K to provide investors and security holders with information regarding their terms. They are not intended to provide any other factual or financial information about the Company, Avendra, AmeriPride or their respective subsidiaries and affiliates. The representations, warranties and covenants contained in each of the merger agreements were made only for purposes of that agreement and as of the date of such merger agreement or such other date as is specified in such merger agreement; were solely for the benefit of the parties to such merger agreement; have been qualified by confidential disclosures made for the purposes of allocating contractual risk between the parties to such merger agreement instead of establishing these matters as facts; and are subject to materiality qualifications contained in such merger agreement that may differ from what may be viewed as material by investors. Investors should not rely on the representations, warranties and covenants or any description thereof as characterizations of the actual state of facts or condition of the Company, Avendra, AmeriPride or any of their respective subsidiaries or affiliates. Moreover, information concerning the subject matter of the representations, warranties and covenants may change after the date of the merger agreements, which subsequent information may or may not be fully reflected in public disclosures by the Company. The merger agreements should not be read alone but should instead be read</w:t>
      </w:r>
    </w:p>
    <w:p>
      <w:pPr>
        <w:spacing w:after="0" w:line="200" w:lineRule="exact"/>
        <w:rPr>
          <w:rFonts w:ascii="Times New Roman" w:cs="Times New Roman" w:eastAsia="Times New Roman" w:hAnsi="Times New Roman"/>
          <w:sz w:val="18"/>
          <w:szCs w:val="18"/>
          <w:u w:val="single" w:color="auto"/>
          <w:color w:val="0000FF"/>
        </w:rPr>
      </w:pPr>
    </w:p>
    <w:p>
      <w:pPr>
        <w:spacing w:after="0" w:line="333" w:lineRule="exact"/>
        <w:rPr>
          <w:rFonts w:ascii="Times New Roman" w:cs="Times New Roman" w:eastAsia="Times New Roman" w:hAnsi="Times New Roman"/>
          <w:sz w:val="18"/>
          <w:szCs w:val="18"/>
          <w:u w:val="single" w:color="auto"/>
          <w:color w:val="0000FF"/>
        </w:rPr>
      </w:pPr>
    </w:p>
    <w:p>
      <w:pPr>
        <w:jc w:val="center"/>
        <w:ind w:right="-79"/>
        <w:spacing w:after="0"/>
        <w:rPr>
          <w:sz w:val="20"/>
          <w:szCs w:val="20"/>
          <w:color w:val="auto"/>
        </w:rPr>
      </w:pPr>
      <w:r>
        <w:rPr>
          <w:rFonts w:ascii="Times New Roman" w:cs="Times New Roman" w:eastAsia="Times New Roman" w:hAnsi="Times New Roman"/>
          <w:sz w:val="18"/>
          <w:szCs w:val="18"/>
          <w:color w:val="auto"/>
        </w:rPr>
        <w:t>S-61</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75" w:right="3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00" w:right="280"/>
        <w:spacing w:after="0" w:line="281" w:lineRule="auto"/>
        <w:rPr>
          <w:sz w:val="20"/>
          <w:szCs w:val="20"/>
          <w:color w:val="auto"/>
        </w:rPr>
      </w:pPr>
      <w:r>
        <w:rPr>
          <w:rFonts w:ascii="Times New Roman" w:cs="Times New Roman" w:eastAsia="Times New Roman" w:hAnsi="Times New Roman"/>
          <w:sz w:val="18"/>
          <w:szCs w:val="18"/>
          <w:color w:val="auto"/>
        </w:rPr>
        <w:t>in conjunction with the other information that is or will be included in reports and other filings that the Company files with the Securities and Exchange Commission.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XBRL instance document does not appear in the interactive data file because the XBRL tags are embedded within the inline XBRL document.</w:t>
      </w:r>
    </w:p>
    <w:p>
      <w:pPr>
        <w:spacing w:after="0" w:line="6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The agreements and other documents filed as exhibits to this report are not intended to provide factual information or other disclosure other than with respect to the terms of the agreements or other documents themselves, and should not be relied upon for that purpose. In particular, any representations and warranties made by the Company in these agreements or other documents were made solely within the specific context of the relevant agreement or document and may not describe the actual state of affairs as of the date they were made or at any other time.</w:t>
      </w:r>
    </w:p>
    <w:p>
      <w:pPr>
        <w:spacing w:after="0" w:line="200" w:lineRule="exact"/>
        <w:rPr>
          <w:sz w:val="20"/>
          <w:szCs w:val="20"/>
          <w:color w:val="auto"/>
        </w:rPr>
      </w:pPr>
    </w:p>
    <w:p>
      <w:pPr>
        <w:spacing w:after="0" w:line="31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S-62</w:t>
      </w:r>
    </w:p>
    <w:p>
      <w:pPr>
        <w:sectPr>
          <w:pgSz w:w="11900" w:h="16838" w:orient="portrait"/>
          <w:cols w:equalWidth="0" w:num="1">
            <w:col w:w="10940"/>
          </w:cols>
          <w:pgMar w:left="320" w:top="175" w:right="639" w:bottom="1440" w:gutter="0" w:footer="0" w:header="0"/>
        </w:sectPr>
      </w:pPr>
    </w:p>
    <w:bookmarkStart w:id="116" w:name="page117"/>
    <w:bookmarkEnd w:id="116"/>
    <w:p>
      <w:pPr>
        <w:jc w:val="right"/>
        <w:spacing w:after="0"/>
        <w:rPr>
          <w:sz w:val="20"/>
          <w:szCs w:val="20"/>
          <w:color w:val="auto"/>
        </w:rPr>
      </w:pPr>
      <w:r>
        <w:rPr>
          <w:rFonts w:ascii="Arial" w:cs="Arial" w:eastAsia="Arial" w:hAnsi="Arial"/>
          <w:sz w:val="20"/>
          <w:szCs w:val="20"/>
          <w:b w:val="1"/>
          <w:bCs w:val="1"/>
          <w:color w:val="auto"/>
        </w:rPr>
        <w:t>Exhibit 10.87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EB0029"/>
        </w:rPr>
        <w:t>ARAMARK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EB0029"/>
        </w:rPr>
        <w:t>AMENDMENT NO. 1 TO 2021 EMPLOYEE STOCK PURCHASE PLAN</w:t>
      </w:r>
    </w:p>
    <w:p>
      <w:pPr>
        <w:spacing w:after="0" w:line="374" w:lineRule="exact"/>
        <w:rPr>
          <w:sz w:val="20"/>
          <w:szCs w:val="20"/>
          <w:color w:val="auto"/>
        </w:rPr>
      </w:pPr>
    </w:p>
    <w:p>
      <w:pPr>
        <w:ind w:right="360"/>
        <w:spacing w:after="0" w:line="303" w:lineRule="auto"/>
        <w:rPr>
          <w:sz w:val="20"/>
          <w:szCs w:val="20"/>
          <w:color w:val="auto"/>
        </w:rPr>
      </w:pPr>
      <w:r>
        <w:rPr>
          <w:rFonts w:ascii="Arial" w:cs="Arial" w:eastAsia="Arial" w:hAnsi="Arial"/>
          <w:sz w:val="18"/>
          <w:szCs w:val="18"/>
          <w:color w:val="auto"/>
        </w:rPr>
        <w:t>Effective November 7, 2022, Section 10 of the 2021 Employee Stock Purchase Plan is amended by deleting the existing Section 10 in its entirety and replacing it with the following Section 10:</w:t>
      </w:r>
    </w:p>
    <w:p>
      <w:pPr>
        <w:spacing w:after="0" w:line="200" w:lineRule="exact"/>
        <w:rPr>
          <w:sz w:val="20"/>
          <w:szCs w:val="20"/>
          <w:color w:val="auto"/>
        </w:rPr>
      </w:pPr>
    </w:p>
    <w:p>
      <w:pPr>
        <w:spacing w:after="0" w:line="263" w:lineRule="exact"/>
        <w:rPr>
          <w:sz w:val="20"/>
          <w:szCs w:val="20"/>
          <w:color w:val="auto"/>
        </w:rPr>
      </w:pPr>
    </w:p>
    <w:p>
      <w:pPr>
        <w:ind w:firstLine="8"/>
        <w:spacing w:after="0" w:line="266" w:lineRule="auto"/>
        <w:tabs>
          <w:tab w:leader="none" w:pos="35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Limitation on Number of Shares That an Employee May Purchase</w:t>
      </w:r>
      <w:r>
        <w:rPr>
          <w:rFonts w:ascii="Arial" w:cs="Arial" w:eastAsia="Arial" w:hAnsi="Arial"/>
          <w:sz w:val="18"/>
          <w:szCs w:val="18"/>
          <w:color w:val="auto"/>
        </w:rPr>
        <w:t>. Subject to the limitations set forth in Section 5(c), each Participant will have the right to purchase as many whole and fractional Shares as may be purchased with the Contributions credited to his or her account (and the proceeds of any Cashless Participation Amount, if the Participant has agreed to participate in the Cashless Participation Program) as of the last day of the Offering Period (or such other date as the Committee may determine) at the Purchase Price applicable to such Offering Period; provided, however, that a Participant may not purchase in excess of 1,500 Shares under the Plan per Offering Period or such other maximum number of Shares as may be established for an Offering Period by the Committee (in each case subject to adjustment pursuant to Section 17 hereof). Any amounts not applied to the purchase of Shares during an Offering Period shall be promptly refunded following such Purchase Date and will not be carried forward to any subsequent Offering Period.</w:t>
      </w:r>
    </w:p>
    <w:p>
      <w:pPr>
        <w:sectPr>
          <w:pgSz w:w="11900" w:h="16838" w:orient="portrait"/>
          <w:cols w:equalWidth="0" w:num="1">
            <w:col w:w="11240"/>
          </w:cols>
          <w:pgMar w:left="320" w:top="129"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20"/>
          <w:szCs w:val="20"/>
          <w:b w:val="1"/>
          <w:bCs w:val="1"/>
          <w:color w:val="auto"/>
        </w:rPr>
        <w:t>Exhibit 10.88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color w:val="auto"/>
        </w:rPr>
        <w:t xml:space="preserve">FORM OF NON-QUALIFIED STOCK OPTION AWARD </w:t>
      </w:r>
      <w:r>
        <w:rPr>
          <w:rFonts w:ascii="Times New Roman" w:cs="Times New Roman" w:eastAsia="Times New Roman" w:hAnsi="Times New Roman"/>
          <w:sz w:val="22"/>
          <w:szCs w:val="22"/>
          <w:color w:val="auto"/>
        </w:rPr>
        <w:t>(this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dated as</w:t>
      </w:r>
    </w:p>
    <w:p>
      <w:pPr>
        <w:ind w:right="340"/>
        <w:spacing w:after="0" w:line="214" w:lineRule="auto"/>
        <w:rPr>
          <w:sz w:val="20"/>
          <w:szCs w:val="20"/>
          <w:color w:val="auto"/>
        </w:rPr>
      </w:pPr>
      <w:r>
        <w:rPr>
          <w:rFonts w:ascii="Times New Roman" w:cs="Times New Roman" w:eastAsia="Times New Roman" w:hAnsi="Times New Roman"/>
          <w:sz w:val="22"/>
          <w:szCs w:val="22"/>
          <w:color w:val="auto"/>
        </w:rPr>
        <w:t>of the Date of Grant set forth on the Certificate of Grant to which this Award is attached (the “</w:t>
      </w:r>
      <w:r>
        <w:rPr>
          <w:rFonts w:ascii="Times New Roman" w:cs="Times New Roman" w:eastAsia="Times New Roman" w:hAnsi="Times New Roman"/>
          <w:sz w:val="22"/>
          <w:szCs w:val="22"/>
          <w:u w:val="single" w:color="auto"/>
          <w:color w:val="auto"/>
        </w:rPr>
        <w:t>Grant Date</w:t>
      </w:r>
      <w:r>
        <w:rPr>
          <w:rFonts w:ascii="Times New Roman" w:cs="Times New Roman" w:eastAsia="Times New Roman" w:hAnsi="Times New Roman"/>
          <w:sz w:val="22"/>
          <w:szCs w:val="22"/>
          <w:color w:val="auto"/>
        </w:rPr>
        <w:t xml:space="preserve">”) between Aramark (formerly known as </w:t>
      </w:r>
      <w:r>
        <w:rPr>
          <w:rFonts w:ascii="Times New Roman" w:cs="Times New Roman" w:eastAsia="Times New Roman" w:hAnsi="Times New Roman"/>
          <w:sz w:val="22"/>
          <w:szCs w:val="22"/>
          <w:b w:val="1"/>
          <w:bCs w:val="1"/>
          <w:color w:val="auto"/>
        </w:rPr>
        <w:t>ARAMARK HOLDINGS CORPORATION)</w:t>
      </w:r>
      <w:r>
        <w:rPr>
          <w:rFonts w:ascii="Times New Roman" w:cs="Times New Roman" w:eastAsia="Times New Roman" w:hAnsi="Times New Roman"/>
          <w:sz w:val="22"/>
          <w:szCs w:val="22"/>
          <w:color w:val="auto"/>
        </w:rPr>
        <w:t>,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the Participant set forth on the Certificate of Grant of the Options attached to this Award and made a part hereof (the “</w:t>
      </w:r>
      <w:r>
        <w:rPr>
          <w:rFonts w:ascii="Times New Roman" w:cs="Times New Roman" w:eastAsia="Times New Roman" w:hAnsi="Times New Roman"/>
          <w:sz w:val="22"/>
          <w:szCs w:val="22"/>
          <w:u w:val="single" w:color="auto"/>
          <w:color w:val="auto"/>
        </w:rPr>
        <w:t>Certificate of Grant</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right="180" w:firstLine="647"/>
        <w:spacing w:after="0" w:line="212" w:lineRule="auto"/>
        <w:rPr>
          <w:sz w:val="20"/>
          <w:szCs w:val="20"/>
          <w:color w:val="auto"/>
        </w:rPr>
      </w:pPr>
      <w:r>
        <w:rPr>
          <w:rFonts w:ascii="Times New Roman" w:cs="Times New Roman" w:eastAsia="Times New Roman" w:hAnsi="Times New Roman"/>
          <w:sz w:val="22"/>
          <w:szCs w:val="22"/>
          <w:color w:val="auto"/>
        </w:rPr>
        <w:t>WHEREAS, the Company, acting through the Committee (as such term is defined in the Plan) or a subcommittee thereof, has agreed to grant to the Participant, as of the Grant Date, an option under the Company Amended and Restated 2013 Stock Incentive Plan (as may be</w:t>
      </w:r>
    </w:p>
    <w:p>
      <w:pPr>
        <w:spacing w:after="0" w:line="2" w:lineRule="exact"/>
        <w:rPr>
          <w:sz w:val="20"/>
          <w:szCs w:val="20"/>
          <w:color w:val="auto"/>
        </w:rPr>
      </w:pPr>
    </w:p>
    <w:p>
      <w:pPr>
        <w:ind w:right="280"/>
        <w:spacing w:after="0" w:line="225" w:lineRule="auto"/>
        <w:rPr>
          <w:sz w:val="20"/>
          <w:szCs w:val="20"/>
          <w:color w:val="auto"/>
        </w:rPr>
      </w:pPr>
      <w:r>
        <w:rPr>
          <w:rFonts w:ascii="Times New Roman" w:cs="Times New Roman" w:eastAsia="Times New Roman" w:hAnsi="Times New Roman"/>
          <w:sz w:val="22"/>
          <w:szCs w:val="22"/>
          <w:color w:val="auto"/>
        </w:rPr>
        <w:t>amended,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to purchase a number of shares of Common Stock on the terms and subject to the conditions set forth in this Award, the Certificate of Grant and the Plan.</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NOW, THEREFORE, in consideration of the promises and agreements contained in this</w:t>
      </w:r>
    </w:p>
    <w:p>
      <w:pPr>
        <w:spacing w:after="0"/>
        <w:rPr>
          <w:sz w:val="20"/>
          <w:szCs w:val="20"/>
          <w:color w:val="auto"/>
        </w:rPr>
      </w:pPr>
      <w:r>
        <w:rPr>
          <w:rFonts w:ascii="Times New Roman" w:cs="Times New Roman" w:eastAsia="Times New Roman" w:hAnsi="Times New Roman"/>
          <w:sz w:val="22"/>
          <w:szCs w:val="22"/>
          <w:color w:val="auto"/>
        </w:rPr>
        <w:t>Award:</w:t>
      </w:r>
    </w:p>
    <w:p>
      <w:pPr>
        <w:spacing w:after="0" w:line="183" w:lineRule="exact"/>
        <w:rPr>
          <w:sz w:val="20"/>
          <w:szCs w:val="20"/>
          <w:color w:val="auto"/>
        </w:rPr>
      </w:pPr>
    </w:p>
    <w:p>
      <w:pPr>
        <w:ind w:left="640"/>
        <w:spacing w:after="0"/>
        <w:tabs>
          <w:tab w:leader="none" w:pos="1700" w:val="left"/>
        </w:tabs>
        <w:rPr>
          <w:sz w:val="20"/>
          <w:szCs w:val="20"/>
          <w:color w:val="auto"/>
        </w:rPr>
      </w:pPr>
      <w:r>
        <w:rPr>
          <w:rFonts w:ascii="Times New Roman" w:cs="Times New Roman" w:eastAsia="Times New Roman" w:hAnsi="Times New Roman"/>
          <w:sz w:val="22"/>
          <w:szCs w:val="22"/>
          <w:color w:val="auto"/>
        </w:rPr>
        <w:t>Section 1.</w:t>
      </w:r>
      <w:r>
        <w:rPr>
          <w:sz w:val="20"/>
          <w:szCs w:val="20"/>
          <w:color w:val="auto"/>
        </w:rPr>
        <w:tab/>
      </w:r>
      <w:r>
        <w:rPr>
          <w:rFonts w:ascii="Times New Roman" w:cs="Times New Roman" w:eastAsia="Times New Roman" w:hAnsi="Times New Roman"/>
          <w:sz w:val="21"/>
          <w:szCs w:val="21"/>
          <w:u w:val="single" w:color="auto"/>
          <w:color w:val="auto"/>
        </w:rPr>
        <w:t>The Plan</w:t>
      </w:r>
      <w:r>
        <w:rPr>
          <w:rFonts w:ascii="Times New Roman" w:cs="Times New Roman" w:eastAsia="Times New Roman" w:hAnsi="Times New Roman"/>
          <w:sz w:val="21"/>
          <w:szCs w:val="21"/>
          <w:color w:val="auto"/>
        </w:rPr>
        <w:t>. The terms and provisions of the Plan are hereby incorporated</w:t>
      </w:r>
    </w:p>
    <w:p>
      <w:pPr>
        <w:ind w:right="360"/>
        <w:spacing w:after="0" w:line="214" w:lineRule="auto"/>
        <w:rPr>
          <w:sz w:val="20"/>
          <w:szCs w:val="20"/>
          <w:color w:val="auto"/>
        </w:rPr>
      </w:pPr>
      <w:r>
        <w:rPr>
          <w:rFonts w:ascii="Times New Roman" w:cs="Times New Roman" w:eastAsia="Times New Roman" w:hAnsi="Times New Roman"/>
          <w:sz w:val="22"/>
          <w:szCs w:val="22"/>
          <w:color w:val="auto"/>
        </w:rPr>
        <w:t>into this Award as if set forth herein in their entirety. In the event of a conflict between any provision of this Award and the Plan, the provisions of the Plan shall control. A copy of the Plan has been provided to the Participant. Capitalized terms used herein and not otherwise defined herein shall have the respective meanings ascribed thereto in the Plan and the Certificate of Grant.</w:t>
      </w:r>
    </w:p>
    <w:p>
      <w:pPr>
        <w:spacing w:after="0" w:line="262" w:lineRule="exact"/>
        <w:rPr>
          <w:sz w:val="20"/>
          <w:szCs w:val="20"/>
          <w:color w:val="auto"/>
        </w:rPr>
      </w:pPr>
    </w:p>
    <w:p>
      <w:pPr>
        <w:ind w:right="320" w:firstLine="647"/>
        <w:spacing w:after="0" w:line="213"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Option Award; Exercise Price; Exercise of Vested Option</w:t>
      </w:r>
      <w:r>
        <w:rPr>
          <w:rFonts w:ascii="Times New Roman" w:cs="Times New Roman" w:eastAsia="Times New Roman" w:hAnsi="Times New Roman"/>
          <w:sz w:val="22"/>
          <w:szCs w:val="22"/>
          <w:color w:val="auto"/>
        </w:rPr>
        <w:t>. Effective on the Grant Date, on the terms and subject to the conditions of the Plan and this Award, the Company hereby grants to the Participant the option to purchase the number of Shares set forth on the Certificate of Grant (the “</w:t>
      </w:r>
      <w:r>
        <w:rPr>
          <w:rFonts w:ascii="Times New Roman" w:cs="Times New Roman" w:eastAsia="Times New Roman" w:hAnsi="Times New Roman"/>
          <w:sz w:val="22"/>
          <w:szCs w:val="22"/>
          <w:u w:val="single" w:color="auto"/>
          <w:color w:val="auto"/>
        </w:rPr>
        <w:t>Option</w:t>
      </w:r>
      <w:r>
        <w:rPr>
          <w:rFonts w:ascii="Times New Roman" w:cs="Times New Roman" w:eastAsia="Times New Roman" w:hAnsi="Times New Roman"/>
          <w:sz w:val="22"/>
          <w:szCs w:val="22"/>
          <w:color w:val="auto"/>
        </w:rPr>
        <w:t>”), at the Exercise Price equal to the Exercise Price as set forth on the Certificate of Grant. Upon any exercise of any portion of any Vested Options, the payment of the Exercise Price may be made, at the election of the Participant, in any manner specified under Section 7(d) of the Plan, as such section is in effect on the Grant Date. The Option is not intended to qualify for federal income tax purposes as an “incentive stock option” within the meaning of Section 422 of the Code.</w:t>
      </w:r>
    </w:p>
    <w:p>
      <w:pPr>
        <w:spacing w:after="0" w:line="183" w:lineRule="exact"/>
        <w:rPr>
          <w:sz w:val="20"/>
          <w:szCs w:val="20"/>
          <w:color w:val="auto"/>
        </w:rPr>
      </w:pPr>
    </w:p>
    <w:p>
      <w:pPr>
        <w:jc w:val="both"/>
        <w:ind w:right="360" w:firstLine="647"/>
        <w:spacing w:after="0" w:line="225"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term of the Option (the “</w:t>
      </w:r>
      <w:r>
        <w:rPr>
          <w:rFonts w:ascii="Times New Roman" w:cs="Times New Roman" w:eastAsia="Times New Roman" w:hAnsi="Times New Roman"/>
          <w:sz w:val="22"/>
          <w:szCs w:val="22"/>
          <w:u w:val="single" w:color="auto"/>
          <w:color w:val="auto"/>
        </w:rPr>
        <w:t>Option Term</w:t>
      </w:r>
      <w:r>
        <w:rPr>
          <w:rFonts w:ascii="Times New Roman" w:cs="Times New Roman" w:eastAsia="Times New Roman" w:hAnsi="Times New Roman"/>
          <w:sz w:val="22"/>
          <w:szCs w:val="22"/>
          <w:color w:val="auto"/>
        </w:rPr>
        <w:t>”) shall commence on the Grant Date and expire on the Expiration Date set forth on the Certificate of Grant, unless the Option shall have sooner been terminated in accordance with the terms of the Plan (including, without limitation, Section 13 of the Plan) or this Award.</w:t>
      </w:r>
    </w:p>
    <w:p>
      <w:pPr>
        <w:spacing w:after="0" w:line="193" w:lineRule="exact"/>
        <w:rPr>
          <w:sz w:val="20"/>
          <w:szCs w:val="20"/>
          <w:color w:val="auto"/>
        </w:rPr>
      </w:pPr>
    </w:p>
    <w:p>
      <w:pPr>
        <w:jc w:val="both"/>
        <w:ind w:right="280" w:firstLine="647"/>
        <w:spacing w:after="0" w:line="225"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Subject to the Participant’s not having a Termination of Relationship and except as otherwise set forth in Section 7 hereof, the Options shall become non- forfeitable and exercisable (any Options that shall have become non-forfeitable and exercisable pursuant to this Section 4, the “</w:t>
      </w:r>
      <w:r>
        <w:rPr>
          <w:rFonts w:ascii="Times New Roman" w:cs="Times New Roman" w:eastAsia="Times New Roman" w:hAnsi="Times New Roman"/>
          <w:sz w:val="22"/>
          <w:szCs w:val="22"/>
          <w:u w:val="single" w:color="auto"/>
          <w:color w:val="auto"/>
        </w:rPr>
        <w:t>Vested Options</w:t>
      </w:r>
      <w:r>
        <w:rPr>
          <w:rFonts w:ascii="Times New Roman" w:cs="Times New Roman" w:eastAsia="Times New Roman" w:hAnsi="Times New Roman"/>
          <w:sz w:val="22"/>
          <w:szCs w:val="22"/>
          <w:color w:val="auto"/>
        </w:rPr>
        <w:t>”) as follows:</w:t>
      </w:r>
    </w:p>
    <w:p>
      <w:pPr>
        <w:spacing w:after="0" w:line="180" w:lineRule="exact"/>
        <w:rPr>
          <w:sz w:val="20"/>
          <w:szCs w:val="20"/>
          <w:color w:val="auto"/>
        </w:rPr>
      </w:pPr>
    </w:p>
    <w:p>
      <w:pPr>
        <w:ind w:left="1840" w:hanging="547"/>
        <w:spacing w:after="0"/>
        <w:tabs>
          <w:tab w:leader="none" w:pos="184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such percentages as on such dates as set forth on the Certificate of Grant of this Award under “</w:t>
      </w:r>
      <w:r>
        <w:rPr>
          <w:rFonts w:ascii="Times New Roman" w:cs="Times New Roman" w:eastAsia="Times New Roman" w:hAnsi="Times New Roman"/>
          <w:sz w:val="22"/>
          <w:szCs w:val="22"/>
          <w:u w:val="single" w:color="auto"/>
          <w:color w:val="auto"/>
        </w:rPr>
        <w:t>Vesting</w:t>
      </w:r>
    </w:p>
    <w:p>
      <w:pPr>
        <w:spacing w:after="0"/>
        <w:rPr>
          <w:sz w:val="20"/>
          <w:szCs w:val="20"/>
          <w:color w:val="auto"/>
        </w:rPr>
      </w:pP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or</w:t>
      </w:r>
    </w:p>
    <w:p>
      <w:pPr>
        <w:spacing w:after="0" w:line="182" w:lineRule="exact"/>
        <w:rPr>
          <w:sz w:val="20"/>
          <w:szCs w:val="20"/>
          <w:color w:val="auto"/>
        </w:rPr>
      </w:pPr>
    </w:p>
    <w:p>
      <w:pPr>
        <w:ind w:right="2940" w:firstLine="1293"/>
        <w:spacing w:after="0" w:line="255" w:lineRule="auto"/>
        <w:tabs>
          <w:tab w:leader="none" w:pos="1939"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 Termination of Relationship as a result of the Participant’s death, Disability, or Retirement (other than a “Retirement with Notice” as defined</w:t>
      </w:r>
    </w:p>
    <w:p>
      <w:pPr>
        <w:spacing w:after="0" w:line="36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140"/>
          </w:cols>
          <w:pgMar w:left="420" w:top="100" w:right="339" w:bottom="1440" w:gutter="0" w:footer="0" w:header="0"/>
        </w:sectPr>
      </w:pPr>
    </w:p>
    <w:bookmarkStart w:id="118" w:name="page119"/>
    <w:bookmarkEnd w:id="118"/>
    <w:p>
      <w:pPr>
        <w:ind w:right="180"/>
        <w:spacing w:after="0" w:line="233" w:lineRule="auto"/>
        <w:rPr>
          <w:sz w:val="20"/>
          <w:szCs w:val="20"/>
          <w:color w:val="auto"/>
        </w:rPr>
      </w:pPr>
      <w:r>
        <w:rPr>
          <w:rFonts w:ascii="Times New Roman" w:cs="Times New Roman" w:eastAsia="Times New Roman" w:hAnsi="Times New Roman"/>
          <w:sz w:val="19"/>
          <w:szCs w:val="19"/>
          <w:color w:val="auto"/>
        </w:rPr>
        <w:t>below) (each, a “</w:t>
      </w:r>
      <w:r>
        <w:rPr>
          <w:rFonts w:ascii="Times New Roman" w:cs="Times New Roman" w:eastAsia="Times New Roman" w:hAnsi="Times New Roman"/>
          <w:sz w:val="19"/>
          <w:szCs w:val="19"/>
          <w:u w:val="single" w:color="auto"/>
          <w:color w:val="auto"/>
        </w:rPr>
        <w:t>Special Termination</w:t>
      </w:r>
      <w:r>
        <w:rPr>
          <w:rFonts w:ascii="Times New Roman" w:cs="Times New Roman" w:eastAsia="Times New Roman" w:hAnsi="Times New Roman"/>
          <w:sz w:val="19"/>
          <w:szCs w:val="19"/>
          <w:color w:val="auto"/>
        </w:rPr>
        <w:t>”), the installment of Options scheduled to vest on the next Vesting Date immediately following such Special Termination shall immediately become Vested Options, and the remaining Options which are not then Vested Options shall be</w:t>
      </w:r>
    </w:p>
    <w:p>
      <w:pPr>
        <w:ind w:right="300"/>
        <w:spacing w:after="0" w:line="225" w:lineRule="auto"/>
        <w:rPr>
          <w:sz w:val="20"/>
          <w:szCs w:val="20"/>
          <w:color w:val="auto"/>
        </w:rPr>
      </w:pPr>
      <w:r>
        <w:rPr>
          <w:rFonts w:ascii="Times New Roman" w:cs="Times New Roman" w:eastAsia="Times New Roman" w:hAnsi="Times New Roman"/>
          <w:sz w:val="20"/>
          <w:szCs w:val="20"/>
          <w:color w:val="auto"/>
        </w:rPr>
        <w:t xml:space="preserve">forfeited. </w:t>
      </w:r>
      <w:r>
        <w:rPr>
          <w:rFonts w:ascii="Times New Roman" w:cs="Times New Roman" w:eastAsia="Times New Roman" w:hAnsi="Times New Roman"/>
          <w:sz w:val="21"/>
          <w:szCs w:val="21"/>
          <w:color w:val="auto"/>
        </w:rPr>
        <w:t>For purposes of this Award, “Retirement” shall mean with respect to a Participant, the retirement of such Participant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upon or after achieving age 60 and five (5) years of employment with the Company, any of its Affiliates, and/or any of their respective predecessors and giving 30 days’ written notice of retirement to the Company; provided that such notice may be waived by the Chief Executive Officer or the Executive Vice President, Human Resources;</w:t>
      </w:r>
    </w:p>
    <w:p>
      <w:pPr>
        <w:spacing w:after="0" w:line="245" w:lineRule="exact"/>
        <w:rPr>
          <w:sz w:val="20"/>
          <w:szCs w:val="20"/>
          <w:color w:val="auto"/>
        </w:rPr>
      </w:pPr>
    </w:p>
    <w:p>
      <w:pPr>
        <w:ind w:left="100" w:right="40" w:firstLine="1293"/>
        <w:spacing w:after="0" w:line="220" w:lineRule="auto"/>
        <w:tabs>
          <w:tab w:leader="none" w:pos="1945"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 Termination of Relationship as a result of the Participant’s Retirement with Notice, the installment of Options scheduled to vest on the next two Vesting Dates (or one Vesting Date if there is only one remaining Vesting Date) following such Retirement with Notice shall remain outstanding and become Vested Options on such future Vesting Date(s), and the remaining Options which are not then Vested Options shall be forfeited;</w:t>
      </w:r>
    </w:p>
    <w:p>
      <w:pPr>
        <w:spacing w:after="0" w:line="179" w:lineRule="exact"/>
        <w:rPr>
          <w:rFonts w:ascii="Times New Roman" w:cs="Times New Roman" w:eastAsia="Times New Roman" w:hAnsi="Times New Roman"/>
          <w:sz w:val="22"/>
          <w:szCs w:val="22"/>
          <w:color w:val="auto"/>
        </w:rPr>
      </w:pPr>
    </w:p>
    <w:p>
      <w:pPr>
        <w:ind w:left="100" w:right="260" w:firstLine="1293"/>
        <w:spacing w:after="0" w:line="217" w:lineRule="auto"/>
        <w:tabs>
          <w:tab w:leader="none" w:pos="1944"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(i) the occurrence of a Change of Control and (ii) thereafter, a Termination of Relationship of the Participant by the Company or any of its Affiliates (or successors in interest) without Cause or by the Participant for Good Reason that occurs prior to the second anniversary of the Change of Control, then each outstanding Option which has not theretofore become a Vested Option pursuant to Section 4(a) shall become a Vested Option on the date of such Termination of Relationship; or</w:t>
      </w:r>
    </w:p>
    <w:p>
      <w:pPr>
        <w:spacing w:after="0" w:line="179" w:lineRule="exact"/>
        <w:rPr>
          <w:rFonts w:ascii="Times New Roman" w:cs="Times New Roman" w:eastAsia="Times New Roman" w:hAnsi="Times New Roman"/>
          <w:sz w:val="22"/>
          <w:szCs w:val="22"/>
          <w:color w:val="auto"/>
        </w:rPr>
      </w:pPr>
    </w:p>
    <w:p>
      <w:pPr>
        <w:ind w:left="100" w:right="200" w:firstLine="1293"/>
        <w:spacing w:after="0" w:line="220" w:lineRule="auto"/>
        <w:tabs>
          <w:tab w:leader="none" w:pos="1945"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above with respect to a Special Termination or Retirement with Notice, upon a Termination of Relationship for any reason, the unvested portion of the Option (i.e. that portion which does not constitute Vested Options) shall terminate and cease to be outstanding on the date the Termination of Relationship occurs and shall no longer be eligible to become Vested Options.</w:t>
      </w:r>
    </w:p>
    <w:p>
      <w:pPr>
        <w:spacing w:after="0" w:line="193" w:lineRule="exact"/>
        <w:rPr>
          <w:sz w:val="20"/>
          <w:szCs w:val="20"/>
          <w:color w:val="auto"/>
        </w:rPr>
      </w:pPr>
    </w:p>
    <w:p>
      <w:pPr>
        <w:ind w:left="100" w:right="400"/>
        <w:spacing w:after="0" w:line="212" w:lineRule="auto"/>
        <w:rPr>
          <w:sz w:val="20"/>
          <w:szCs w:val="20"/>
          <w:color w:val="auto"/>
        </w:rPr>
      </w:pPr>
      <w:r>
        <w:rPr>
          <w:rFonts w:ascii="Times New Roman" w:cs="Times New Roman" w:eastAsia="Times New Roman" w:hAnsi="Times New Roman"/>
          <w:sz w:val="22"/>
          <w:szCs w:val="22"/>
          <w:color w:val="auto"/>
        </w:rPr>
        <w:t>As used herein, the term “Retirement with Notice” means Participant’s retirement from Aramark and its Affiliates after providing Aramark with at least twelve (12) months’ prior written notice of such intended retirement (and with such notice having been delivered upon or after the</w:t>
      </w:r>
    </w:p>
    <w:p>
      <w:pPr>
        <w:spacing w:after="0" w:line="2" w:lineRule="exact"/>
        <w:rPr>
          <w:sz w:val="20"/>
          <w:szCs w:val="20"/>
          <w:color w:val="auto"/>
        </w:rPr>
      </w:pPr>
    </w:p>
    <w:p>
      <w:pPr>
        <w:ind w:left="100"/>
        <w:spacing w:after="0" w:line="208" w:lineRule="auto"/>
        <w:rPr>
          <w:sz w:val="20"/>
          <w:szCs w:val="20"/>
          <w:color w:val="auto"/>
        </w:rPr>
      </w:pPr>
      <w:r>
        <w:rPr>
          <w:rFonts w:ascii="Times New Roman" w:cs="Times New Roman" w:eastAsia="Times New Roman" w:hAnsi="Times New Roman"/>
          <w:sz w:val="22"/>
          <w:szCs w:val="22"/>
          <w:color w:val="auto"/>
        </w:rPr>
        <w:t xml:space="preserve">Participant’s attainment of age 62) after achieving (consecutively or disregarding breaks in service) at least five (5) full years of employment with Aramark and its Affiliates (and for purposes of this Agreement, the term “Retirement Notice Period” means the period beginning on the date Participant provides written notice to Aramark of his or her Retirement with Notice and ending on the last day of the Retirement Notice Period, as stated in such notice);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u w:val="single" w:color="auto"/>
          <w:color w:val="auto"/>
        </w:rPr>
        <w:t>however</w:t>
      </w:r>
      <w:r>
        <w:rPr>
          <w:rFonts w:ascii="Times New Roman" w:cs="Times New Roman" w:eastAsia="Times New Roman" w:hAnsi="Times New Roman"/>
          <w:sz w:val="22"/>
          <w:szCs w:val="22"/>
          <w:color w:val="auto"/>
        </w:rPr>
        <w:t>, that if the Company involuntarily terminates the Participant without Cause or the Participant dies or incurs a Disability after the Participant delivers the notice described in this sentence, such termination shall not fail to qualify as a “Retirement with Notice” by virtue of the termination occurring less than the number of months of the notice period after the notice date. In the event the Company involuntarily terminates the Participant without Cause after the Participant delivers the notice described in the preceding sentence, for purposes of this Section 4 and Section 7 below, the Participant shall not be treated as having had a Termination of Relationship prior to the effective date of the Retirement with Notice. All decisions made by the Committee with respect to any calculations pursuant to this Section 4 shall be made in good faith after consultation with senior management and shall be final and binding on the Participant absent manifest error by the Committee.</w:t>
      </w:r>
    </w:p>
    <w:p>
      <w:pPr>
        <w:spacing w:after="0" w:line="180" w:lineRule="exact"/>
        <w:rPr>
          <w:sz w:val="20"/>
          <w:szCs w:val="20"/>
          <w:color w:val="auto"/>
        </w:rPr>
      </w:pPr>
    </w:p>
    <w:p>
      <w:pPr>
        <w:ind w:left="100" w:right="240" w:firstLine="647"/>
        <w:spacing w:after="0" w:line="217"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Restriction on Transfer</w:t>
      </w:r>
      <w:r>
        <w:rPr>
          <w:rFonts w:ascii="Times New Roman" w:cs="Times New Roman" w:eastAsia="Times New Roman" w:hAnsi="Times New Roman"/>
          <w:sz w:val="22"/>
          <w:szCs w:val="22"/>
          <w:color w:val="auto"/>
        </w:rPr>
        <w:t>. The Option may not be transferred, pledged, assigned, hypothecated or otherwise disposed of in any way by the Participant, except (i) if permitted by the Board or the Committee, (ii) by will or the laws of descent and distribution or pursuant to beneficiary designation procedures approved by the Company, in each case, incompliance with applicable laws. The Option shall not be subject to execution, attachment or similar process. Any attempted assignment, transfer, pledge, hypothecation or other</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120"/>
          </w:cols>
          <w:pgMar w:left="320" w:top="1318" w:right="459" w:bottom="1440" w:gutter="0" w:footer="0" w:header="0"/>
        </w:sectPr>
      </w:pPr>
    </w:p>
    <w:bookmarkStart w:id="119" w:name="page120"/>
    <w:bookmarkEnd w:id="119"/>
    <w:p>
      <w:pPr>
        <w:ind w:left="20"/>
        <w:spacing w:after="0"/>
        <w:rPr>
          <w:sz w:val="20"/>
          <w:szCs w:val="20"/>
          <w:color w:val="auto"/>
        </w:rPr>
      </w:pPr>
      <w:r>
        <w:rPr>
          <w:rFonts w:ascii="Times New Roman" w:cs="Times New Roman" w:eastAsia="Times New Roman" w:hAnsi="Times New Roman"/>
          <w:sz w:val="22"/>
          <w:szCs w:val="22"/>
          <w:color w:val="auto"/>
        </w:rPr>
        <w:t>disposition of the Option contrary to the provisions of this Award or the Plan shall be null and void and without effect.</w:t>
      </w:r>
    </w:p>
    <w:p>
      <w:pPr>
        <w:spacing w:after="0" w:line="220" w:lineRule="exact"/>
        <w:rPr>
          <w:sz w:val="20"/>
          <w:szCs w:val="20"/>
          <w:color w:val="auto"/>
        </w:rPr>
      </w:pPr>
    </w:p>
    <w:p>
      <w:pPr>
        <w:ind w:left="20" w:right="20" w:firstLine="647"/>
        <w:spacing w:after="0" w:line="220"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Participant’s Employment</w:t>
      </w:r>
      <w:r>
        <w:rPr>
          <w:rFonts w:ascii="Times New Roman" w:cs="Times New Roman" w:eastAsia="Times New Roman" w:hAnsi="Times New Roman"/>
          <w:sz w:val="22"/>
          <w:szCs w:val="22"/>
          <w:color w:val="auto"/>
        </w:rPr>
        <w:t>. Nothing in this Award shall confer upon the Participant any right to continue in the employ of the Company or any of its Affiliates or interfere in any way with the right of the Company and its Affiliates, in their sole discretion, to terminate the Participant’s employment or to increase or decrease the Participant’s compensation at any time.</w:t>
      </w:r>
    </w:p>
    <w:p>
      <w:pPr>
        <w:spacing w:after="0" w:line="193" w:lineRule="exact"/>
        <w:rPr>
          <w:sz w:val="20"/>
          <w:szCs w:val="20"/>
          <w:color w:val="auto"/>
        </w:rPr>
      </w:pPr>
    </w:p>
    <w:p>
      <w:pPr>
        <w:ind w:left="20" w:right="260" w:firstLine="647"/>
        <w:spacing w:after="0" w:line="236"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The Option shall automatically terminate and shall become null and void, be unexercisable and be of no further force and effect upon the earliest of:</w:t>
      </w:r>
    </w:p>
    <w:p>
      <w:pPr>
        <w:spacing w:after="0" w:line="177" w:lineRule="exact"/>
        <w:rPr>
          <w:sz w:val="20"/>
          <w:szCs w:val="20"/>
          <w:color w:val="auto"/>
        </w:rPr>
      </w:pPr>
    </w:p>
    <w:p>
      <w:pPr>
        <w:ind w:left="1960" w:hanging="647"/>
        <w:spacing w:after="0"/>
        <w:tabs>
          <w:tab w:leader="none" w:pos="19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Expiration Date;</w:t>
      </w:r>
    </w:p>
    <w:p>
      <w:pPr>
        <w:spacing w:after="0" w:line="219" w:lineRule="exact"/>
        <w:rPr>
          <w:rFonts w:ascii="Times New Roman" w:cs="Times New Roman" w:eastAsia="Times New Roman" w:hAnsi="Times New Roman"/>
          <w:sz w:val="22"/>
          <w:szCs w:val="22"/>
          <w:color w:val="auto"/>
        </w:rPr>
      </w:pPr>
    </w:p>
    <w:p>
      <w:pPr>
        <w:ind w:left="20" w:right="360" w:firstLine="1293"/>
        <w:spacing w:after="0" w:line="236" w:lineRule="auto"/>
        <w:tabs>
          <w:tab w:leader="none" w:pos="1864"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Termination of Relationship due to a Special Termination, with respect to any Options that are vested as of the Termination of Relationship, the first anniversary of the Termination of Relationship;</w:t>
      </w:r>
    </w:p>
    <w:p>
      <w:pPr>
        <w:spacing w:after="0" w:line="190" w:lineRule="exact"/>
        <w:rPr>
          <w:rFonts w:ascii="Times New Roman" w:cs="Times New Roman" w:eastAsia="Times New Roman" w:hAnsi="Times New Roman"/>
          <w:sz w:val="22"/>
          <w:szCs w:val="22"/>
          <w:color w:val="auto"/>
        </w:rPr>
      </w:pPr>
    </w:p>
    <w:p>
      <w:pPr>
        <w:ind w:left="20" w:right="320" w:firstLine="1293"/>
        <w:spacing w:after="0" w:line="236" w:lineRule="auto"/>
        <w:tabs>
          <w:tab w:leader="none" w:pos="1865"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Retirement with Notice, with respect to any Options that are or become vested upon or following the Termination of Relationship, the third anniversary of the Termination of Relationship;</w:t>
      </w:r>
    </w:p>
    <w:p>
      <w:pPr>
        <w:spacing w:after="0" w:line="177" w:lineRule="exact"/>
        <w:rPr>
          <w:rFonts w:ascii="Times New Roman" w:cs="Times New Roman" w:eastAsia="Times New Roman" w:hAnsi="Times New Roman"/>
          <w:sz w:val="22"/>
          <w:szCs w:val="22"/>
          <w:color w:val="auto"/>
        </w:rPr>
      </w:pPr>
    </w:p>
    <w:p>
      <w:pPr>
        <w:ind w:left="20" w:right="180" w:firstLine="1293"/>
        <w:spacing w:after="0" w:line="236" w:lineRule="auto"/>
        <w:tabs>
          <w:tab w:leader="none" w:pos="1864"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Termination of Relationship other than (x) for Cause or (y) due to a Special Termination or Retirement with Notice, the 90th day following the Termination of Relationship; and</w:t>
      </w:r>
    </w:p>
    <w:p>
      <w:pPr>
        <w:spacing w:after="0" w:line="190" w:lineRule="exact"/>
        <w:rPr>
          <w:rFonts w:ascii="Times New Roman" w:cs="Times New Roman" w:eastAsia="Times New Roman" w:hAnsi="Times New Roman"/>
          <w:sz w:val="22"/>
          <w:szCs w:val="22"/>
          <w:color w:val="auto"/>
        </w:rPr>
      </w:pPr>
    </w:p>
    <w:p>
      <w:pPr>
        <w:ind w:left="1860" w:hanging="547"/>
        <w:spacing w:after="0"/>
        <w:tabs>
          <w:tab w:leader="none" w:pos="18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day of the Termination of Relationship in the case of a Termination of Relationship for Cause.</w:t>
      </w:r>
    </w:p>
    <w:p>
      <w:pPr>
        <w:spacing w:after="0" w:line="216" w:lineRule="exact"/>
        <w:rPr>
          <w:sz w:val="20"/>
          <w:szCs w:val="20"/>
          <w:color w:val="auto"/>
        </w:rPr>
      </w:pPr>
    </w:p>
    <w:p>
      <w:pPr>
        <w:jc w:val="both"/>
        <w:ind w:left="20" w:firstLine="647"/>
        <w:spacing w:after="0" w:line="227"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b w:val="1"/>
          <w:bCs w:val="1"/>
          <w:u w:val="single" w:color="auto"/>
          <w:color w:val="auto"/>
        </w:rPr>
        <w:t>Data Protection</w:t>
      </w:r>
      <w:r>
        <w:rPr>
          <w:rFonts w:ascii="Times New Roman" w:cs="Times New Roman" w:eastAsia="Times New Roman" w:hAnsi="Times New Roman"/>
          <w:sz w:val="22"/>
          <w:szCs w:val="22"/>
          <w:b w:val="1"/>
          <w:bCs w:val="1"/>
          <w:color w:val="auto"/>
        </w:rPr>
        <w:t>. By accepting this Award, the Participant understands that the processing (including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international transfer) of personal data will take place as set out in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b w:val="1"/>
          <w:bCs w:val="1"/>
          <w:color w:val="auto"/>
        </w:rPr>
        <w:t xml:space="preserve"> attached hereto for the purposes specified therein and if required by applicable law, rule or regulation</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20" w:right="120" w:firstLine="647"/>
        <w:spacing w:after="0" w:line="217"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No Rights as Stockholder</w:t>
      </w:r>
      <w:r>
        <w:rPr>
          <w:rFonts w:ascii="Times New Roman" w:cs="Times New Roman" w:eastAsia="Times New Roman" w:hAnsi="Times New Roman"/>
          <w:sz w:val="22"/>
          <w:szCs w:val="22"/>
          <w:color w:val="auto"/>
        </w:rPr>
        <w:t>. The Participant shall not have any rights of a stockholder of the Company until shares of Common Stock have been issued pursuant to the exercise of the Options hereunder and until such shares have been registered in the Company’s register of stockholders (including, without limitation, the right to any payment of any dividends paid on Shares (which prohibition does not prevent the Company, in its discretion, from providing dividend equivalent payments to the Participant or reducing the exercise price in respect of the Option pursuant to the Plan)).</w:t>
      </w:r>
    </w:p>
    <w:p>
      <w:pPr>
        <w:spacing w:after="0" w:line="256" w:lineRule="exact"/>
        <w:rPr>
          <w:sz w:val="20"/>
          <w:szCs w:val="20"/>
          <w:color w:val="auto"/>
        </w:rPr>
      </w:pPr>
    </w:p>
    <w:p>
      <w:pPr>
        <w:ind w:left="20" w:right="40"/>
        <w:spacing w:after="0" w:line="211"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b w:val="1"/>
          <w:bCs w:val="1"/>
          <w:u w:val="single" w:color="auto"/>
          <w:color w:val="auto"/>
        </w:rPr>
        <w:t>No Acquired Rights</w:t>
      </w:r>
      <w:r>
        <w:rPr>
          <w:rFonts w:ascii="Times New Roman" w:cs="Times New Roman" w:eastAsia="Times New Roman" w:hAnsi="Times New Roman"/>
          <w:sz w:val="22"/>
          <w:szCs w:val="22"/>
          <w:color w:val="auto"/>
        </w:rPr>
        <w:t>. The Committee or the Board has the power to amend or terminate the Plan at any time and the opportunity given to the Participant to participate in the Plan and the grant of this Award is entirely at the discretion of the Committee or the Board and does not obligate the Company or any of its Affiliates to offer such participation in the future (whether on the same or different terms). The Participant’s</w:t>
      </w:r>
    </w:p>
    <w:p>
      <w:pPr>
        <w:spacing w:after="0" w:line="2" w:lineRule="exact"/>
        <w:rPr>
          <w:sz w:val="20"/>
          <w:szCs w:val="20"/>
          <w:color w:val="auto"/>
        </w:rPr>
      </w:pPr>
    </w:p>
    <w:p>
      <w:pPr>
        <w:ind w:left="20" w:right="100"/>
        <w:spacing w:after="0" w:line="212" w:lineRule="auto"/>
        <w:rPr>
          <w:sz w:val="20"/>
          <w:szCs w:val="20"/>
          <w:color w:val="auto"/>
        </w:rPr>
      </w:pPr>
      <w:r>
        <w:rPr>
          <w:rFonts w:ascii="Times New Roman" w:cs="Times New Roman" w:eastAsia="Times New Roman" w:hAnsi="Times New Roman"/>
          <w:sz w:val="22"/>
          <w:szCs w:val="22"/>
          <w:color w:val="auto"/>
        </w:rPr>
        <w:t>participation in the Plan and the receipt of this Award is outside the terms of the Participant’s regular contract of employment and is therefore not to be considered part of any normal or expected compensation and that the termination of the Participant’s employment under any circumstances whatsoever will give the Participant no claim or right of action against the Company or its Affiliates in respect of any loss of rights under this Award or the Plan that may arise as a result of such termination of employment.</w:t>
      </w:r>
    </w:p>
    <w:p>
      <w:pPr>
        <w:spacing w:after="0" w:line="195" w:lineRule="exact"/>
        <w:rPr>
          <w:sz w:val="20"/>
          <w:szCs w:val="20"/>
          <w:color w:val="auto"/>
        </w:rPr>
      </w:pPr>
    </w:p>
    <w:p>
      <w:pPr>
        <w:ind w:left="20" w:right="140" w:firstLine="647"/>
        <w:spacing w:after="0" w:line="236"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claims, certifications, requests, demands and other communications hereunder shall be in writing and shall be deemed to have been duly given and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020"/>
          </w:cols>
          <w:pgMar w:left="400" w:top="1314" w:right="479" w:bottom="1440" w:gutter="0" w:footer="0" w:header="0"/>
        </w:sectPr>
      </w:pPr>
    </w:p>
    <w:bookmarkStart w:id="120" w:name="page121"/>
    <w:bookmarkEnd w:id="120"/>
    <w:p>
      <w:pPr>
        <w:ind w:left="20" w:right="340"/>
        <w:spacing w:after="0" w:line="236" w:lineRule="auto"/>
        <w:rPr>
          <w:sz w:val="20"/>
          <w:szCs w:val="20"/>
          <w:color w:val="auto"/>
        </w:rPr>
      </w:pPr>
      <w:r>
        <w:rPr>
          <w:rFonts w:ascii="Times New Roman" w:cs="Times New Roman" w:eastAsia="Times New Roman" w:hAnsi="Times New Roman"/>
          <w:sz w:val="22"/>
          <w:szCs w:val="22"/>
          <w:color w:val="auto"/>
        </w:rPr>
        <w:t>delivered if personally delivered or if sent by nationally-recognized overnight courier, by telecopy, email or by registered or certified mail, return receipt requested and postage prepaid, addressed as follows:</w:t>
      </w:r>
    </w:p>
    <w:p>
      <w:pPr>
        <w:spacing w:after="0" w:line="35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If to the Company, to: Aramark</w:t>
      </w:r>
    </w:p>
    <w:p>
      <w:pPr>
        <w:spacing w:after="0" w:line="11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2400 Market Street</w:t>
      </w:r>
    </w:p>
    <w:p>
      <w:pPr>
        <w:ind w:left="1960"/>
        <w:spacing w:after="0"/>
        <w:rPr>
          <w:sz w:val="20"/>
          <w:szCs w:val="20"/>
          <w:color w:val="auto"/>
        </w:rPr>
      </w:pPr>
      <w:r>
        <w:rPr>
          <w:rFonts w:ascii="Times New Roman" w:cs="Times New Roman" w:eastAsia="Times New Roman" w:hAnsi="Times New Roman"/>
          <w:sz w:val="22"/>
          <w:szCs w:val="22"/>
          <w:color w:val="auto"/>
        </w:rPr>
        <w:t>Philadelphia, PA 19103 Attention: General Counsel</w:t>
      </w:r>
    </w:p>
    <w:p>
      <w:pPr>
        <w:spacing w:after="0" w:line="196" w:lineRule="exact"/>
        <w:rPr>
          <w:sz w:val="20"/>
          <w:szCs w:val="20"/>
          <w:color w:val="auto"/>
        </w:rPr>
      </w:pPr>
    </w:p>
    <w:p>
      <w:pPr>
        <w:ind w:left="20" w:right="100"/>
        <w:spacing w:after="0" w:line="224" w:lineRule="auto"/>
        <w:rPr>
          <w:sz w:val="20"/>
          <w:szCs w:val="20"/>
          <w:color w:val="auto"/>
        </w:rPr>
      </w:pPr>
      <w:r>
        <w:rPr>
          <w:rFonts w:ascii="Times New Roman" w:cs="Times New Roman" w:eastAsia="Times New Roman" w:hAnsi="Times New Roman"/>
          <w:sz w:val="21"/>
          <w:szCs w:val="21"/>
          <w:color w:val="auto"/>
        </w:rPr>
        <w:t>If to the Participant, to him or her at the address set forth on the signature page hereto; or to such other address as the party to whom notice is to be given may have furnished to the other party in writing in accordance herewith. Any such notice or other communication shall be deemed to have been received (a) in the case of personal delivery, on the date of such delivery (or if such date is not a business day, on the next business day after the date of delivery), (b) in the case of nationally-recognized overnight courier, on the next business day after the date sent, (c) in the case of telecopy transmission, when received (or if not sent on a business day, on the next business day after the date sent), and (d) in the case of mailing, on the third business day following that on which the piece of mail containing such communication is posted.</w:t>
      </w:r>
    </w:p>
    <w:p>
      <w:pPr>
        <w:spacing w:after="0" w:line="191" w:lineRule="exact"/>
        <w:rPr>
          <w:sz w:val="20"/>
          <w:szCs w:val="20"/>
          <w:color w:val="auto"/>
        </w:rPr>
      </w:pPr>
    </w:p>
    <w:p>
      <w:pPr>
        <w:ind w:left="20" w:firstLine="647"/>
        <w:spacing w:after="0" w:line="236"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Waiver of Breach</w:t>
      </w:r>
      <w:r>
        <w:rPr>
          <w:rFonts w:ascii="Times New Roman" w:cs="Times New Roman" w:eastAsia="Times New Roman" w:hAnsi="Times New Roman"/>
          <w:sz w:val="22"/>
          <w:szCs w:val="22"/>
          <w:color w:val="auto"/>
        </w:rPr>
        <w:t>. The waiver by either party of a breach of any provision of this Award must be in writing and shall not operate or be construed as a waiver of any other or subsequent breach.</w:t>
      </w:r>
    </w:p>
    <w:p>
      <w:pPr>
        <w:spacing w:after="0" w:line="258" w:lineRule="exact"/>
        <w:rPr>
          <w:sz w:val="20"/>
          <w:szCs w:val="20"/>
          <w:color w:val="auto"/>
        </w:rPr>
      </w:pPr>
    </w:p>
    <w:p>
      <w:pPr>
        <w:ind w:left="20" w:right="220" w:firstLine="647"/>
        <w:spacing w:after="0" w:line="212" w:lineRule="auto"/>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AWARD WILL BE GOVERNED BY AND CONSTRUED IN ACCORDANCE WITH THE LAWS OF THE STATE OF NEW YORK, WITHOUT GIVING EFFECT TO ANY CHOICE OR CONFLICT OF LAW PROVISION OR RULE (WHETHER OF THE STATE OF NEW YORK OR ANY OTHER JURISDICTION) THAT WOULD CAUSE THE LAWS OF ANY JURISDICTION OTHER THAN THE STATE OF NEW YORK TO BE APPLIED. IN FURTHERANCE OF THE FOREGOING, THE INTERNAL LAW OF THE STATE OF NEW YORK WILL CONTROL THE INTERPRETATION AND CONSTRUCTION OF THIS AWARD, EVEN IF UNDER SUCH JURISDICTION’S CHOICE OF LAW OR CONFLICT OF LAW ANALYSIS, THE SUBSTANTIVE LAW OF SOME OTHER JURISDICTION WOULD ORDINARILY APPLY.</w:t>
      </w:r>
    </w:p>
    <w:p>
      <w:pPr>
        <w:spacing w:after="0" w:line="8" w:lineRule="exact"/>
        <w:rPr>
          <w:sz w:val="20"/>
          <w:szCs w:val="20"/>
          <w:color w:val="auto"/>
        </w:rPr>
      </w:pPr>
    </w:p>
    <w:p>
      <w:pPr>
        <w:ind w:left="20" w:right="80" w:firstLine="647"/>
        <w:spacing w:after="0" w:line="225" w:lineRule="auto"/>
        <w:rPr>
          <w:sz w:val="20"/>
          <w:szCs w:val="20"/>
          <w:color w:val="auto"/>
        </w:rPr>
      </w:pPr>
      <w:r>
        <w:rPr>
          <w:rFonts w:ascii="Times New Roman" w:cs="Times New Roman" w:eastAsia="Times New Roman" w:hAnsi="Times New Roman"/>
          <w:sz w:val="22"/>
          <w:szCs w:val="22"/>
          <w:color w:val="auto"/>
        </w:rPr>
        <w:t xml:space="preserve">Section 14. </w:t>
      </w: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As a condition to exercising this Option in whole or in part, the Participant will pay, or make provisions satisfactory to the Company for payment of, any Federal, state, local and other applicable taxes required to be withheld in connection with such exercise in a manner that is set forth in Section 7(d) of the Plan.</w:t>
      </w:r>
    </w:p>
    <w:p>
      <w:pPr>
        <w:spacing w:after="0" w:line="179" w:lineRule="exact"/>
        <w:rPr>
          <w:sz w:val="20"/>
          <w:szCs w:val="20"/>
          <w:color w:val="auto"/>
        </w:rPr>
      </w:pPr>
    </w:p>
    <w:p>
      <w:pPr>
        <w:ind w:left="20" w:right="180" w:firstLine="647"/>
        <w:spacing w:after="0" w:line="236" w:lineRule="auto"/>
        <w:rPr>
          <w:sz w:val="20"/>
          <w:szCs w:val="20"/>
          <w:color w:val="auto"/>
        </w:rPr>
      </w:pPr>
      <w:r>
        <w:rPr>
          <w:rFonts w:ascii="Times New Roman" w:cs="Times New Roman" w:eastAsia="Times New Roman" w:hAnsi="Times New Roman"/>
          <w:sz w:val="22"/>
          <w:szCs w:val="22"/>
          <w:color w:val="auto"/>
        </w:rPr>
        <w:t xml:space="preserve">Section 15. </w:t>
      </w:r>
      <w:r>
        <w:rPr>
          <w:rFonts w:ascii="Times New Roman" w:cs="Times New Roman" w:eastAsia="Times New Roman" w:hAnsi="Times New Roman"/>
          <w:sz w:val="22"/>
          <w:szCs w:val="22"/>
          <w:u w:val="single" w:color="auto"/>
          <w:color w:val="auto"/>
        </w:rPr>
        <w:t>Adjustment to Option</w:t>
      </w:r>
      <w:r>
        <w:rPr>
          <w:rFonts w:ascii="Times New Roman" w:cs="Times New Roman" w:eastAsia="Times New Roman" w:hAnsi="Times New Roman"/>
          <w:sz w:val="22"/>
          <w:szCs w:val="22"/>
          <w:color w:val="auto"/>
        </w:rPr>
        <w:t>. In the event of any event described in Section 12 of the Plan occurring after the Grant Date, the adjustment provisions (including cash payments) as provided for under Section 12 of the Plan shall apply.</w:t>
      </w:r>
    </w:p>
    <w:p>
      <w:pPr>
        <w:spacing w:after="0" w:line="191" w:lineRule="exact"/>
        <w:rPr>
          <w:sz w:val="20"/>
          <w:szCs w:val="20"/>
          <w:color w:val="auto"/>
        </w:rPr>
      </w:pPr>
    </w:p>
    <w:p>
      <w:pPr>
        <w:ind w:left="20" w:right="440" w:firstLine="647"/>
        <w:spacing w:after="0" w:line="236" w:lineRule="auto"/>
        <w:rPr>
          <w:sz w:val="20"/>
          <w:szCs w:val="20"/>
          <w:color w:val="auto"/>
        </w:rPr>
      </w:pPr>
      <w:r>
        <w:rPr>
          <w:rFonts w:ascii="Times New Roman" w:cs="Times New Roman" w:eastAsia="Times New Roman" w:hAnsi="Times New Roman"/>
          <w:sz w:val="22"/>
          <w:szCs w:val="22"/>
          <w:color w:val="auto"/>
        </w:rPr>
        <w:t xml:space="preserve">Section 16. </w:t>
      </w:r>
      <w:r>
        <w:rPr>
          <w:rFonts w:ascii="Times New Roman" w:cs="Times New Roman" w:eastAsia="Times New Roman" w:hAnsi="Times New Roman"/>
          <w:sz w:val="22"/>
          <w:szCs w:val="22"/>
          <w:u w:val="single" w:color="auto"/>
          <w:color w:val="auto"/>
        </w:rPr>
        <w:t>Section 409A of the Code</w:t>
      </w:r>
      <w:r>
        <w:rPr>
          <w:rFonts w:ascii="Times New Roman" w:cs="Times New Roman" w:eastAsia="Times New Roman" w:hAnsi="Times New Roman"/>
          <w:sz w:val="22"/>
          <w:szCs w:val="22"/>
          <w:color w:val="auto"/>
        </w:rPr>
        <w:t>. This Option is intended to constitute a “stock right” within the meaning of Section 409A of the Code, and shall otherwise be subject to the provisions of Section 14(v) of the Plan.</w:t>
      </w:r>
    </w:p>
    <w:p>
      <w:pPr>
        <w:spacing w:after="0" w:line="191" w:lineRule="exact"/>
        <w:rPr>
          <w:sz w:val="20"/>
          <w:szCs w:val="20"/>
          <w:color w:val="auto"/>
        </w:rPr>
      </w:pPr>
    </w:p>
    <w:p>
      <w:pPr>
        <w:ind w:left="20" w:right="140" w:firstLine="647"/>
        <w:spacing w:after="0" w:line="220" w:lineRule="auto"/>
        <w:rPr>
          <w:sz w:val="20"/>
          <w:szCs w:val="20"/>
          <w:color w:val="auto"/>
        </w:rPr>
      </w:pPr>
      <w:r>
        <w:rPr>
          <w:rFonts w:ascii="Times New Roman" w:cs="Times New Roman" w:eastAsia="Times New Roman" w:hAnsi="Times New Roman"/>
          <w:sz w:val="22"/>
          <w:szCs w:val="22"/>
          <w:color w:val="auto"/>
        </w:rPr>
        <w:t xml:space="preserve">Section 17. </w:t>
      </w:r>
      <w:r>
        <w:rPr>
          <w:rFonts w:ascii="Times New Roman" w:cs="Times New Roman" w:eastAsia="Times New Roman" w:hAnsi="Times New Roman"/>
          <w:sz w:val="22"/>
          <w:szCs w:val="22"/>
          <w:u w:val="single" w:color="auto"/>
          <w:color w:val="auto"/>
        </w:rPr>
        <w:t>Modification of Rights; Entire Agreement</w:t>
      </w:r>
      <w:r>
        <w:rPr>
          <w:rFonts w:ascii="Times New Roman" w:cs="Times New Roman" w:eastAsia="Times New Roman" w:hAnsi="Times New Roman"/>
          <w:sz w:val="22"/>
          <w:szCs w:val="22"/>
          <w:color w:val="auto"/>
        </w:rPr>
        <w:t>. The Participant’s rights under this Award, the Certificate of Grant and the Plan may be modified only to the extent expressly provided under this Award or under Sections 14(a) and (b) of the Plan. This Award, the Certificate of Grant and the Plan constitute the entire agreement between the parties with respect to the subject matter hereof and thereof and supersede all prior written or oral negotiations,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060"/>
          </w:cols>
          <w:pgMar w:left="400" w:top="1314" w:right="439" w:bottom="1440" w:gutter="0" w:footer="0" w:header="0"/>
        </w:sectPr>
      </w:pPr>
    </w:p>
    <w:bookmarkStart w:id="121" w:name="page122"/>
    <w:bookmarkEnd w:id="121"/>
    <w:p>
      <w:pPr>
        <w:ind w:left="100" w:right="280"/>
        <w:spacing w:after="0" w:line="225" w:lineRule="auto"/>
        <w:rPr>
          <w:sz w:val="20"/>
          <w:szCs w:val="20"/>
          <w:color w:val="auto"/>
        </w:rPr>
      </w:pPr>
      <w:r>
        <w:rPr>
          <w:rFonts w:ascii="Times New Roman" w:cs="Times New Roman" w:eastAsia="Times New Roman" w:hAnsi="Times New Roman"/>
          <w:sz w:val="22"/>
          <w:szCs w:val="22"/>
          <w:color w:val="auto"/>
        </w:rPr>
        <w:t>commitments, representations and agreements with respect thereto. For the avoidance of doubt, this Award, the Certificate of Grant and the Plan do not supersede any "Restrictive Covenant Agreement" (as defined below) or employment agreement between the Participant and the Company or its Affiliates.</w:t>
      </w:r>
    </w:p>
    <w:p>
      <w:pPr>
        <w:spacing w:after="0" w:line="193" w:lineRule="exact"/>
        <w:rPr>
          <w:sz w:val="20"/>
          <w:szCs w:val="20"/>
          <w:color w:val="auto"/>
        </w:rPr>
      </w:pPr>
    </w:p>
    <w:p>
      <w:pPr>
        <w:ind w:left="100" w:right="300" w:firstLine="647"/>
        <w:spacing w:after="0" w:line="210" w:lineRule="auto"/>
        <w:rPr>
          <w:sz w:val="20"/>
          <w:szCs w:val="20"/>
          <w:color w:val="auto"/>
        </w:rPr>
      </w:pPr>
      <w:r>
        <w:rPr>
          <w:rFonts w:ascii="Times New Roman" w:cs="Times New Roman" w:eastAsia="Times New Roman" w:hAnsi="Times New Roman"/>
          <w:sz w:val="22"/>
          <w:szCs w:val="22"/>
          <w:color w:val="auto"/>
        </w:rPr>
        <w:t xml:space="preserve">Section 18. </w:t>
      </w:r>
      <w:r>
        <w:rPr>
          <w:rFonts w:ascii="Times New Roman" w:cs="Times New Roman" w:eastAsia="Times New Roman" w:hAnsi="Times New Roman"/>
          <w:sz w:val="22"/>
          <w:szCs w:val="22"/>
          <w:u w:val="single" w:color="auto"/>
          <w:color w:val="auto"/>
        </w:rPr>
        <w:t>Clawback upon Breach of Restrictive Covenants</w:t>
      </w:r>
      <w:r>
        <w:rPr>
          <w:rFonts w:ascii="Times New Roman" w:cs="Times New Roman" w:eastAsia="Times New Roman" w:hAnsi="Times New Roman"/>
          <w:sz w:val="22"/>
          <w:szCs w:val="22"/>
          <w:color w:val="auto"/>
        </w:rPr>
        <w:t>. In the event the Participant breaches the Participant’s “Restrictive Covenant Agreement” (as defined below) at any time during the Participant’s employment with the Company or within two years following the termination thereof, then without limiting any other remedies available to the Company (including, without limitation, remedies involving injunctive relief), the Participant shall immediately forfeit any remaining unvested portion of the Option and the Participant shall be required to return to the Company all Shares previously issued in respect of the Option (net of exercise price paid) to the extent the Participant continues to own such Shares or, if the Participant no longer owns such Shares, the Participant shall be required to repay to the Company the pre-tax cash value of such Shares calculated based on the Fair Market Value of such Shares on the date such Shares were issued to the Participant in respect of the Option. As used herein, the “Restrictive Covenant Agreement” means any agreement between the Participant and the Company or its Affiliates (including, without limitation, any agreement relating to employment and post-employment competition) subjecting the Participant to confidentiality, non-solicitation, non-competition and/or other restrictive covenants in favor of the Company or its Affiliates.</w:t>
      </w:r>
    </w:p>
    <w:p>
      <w:pPr>
        <w:spacing w:after="0" w:line="179" w:lineRule="exact"/>
        <w:rPr>
          <w:sz w:val="20"/>
          <w:szCs w:val="20"/>
          <w:color w:val="auto"/>
        </w:rPr>
      </w:pPr>
    </w:p>
    <w:p>
      <w:pPr>
        <w:ind w:left="100" w:right="160" w:firstLine="647"/>
        <w:spacing w:after="0" w:line="215" w:lineRule="auto"/>
        <w:rPr>
          <w:sz w:val="20"/>
          <w:szCs w:val="20"/>
          <w:color w:val="auto"/>
        </w:rPr>
      </w:pPr>
      <w:r>
        <w:rPr>
          <w:rFonts w:ascii="Times New Roman" w:cs="Times New Roman" w:eastAsia="Times New Roman" w:hAnsi="Times New Roman"/>
          <w:sz w:val="22"/>
          <w:szCs w:val="22"/>
          <w:color w:val="auto"/>
        </w:rPr>
        <w:t xml:space="preserve">Section 19.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It is the desire and intent of the parties hereto that the provisions of this Award be enforced to the fullest extent permissible under the laws and public policies applied in each jurisdiction in which enforcement is sought. Accordingly, if any particular provision of this Award shall be adjudicated by a court of competent jurisdiction to be invalid, prohibited or unenforceable for any reason, such provision, as to such jurisdiction, shall be ineffective, without invalidating the remaining provisions of this Award or affecting the validity or enforceability of such provision in any other jurisdiction. Notwithstanding the</w:t>
      </w:r>
    </w:p>
    <w:p>
      <w:pPr>
        <w:spacing w:after="0" w:line="4"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2"/>
          <w:szCs w:val="22"/>
          <w:color w:val="auto"/>
        </w:rPr>
        <w:t>foregoing, if such provision could be more narrowly drawn so as not to be invalid, prohibited or unenforceable in such jurisdiction, it shall, as to such jurisdiction, be so narrowly drawn, without invalidating the remaining provisions of this Award or affecting the validity or enforceability of such provision in any other jurisdiction.</w:t>
      </w:r>
    </w:p>
    <w:p>
      <w:pPr>
        <w:spacing w:after="0" w:line="341" w:lineRule="exact"/>
        <w:rPr>
          <w:sz w:val="20"/>
          <w:szCs w:val="20"/>
          <w:color w:val="auto"/>
        </w:rPr>
      </w:pPr>
    </w:p>
    <w:p>
      <w:pPr>
        <w:ind w:left="660"/>
        <w:spacing w:after="0"/>
        <w:tabs>
          <w:tab w:leader="none" w:pos="4340" w:val="left"/>
        </w:tabs>
        <w:rPr>
          <w:sz w:val="20"/>
          <w:szCs w:val="20"/>
          <w:color w:val="auto"/>
        </w:rPr>
      </w:pPr>
      <w:r>
        <w:rPr>
          <w:rFonts w:ascii="Times New Roman" w:cs="Times New Roman" w:eastAsia="Times New Roman" w:hAnsi="Times New Roman"/>
          <w:sz w:val="22"/>
          <w:szCs w:val="22"/>
          <w:color w:val="auto"/>
        </w:rPr>
        <w:t>Name: [(Per Certificate of Grant)] Date:</w:t>
      </w:r>
      <w:r>
        <w:rPr>
          <w:sz w:val="20"/>
          <w:szCs w:val="20"/>
          <w:color w:val="auto"/>
        </w:rPr>
        <w:tab/>
      </w:r>
      <w:r>
        <w:rPr>
          <w:rFonts w:ascii="Times New Roman" w:cs="Times New Roman" w:eastAsia="Times New Roman" w:hAnsi="Times New Roman"/>
          <w:sz w:val="21"/>
          <w:szCs w:val="21"/>
          <w:color w:val="auto"/>
        </w:rPr>
        <w:t>[Acceptance Date]</w:t>
      </w:r>
    </w:p>
    <w:p>
      <w:pPr>
        <w:spacing w:after="0" w:line="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[Note: Grant will be accepted electronically.]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180"/>
          </w:cols>
          <w:pgMar w:left="320" w:top="1314" w:right="399" w:bottom="1440" w:gutter="0" w:footer="0" w:header="0"/>
        </w:sectPr>
      </w:pPr>
    </w:p>
    <w:bookmarkStart w:id="122" w:name="page123"/>
    <w:bookmarkEnd w:id="122"/>
    <w:p>
      <w:pPr>
        <w:jc w:val="center"/>
        <w:ind w:right="-191"/>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87" w:lineRule="exact"/>
        <w:rPr>
          <w:sz w:val="20"/>
          <w:szCs w:val="20"/>
          <w:color w:val="auto"/>
        </w:rPr>
      </w:pPr>
    </w:p>
    <w:p>
      <w:pPr>
        <w:jc w:val="center"/>
        <w:ind w:right="-191"/>
        <w:spacing w:after="0"/>
        <w:rPr>
          <w:sz w:val="20"/>
          <w:szCs w:val="20"/>
          <w:color w:val="auto"/>
        </w:rPr>
      </w:pPr>
      <w:r>
        <w:rPr>
          <w:rFonts w:ascii="Times New Roman" w:cs="Times New Roman" w:eastAsia="Times New Roman" w:hAnsi="Times New Roman"/>
          <w:sz w:val="22"/>
          <w:szCs w:val="22"/>
          <w:b w:val="1"/>
          <w:bCs w:val="1"/>
          <w:color w:val="auto"/>
        </w:rPr>
        <w:t>DATA PRIVACY NOTICE</w:t>
      </w:r>
    </w:p>
    <w:p>
      <w:pPr>
        <w:spacing w:after="0" w:line="200" w:lineRule="exact"/>
        <w:rPr>
          <w:sz w:val="20"/>
          <w:szCs w:val="20"/>
          <w:color w:val="auto"/>
        </w:rPr>
      </w:pPr>
    </w:p>
    <w:p>
      <w:pPr>
        <w:spacing w:after="0" w:line="334" w:lineRule="exact"/>
        <w:rPr>
          <w:sz w:val="20"/>
          <w:szCs w:val="20"/>
          <w:color w:val="auto"/>
        </w:rPr>
      </w:pPr>
    </w:p>
    <w:p>
      <w:pPr>
        <w:ind w:left="652" w:hanging="652"/>
        <w:spacing w:after="0" w:line="227" w:lineRule="auto"/>
        <w:tabs>
          <w:tab w:leader="none" w:pos="649"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participating in the Plan or accepting any rights granted under it, the Participant understands that the Company and its Affiliates and/or agents collect, use, store and process personal data relating to the Participant to fulfill their obligations and exercise their rights under the Plan, issue certificates (if any), statements and communications relating to the Plan and generally administer and manage the Plan, including keeping records of participation levels from time to time. Any such processing will take place as described in this data privacy notice (“</w:t>
      </w:r>
      <w:r>
        <w:rPr>
          <w:rFonts w:ascii="Times New Roman" w:cs="Times New Roman" w:eastAsia="Times New Roman" w:hAnsi="Times New Roman"/>
          <w:sz w:val="21"/>
          <w:szCs w:val="21"/>
          <w:u w:val="single" w:color="auto"/>
          <w:color w:val="auto"/>
        </w:rPr>
        <w:t>Data Privacy Notice</w:t>
      </w:r>
      <w:r>
        <w:rPr>
          <w:rFonts w:ascii="Times New Roman" w:cs="Times New Roman" w:eastAsia="Times New Roman" w:hAnsi="Times New Roman"/>
          <w:sz w:val="21"/>
          <w:szCs w:val="21"/>
          <w:color w:val="auto"/>
        </w:rPr>
        <w:t>”).</w:t>
      </w:r>
    </w:p>
    <w:p>
      <w:pPr>
        <w:spacing w:after="0" w:line="194" w:lineRule="exact"/>
        <w:rPr>
          <w:sz w:val="20"/>
          <w:szCs w:val="20"/>
          <w:color w:val="auto"/>
        </w:rPr>
      </w:pPr>
    </w:p>
    <w:p>
      <w:pPr>
        <w:ind w:left="92"/>
        <w:spacing w:after="0"/>
        <w:rPr>
          <w:sz w:val="20"/>
          <w:szCs w:val="20"/>
          <w:color w:val="auto"/>
        </w:rPr>
      </w:pPr>
      <w:r>
        <w:rPr>
          <w:rFonts w:ascii="Times New Roman" w:cs="Times New Roman" w:eastAsia="Times New Roman" w:hAnsi="Times New Roman"/>
          <w:sz w:val="22"/>
          <w:szCs w:val="22"/>
          <w:color w:val="auto"/>
        </w:rPr>
        <w:t>These data will include data:</w:t>
      </w:r>
    </w:p>
    <w:p>
      <w:pPr>
        <w:spacing w:after="0" w:line="206" w:lineRule="exact"/>
        <w:rPr>
          <w:sz w:val="20"/>
          <w:szCs w:val="20"/>
          <w:color w:val="auto"/>
        </w:rPr>
      </w:pPr>
    </w:p>
    <w:p>
      <w:pPr>
        <w:ind w:left="1552" w:right="240" w:hanging="13"/>
        <w:spacing w:after="0" w:line="236" w:lineRule="auto"/>
        <w:tabs>
          <w:tab w:leader="none" w:pos="1936"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already held in the Participant's records such as the Participant's name and address, ID number, payroll number, length of service and whether the Participant works full-time or part time;</w:t>
      </w:r>
    </w:p>
    <w:p>
      <w:pPr>
        <w:spacing w:after="0" w:line="190" w:lineRule="exact"/>
        <w:rPr>
          <w:rFonts w:ascii="Times New Roman" w:cs="Times New Roman" w:eastAsia="Times New Roman" w:hAnsi="Times New Roman"/>
          <w:sz w:val="22"/>
          <w:szCs w:val="22"/>
          <w:color w:val="auto"/>
        </w:rPr>
      </w:pPr>
    </w:p>
    <w:p>
      <w:pPr>
        <w:ind w:left="1932" w:hanging="384"/>
        <w:spacing w:after="0"/>
        <w:tabs>
          <w:tab w:leader="none" w:pos="1932"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collected upon the Participant accepting the rights granted under the Plan (if applicable); and</w:t>
      </w:r>
    </w:p>
    <w:p>
      <w:pPr>
        <w:spacing w:after="0" w:line="206" w:lineRule="exact"/>
        <w:rPr>
          <w:rFonts w:ascii="Times New Roman" w:cs="Times New Roman" w:eastAsia="Times New Roman" w:hAnsi="Times New Roman"/>
          <w:sz w:val="22"/>
          <w:szCs w:val="22"/>
          <w:color w:val="auto"/>
        </w:rPr>
      </w:pPr>
    </w:p>
    <w:p>
      <w:pPr>
        <w:ind w:left="2032" w:hanging="485"/>
        <w:spacing w:after="0"/>
        <w:tabs>
          <w:tab w:leader="none" w:pos="2032"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subsequently collected</w:t>
      </w:r>
    </w:p>
    <w:p>
      <w:pPr>
        <w:spacing w:after="0" w:line="220" w:lineRule="exact"/>
        <w:rPr>
          <w:sz w:val="20"/>
          <w:szCs w:val="20"/>
          <w:color w:val="auto"/>
        </w:rPr>
      </w:pPr>
    </w:p>
    <w:p>
      <w:pPr>
        <w:ind w:left="1552" w:right="20"/>
        <w:spacing w:after="0" w:line="217" w:lineRule="auto"/>
        <w:rPr>
          <w:sz w:val="20"/>
          <w:szCs w:val="20"/>
          <w:color w:val="auto"/>
        </w:rPr>
      </w:pPr>
      <w:r>
        <w:rPr>
          <w:rFonts w:ascii="Times New Roman" w:cs="Times New Roman" w:eastAsia="Times New Roman" w:hAnsi="Times New Roman"/>
          <w:sz w:val="22"/>
          <w:szCs w:val="22"/>
          <w:color w:val="auto"/>
        </w:rPr>
        <w:t>by the Company or any of its Affiliates and/or agents in relation to the Participant's continued participation in the Plan, for example, data about shares offered or received, purchased or sold under the Plan from time to time and other appropriate financial and other data about the Participant and his or her participation in the Plan (e.g., the date on which the shares were granted, termination of employment and the reasons of termination of employment or retirement of the Participant).</w:t>
      </w:r>
    </w:p>
    <w:p>
      <w:pPr>
        <w:spacing w:after="0" w:line="200" w:lineRule="exact"/>
        <w:rPr>
          <w:sz w:val="20"/>
          <w:szCs w:val="20"/>
          <w:color w:val="auto"/>
        </w:rPr>
      </w:pPr>
    </w:p>
    <w:p>
      <w:pPr>
        <w:spacing w:after="0" w:line="317" w:lineRule="exact"/>
        <w:rPr>
          <w:sz w:val="20"/>
          <w:szCs w:val="20"/>
          <w:color w:val="auto"/>
        </w:rPr>
      </w:pPr>
    </w:p>
    <w:p>
      <w:pPr>
        <w:ind w:left="572" w:right="280" w:hanging="572"/>
        <w:spacing w:after="0" w:line="203" w:lineRule="auto"/>
        <w:tabs>
          <w:tab w:leader="none" w:pos="567"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Personal data about the Participant as described in paragraph (a) above may be transferred not only within the country in which the Participant is based from time to time or within the European Economic Area</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21"/>
          <w:szCs w:val="21"/>
          <w:color w:val="auto"/>
        </w:rPr>
        <w:t xml:space="preserve"> (“EEA”), but also worldwide, to other Affiliates and/or agents and to the following third parties for the purposes described in paragraph</w:t>
      </w:r>
    </w:p>
    <w:p>
      <w:pPr>
        <w:ind w:left="852" w:hanging="285"/>
        <w:spacing w:after="0"/>
        <w:tabs>
          <w:tab w:leader="none" w:pos="852"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w:t>
      </w:r>
    </w:p>
    <w:p>
      <w:pPr>
        <w:spacing w:after="0" w:line="182" w:lineRule="exact"/>
        <w:rPr>
          <w:rFonts w:ascii="Times New Roman" w:cs="Times New Roman" w:eastAsia="Times New Roman" w:hAnsi="Times New Roman"/>
          <w:sz w:val="22"/>
          <w:szCs w:val="22"/>
          <w:color w:val="auto"/>
        </w:rPr>
      </w:pPr>
    </w:p>
    <w:p>
      <w:pPr>
        <w:ind w:left="1552" w:right="160" w:hanging="4"/>
        <w:spacing w:after="0" w:line="225" w:lineRule="auto"/>
        <w:tabs>
          <w:tab w:leader="none" w:pos="1945" w:val="left"/>
        </w:tabs>
        <w:numPr>
          <w:ilvl w:val="2"/>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 administrators, transfer agents, auditors, brokers, agents and contractors of, and third party service providers to, the Company or its Affiliates such as printers and mail houses engaged to print or distribute notices or communications about the Plan;</w:t>
      </w:r>
    </w:p>
    <w:p>
      <w:pPr>
        <w:spacing w:after="0" w:line="180" w:lineRule="exact"/>
        <w:rPr>
          <w:rFonts w:ascii="Times New Roman" w:cs="Times New Roman" w:eastAsia="Times New Roman" w:hAnsi="Times New Roman"/>
          <w:sz w:val="22"/>
          <w:szCs w:val="22"/>
          <w:color w:val="auto"/>
        </w:rPr>
      </w:pPr>
    </w:p>
    <w:p>
      <w:pPr>
        <w:ind w:left="1932" w:hanging="384"/>
        <w:spacing w:after="0"/>
        <w:tabs>
          <w:tab w:leader="none" w:pos="1932" w:val="left"/>
        </w:tabs>
        <w:numPr>
          <w:ilvl w:val="2"/>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regulators, tax authorities, stock or security exchanges and other supervisory, regulatory,</w:t>
      </w:r>
    </w:p>
    <w:p>
      <w:pPr>
        <w:ind w:left="1552"/>
        <w:spacing w:after="0"/>
        <w:rPr>
          <w:sz w:val="20"/>
          <w:szCs w:val="20"/>
          <w:color w:val="auto"/>
        </w:rPr>
      </w:pPr>
      <w:r>
        <w:rPr>
          <w:rFonts w:ascii="Times New Roman" w:cs="Times New Roman" w:eastAsia="Times New Roman" w:hAnsi="Times New Roman"/>
          <w:sz w:val="22"/>
          <w:szCs w:val="22"/>
          <w:color w:val="auto"/>
        </w:rPr>
        <w:t>governmental or public bodies as required by law;</w:t>
      </w:r>
    </w:p>
    <w:p>
      <w:pPr>
        <w:spacing w:after="0" w:line="196" w:lineRule="exact"/>
        <w:rPr>
          <w:sz w:val="20"/>
          <w:szCs w:val="20"/>
          <w:color w:val="auto"/>
        </w:rPr>
      </w:pPr>
    </w:p>
    <w:p>
      <w:pPr>
        <w:ind w:left="1552" w:right="500" w:hanging="4"/>
        <w:spacing w:after="0" w:line="225" w:lineRule="auto"/>
        <w:tabs>
          <w:tab w:leader="none" w:pos="1943"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actual or proposed merger or acquisition partners or proposed assignees of, or those taking or proposing to take security over, the business or assets or stock of the Company or its Affiliates and their agents and contractors;</w:t>
      </w:r>
    </w:p>
    <w:p>
      <w:pPr>
        <w:spacing w:after="0" w:line="179" w:lineRule="exact"/>
        <w:rPr>
          <w:rFonts w:ascii="Times New Roman" w:cs="Times New Roman" w:eastAsia="Times New Roman" w:hAnsi="Times New Roman"/>
          <w:sz w:val="22"/>
          <w:szCs w:val="22"/>
          <w:color w:val="auto"/>
        </w:rPr>
      </w:pPr>
    </w:p>
    <w:p>
      <w:pPr>
        <w:ind w:left="1552" w:right="1180" w:hanging="4"/>
        <w:spacing w:after="0" w:line="225" w:lineRule="auto"/>
        <w:tabs>
          <w:tab w:leader="none" w:pos="1945"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third parties to whom the Company or its Affiliates and/or agents may need to communicate/transfer the data in connection with the administration of the Plan, under a duty of confidentiality to the Company and its Affiliates;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1714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4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92" w:lineRule="exact"/>
        <w:rPr>
          <w:sz w:val="20"/>
          <w:szCs w:val="20"/>
          <w:color w:val="auto"/>
        </w:rPr>
      </w:pPr>
    </w:p>
    <w:p>
      <w:pPr>
        <w:ind w:left="112" w:hanging="112"/>
        <w:spacing w:after="0"/>
        <w:tabs>
          <w:tab w:leader="none" w:pos="112" w:val="left"/>
        </w:tabs>
        <w:numPr>
          <w:ilvl w:val="0"/>
          <w:numId w:val="7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European Economic Area is composed of 27 member states of the European Union plus Iceland, Liechtenstein and Norway.</w:t>
      </w:r>
    </w:p>
    <w:p>
      <w:pPr>
        <w:sectPr>
          <w:pgSz w:w="11900" w:h="16838" w:orient="portrait"/>
          <w:cols w:equalWidth="0" w:num="1">
            <w:col w:w="11032"/>
          </w:cols>
          <w:pgMar w:left="328" w:top="1391" w:right="539" w:bottom="1440" w:gutter="0" w:footer="0" w:header="0"/>
        </w:sectPr>
      </w:pPr>
    </w:p>
    <w:bookmarkStart w:id="123" w:name="page124"/>
    <w:bookmarkEnd w:id="123"/>
    <w:p>
      <w:pPr>
        <w:spacing w:after="0" w:line="131" w:lineRule="exact"/>
        <w:rPr>
          <w:sz w:val="20"/>
          <w:szCs w:val="20"/>
          <w:color w:val="auto"/>
        </w:rPr>
      </w:pPr>
    </w:p>
    <w:p>
      <w:pPr>
        <w:ind w:left="1471" w:right="1100" w:hanging="4"/>
        <w:spacing w:after="0" w:line="236" w:lineRule="auto"/>
        <w:tabs>
          <w:tab w:leader="none" w:pos="1858"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Participant's family members, heirs, legatees and others associated with the Participant in connection with the Plan.</w:t>
      </w:r>
    </w:p>
    <w:p>
      <w:pPr>
        <w:spacing w:after="0" w:line="191" w:lineRule="exact"/>
        <w:rPr>
          <w:sz w:val="20"/>
          <w:szCs w:val="20"/>
          <w:color w:val="auto"/>
        </w:rPr>
      </w:pPr>
    </w:p>
    <w:p>
      <w:pPr>
        <w:ind w:left="11"/>
        <w:spacing w:after="0" w:line="215" w:lineRule="auto"/>
        <w:rPr>
          <w:sz w:val="20"/>
          <w:szCs w:val="20"/>
          <w:color w:val="auto"/>
        </w:rPr>
      </w:pPr>
      <w:r>
        <w:rPr>
          <w:rFonts w:ascii="Times New Roman" w:cs="Times New Roman" w:eastAsia="Times New Roman" w:hAnsi="Times New Roman"/>
          <w:sz w:val="22"/>
          <w:szCs w:val="22"/>
          <w:color w:val="auto"/>
        </w:rPr>
        <w:t>Not all countries, where the personal data may be processed or transferred to, have an equal level of data protection as in Canada, the EU or EEA. Countries to which data are transferred include the United States and Bermuda. The Company, as the responsible data controller of any data processing for the purposes of the Plan, is located in the United States. For any transfers outside the country of origin of the personal data or with a third party, the Company will ensure that appropriate measures are in place to ensure an adequate level of protection for your personal data, including technical or contractual measures where necessary.</w:t>
      </w:r>
    </w:p>
    <w:p>
      <w:pPr>
        <w:spacing w:after="0" w:line="179" w:lineRule="exact"/>
        <w:rPr>
          <w:sz w:val="20"/>
          <w:szCs w:val="20"/>
          <w:color w:val="auto"/>
        </w:rPr>
      </w:pPr>
    </w:p>
    <w:p>
      <w:pPr>
        <w:ind w:left="11" w:right="100"/>
        <w:spacing w:after="0" w:line="220" w:lineRule="auto"/>
        <w:rPr>
          <w:sz w:val="20"/>
          <w:szCs w:val="20"/>
          <w:color w:val="auto"/>
        </w:rPr>
      </w:pPr>
      <w:r>
        <w:rPr>
          <w:rFonts w:ascii="Times New Roman" w:cs="Times New Roman" w:eastAsia="Times New Roman" w:hAnsi="Times New Roman"/>
          <w:sz w:val="22"/>
          <w:szCs w:val="22"/>
          <w:color w:val="auto"/>
        </w:rPr>
        <w:t>For European personal data, onward transfers of personal data within the United States and to Bermuda are generally undertaken with adequate safeguards in place to protect personal data, such as Standard Contractual Clauses issued by the European Commission, which are, where necessary, supplemented with additional measures to provide adequate protection of personal data.</w:t>
      </w:r>
    </w:p>
    <w:p>
      <w:pPr>
        <w:spacing w:after="0" w:line="179" w:lineRule="exact"/>
        <w:rPr>
          <w:sz w:val="20"/>
          <w:szCs w:val="20"/>
          <w:color w:val="auto"/>
        </w:rPr>
      </w:pPr>
    </w:p>
    <w:p>
      <w:pPr>
        <w:ind w:left="11" w:right="900"/>
        <w:spacing w:after="0" w:line="236" w:lineRule="auto"/>
        <w:rPr>
          <w:sz w:val="20"/>
          <w:szCs w:val="20"/>
          <w:color w:val="auto"/>
        </w:rPr>
      </w:pPr>
      <w:r>
        <w:rPr>
          <w:rFonts w:ascii="Times New Roman" w:cs="Times New Roman" w:eastAsia="Times New Roman" w:hAnsi="Times New Roman"/>
          <w:sz w:val="22"/>
          <w:szCs w:val="22"/>
          <w:color w:val="auto"/>
        </w:rPr>
        <w:t>All national and international transfer of personal data is only done in order to fulfill the obligations and rights of the Company and/or its Affiliates under the Plan.</w:t>
      </w:r>
    </w:p>
    <w:p>
      <w:pPr>
        <w:spacing w:after="0" w:line="177" w:lineRule="exact"/>
        <w:rPr>
          <w:sz w:val="20"/>
          <w:szCs w:val="20"/>
          <w:color w:val="auto"/>
        </w:rPr>
      </w:pPr>
    </w:p>
    <w:p>
      <w:pPr>
        <w:ind w:left="11" w:right="80"/>
        <w:spacing w:after="0" w:line="211" w:lineRule="auto"/>
        <w:rPr>
          <w:sz w:val="20"/>
          <w:szCs w:val="20"/>
          <w:color w:val="auto"/>
        </w:rPr>
      </w:pPr>
      <w:r>
        <w:rPr>
          <w:rFonts w:ascii="Times New Roman" w:cs="Times New Roman" w:eastAsia="Times New Roman" w:hAnsi="Times New Roman"/>
          <w:sz w:val="22"/>
          <w:szCs w:val="22"/>
          <w:color w:val="auto"/>
        </w:rPr>
        <w:t>The Participant may access, modify, correct or delete personal data about the Participant, restrict or object to the processing of personal data, or opt to receive personal data in a structured, commonly used, machine readable form which provides the ability to move, copy or transfer personal data to another controller by contacting the local data protection officer in the country in which the Participant is based. Please note, however, that certain personal information about the Participant may be exempt from afore mentioned rights pursuant to applicable data protection laws. In addition, the Participant has the right to lodge a complaint with a competent data protection supervisory authority, in particular in the EU Member State where the Participant resides, works or the place of the alleged infringement. If the Participant has a complaint regarding the manner in which personal information relating to the Participant is dealt with, the Participant should contact the appropriate local data protection officer referred to above.</w:t>
      </w:r>
    </w:p>
    <w:p>
      <w:pPr>
        <w:spacing w:after="0" w:line="185" w:lineRule="exact"/>
        <w:rPr>
          <w:sz w:val="20"/>
          <w:szCs w:val="20"/>
          <w:color w:val="auto"/>
        </w:rPr>
      </w:pPr>
    </w:p>
    <w:p>
      <w:pPr>
        <w:ind w:left="571" w:right="80" w:hanging="571"/>
        <w:spacing w:after="0" w:line="236" w:lineRule="auto"/>
        <w:tabs>
          <w:tab w:leader="none" w:pos="568"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processing (including transfer) of data described above is essential for the administration and operation of the Plan. Therefore, it is essential that his/her personal data is processed in the manner described above.</w:t>
      </w:r>
    </w:p>
    <w:p>
      <w:pPr>
        <w:spacing w:after="0" w:line="2" w:lineRule="exact"/>
        <w:rPr>
          <w:rFonts w:ascii="Times New Roman" w:cs="Times New Roman" w:eastAsia="Times New Roman" w:hAnsi="Times New Roman"/>
          <w:sz w:val="22"/>
          <w:szCs w:val="22"/>
          <w:color w:val="auto"/>
        </w:rPr>
      </w:pPr>
    </w:p>
    <w:p>
      <w:pPr>
        <w:ind w:left="571" w:hanging="571"/>
        <w:spacing w:after="0"/>
        <w:tabs>
          <w:tab w:leader="none" w:pos="571"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only retain personal data for as long as is required to satisfy the purposes as described in paragraph</w:t>
      </w:r>
    </w:p>
    <w:p>
      <w:pPr>
        <w:ind w:left="571"/>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above, except where otherwise provided or required by law (e.g. in connection with pending litigation).</w:t>
      </w:r>
    </w:p>
    <w:p>
      <w:pPr>
        <w:sectPr>
          <w:pgSz w:w="11900" w:h="16838" w:orient="portrait"/>
          <w:cols w:equalWidth="0" w:num="1">
            <w:col w:w="10991"/>
          </w:cols>
          <w:pgMar w:left="409" w:top="1440" w:right="49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20"/>
          <w:szCs w:val="20"/>
          <w:b w:val="1"/>
          <w:bCs w:val="1"/>
          <w:color w:val="auto"/>
        </w:rPr>
        <w:t>Exhibit 10.89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5"/>
          <w:szCs w:val="25"/>
          <w:b w:val="1"/>
          <w:bCs w:val="1"/>
          <w:color w:val="auto"/>
        </w:rPr>
        <w:t>Aramark</w:t>
      </w:r>
    </w:p>
    <w:p>
      <w:pPr>
        <w:spacing w:after="0" w:line="21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5"/>
          <w:szCs w:val="25"/>
          <w:b w:val="1"/>
          <w:bCs w:val="1"/>
          <w:color w:val="auto"/>
        </w:rPr>
        <w:t>FORM OF RESTRICTED STOCK UNIT AWARD</w:t>
      </w:r>
    </w:p>
    <w:p>
      <w:pPr>
        <w:spacing w:after="0" w:line="2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(TIME VESTING)</w:t>
      </w:r>
    </w:p>
    <w:p>
      <w:pPr>
        <w:spacing w:after="0" w:line="209" w:lineRule="exact"/>
        <w:rPr>
          <w:sz w:val="20"/>
          <w:szCs w:val="20"/>
          <w:color w:val="auto"/>
        </w:rPr>
      </w:pPr>
    </w:p>
    <w:p>
      <w:pPr>
        <w:ind w:left="660" w:right="180" w:hanging="642"/>
        <w:spacing w:after="0" w:line="212" w:lineRule="auto"/>
        <w:tabs>
          <w:tab w:leader="none" w:pos="6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RSUs</w:t>
      </w:r>
      <w:r>
        <w:rPr>
          <w:rFonts w:ascii="Times New Roman" w:cs="Times New Roman" w:eastAsia="Times New Roman" w:hAnsi="Times New Roman"/>
          <w:sz w:val="22"/>
          <w:szCs w:val="22"/>
          <w:color w:val="auto"/>
        </w:rPr>
        <w:t>. The Company hereby grants the number of Restricted Stock Units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set forth on the Certificate of Grant of the Restricted Stock Units attached to this Award and made a part hereof (the “</w:t>
      </w:r>
      <w:r>
        <w:rPr>
          <w:rFonts w:ascii="Times New Roman" w:cs="Times New Roman" w:eastAsia="Times New Roman" w:hAnsi="Times New Roman"/>
          <w:sz w:val="22"/>
          <w:szCs w:val="22"/>
          <w:u w:val="single" w:color="auto"/>
          <w:color w:val="auto"/>
        </w:rPr>
        <w:t>Certificate of Grant</w:t>
      </w:r>
      <w:r>
        <w:rPr>
          <w:rFonts w:ascii="Times New Roman" w:cs="Times New Roman" w:eastAsia="Times New Roman" w:hAnsi="Times New Roman"/>
          <w:sz w:val="22"/>
          <w:szCs w:val="22"/>
          <w:color w:val="auto"/>
        </w:rPr>
        <w:t>”) to the Participant, on the terms and conditions hereinafter set forth. This grant is made pursuant to the terms of the Aramark (formerly known as Aramark Holdings Corporation) Amended and Restated 2013 Stock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which Plan, as amended from time to time, is incorporated herein by reference and made a part of this Award. Each RSU represents the unfunded, unsecured right of the Participant to receive a share of Common Stock, (as specified below) of the Company (each a “</w:t>
      </w:r>
      <w:r>
        <w:rPr>
          <w:rFonts w:ascii="Times New Roman" w:cs="Times New Roman" w:eastAsia="Times New Roman" w:hAnsi="Times New Roman"/>
          <w:sz w:val="22"/>
          <w:szCs w:val="22"/>
          <w:u w:val="single" w:color="auto"/>
          <w:color w:val="auto"/>
        </w:rPr>
        <w:t>Share</w:t>
      </w:r>
      <w:r>
        <w:rPr>
          <w:rFonts w:ascii="Times New Roman" w:cs="Times New Roman" w:eastAsia="Times New Roman" w:hAnsi="Times New Roman"/>
          <w:sz w:val="22"/>
          <w:szCs w:val="22"/>
          <w:color w:val="auto"/>
        </w:rPr>
        <w:t>”), on the dates specified herein. Capitalized terms not otherwise defined herein shall have the same meanings as in the Plan and the Certificate of Grant.</w:t>
      </w:r>
    </w:p>
    <w:p>
      <w:pPr>
        <w:spacing w:after="0" w:line="183" w:lineRule="exact"/>
        <w:rPr>
          <w:rFonts w:ascii="Times New Roman" w:cs="Times New Roman" w:eastAsia="Times New Roman" w:hAnsi="Times New Roman"/>
          <w:sz w:val="22"/>
          <w:szCs w:val="22"/>
          <w:color w:val="auto"/>
        </w:rPr>
      </w:pPr>
    </w:p>
    <w:p>
      <w:pPr>
        <w:ind w:left="580" w:hanging="563"/>
        <w:spacing w:after="0"/>
        <w:tabs>
          <w:tab w:leader="none" w:pos="58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Shares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160" w:right="200" w:hanging="574"/>
        <w:spacing w:after="0" w:line="220" w:lineRule="auto"/>
        <w:tabs>
          <w:tab w:leader="none" w:pos="1158"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subject to the remainder of this Award, transfer to the Participant a number of Shares of the Company equal to the number of RSUs granted to the Participant under this Award at such time as the Participant becomes vested in the right to such transfer (x) as set forth on the Certificate of Grant under “</w:t>
      </w:r>
      <w:r>
        <w:rPr>
          <w:rFonts w:ascii="Times New Roman" w:cs="Times New Roman" w:eastAsia="Times New Roman" w:hAnsi="Times New Roman"/>
          <w:sz w:val="21"/>
          <w:szCs w:val="21"/>
          <w:u w:val="single" w:color="auto"/>
          <w:color w:val="auto"/>
        </w:rPr>
        <w:t>Vesting Date</w:t>
      </w:r>
      <w:r>
        <w:rPr>
          <w:rFonts w:ascii="Times New Roman" w:cs="Times New Roman" w:eastAsia="Times New Roman" w:hAnsi="Times New Roman"/>
          <w:sz w:val="21"/>
          <w:szCs w:val="21"/>
          <w:color w:val="auto"/>
        </w:rPr>
        <w:t>”, so long as the Participant remains employed with the Company or any of its Affiliates through such Vesting Date, or</w:t>
      </w:r>
    </w:p>
    <w:p>
      <w:pPr>
        <w:spacing w:after="0" w:line="2" w:lineRule="exact"/>
        <w:rPr>
          <w:rFonts w:ascii="Times New Roman" w:cs="Times New Roman" w:eastAsia="Times New Roman" w:hAnsi="Times New Roman"/>
          <w:sz w:val="21"/>
          <w:szCs w:val="21"/>
          <w:color w:val="auto"/>
        </w:rPr>
      </w:pPr>
    </w:p>
    <w:p>
      <w:pPr>
        <w:ind w:left="1160" w:right="220" w:hanging="8"/>
        <w:spacing w:after="0" w:line="225" w:lineRule="auto"/>
        <w:tabs>
          <w:tab w:leader="none" w:pos="1466" w:val="left"/>
        </w:tabs>
        <w:numPr>
          <w:ilvl w:val="2"/>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otherwise provided in Section 2(b) or (c) below (in whole Shares only with the Participant receiving a cash payment equal to the Fair Market Value of any fractional Share on or about the transfer date).</w:t>
      </w:r>
    </w:p>
    <w:p>
      <w:pPr>
        <w:spacing w:after="0" w:line="190" w:lineRule="exact"/>
        <w:rPr>
          <w:rFonts w:ascii="Times New Roman" w:cs="Times New Roman" w:eastAsia="Times New Roman" w:hAnsi="Times New Roman"/>
          <w:sz w:val="22"/>
          <w:szCs w:val="22"/>
          <w:color w:val="auto"/>
        </w:rPr>
      </w:pPr>
    </w:p>
    <w:p>
      <w:pPr>
        <w:ind w:left="1140" w:hanging="555"/>
        <w:spacing w:after="0"/>
        <w:tabs>
          <w:tab w:leader="none" w:pos="114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Section 2(a) of this Award,</w:t>
      </w:r>
    </w:p>
    <w:p>
      <w:pPr>
        <w:spacing w:after="0" w:line="206" w:lineRule="exact"/>
        <w:rPr>
          <w:rFonts w:ascii="Times New Roman" w:cs="Times New Roman" w:eastAsia="Times New Roman" w:hAnsi="Times New Roman"/>
          <w:sz w:val="22"/>
          <w:szCs w:val="22"/>
          <w:color w:val="auto"/>
        </w:rPr>
      </w:pPr>
    </w:p>
    <w:p>
      <w:pPr>
        <w:ind w:left="1960" w:right="260" w:hanging="646"/>
        <w:spacing w:after="0" w:line="227" w:lineRule="auto"/>
        <w:tabs>
          <w:tab w:leader="none" w:pos="1948" w:val="left"/>
        </w:tabs>
        <w:numPr>
          <w:ilvl w:val="3"/>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a Participant’s Disability or Termination of Relationship prior to the final Vesting Date as a result of the Participant’s death (each, a “</w:t>
      </w:r>
      <w:r>
        <w:rPr>
          <w:rFonts w:ascii="Times New Roman" w:cs="Times New Roman" w:eastAsia="Times New Roman" w:hAnsi="Times New Roman"/>
          <w:sz w:val="21"/>
          <w:szCs w:val="21"/>
          <w:u w:val="single" w:color="auto"/>
          <w:color w:val="auto"/>
        </w:rPr>
        <w:t>Special Termination</w:t>
      </w:r>
      <w:r>
        <w:rPr>
          <w:rFonts w:ascii="Times New Roman" w:cs="Times New Roman" w:eastAsia="Times New Roman" w:hAnsi="Times New Roman"/>
          <w:sz w:val="21"/>
          <w:szCs w:val="21"/>
          <w:color w:val="auto"/>
        </w:rPr>
        <w:t>”), the installment of RSUs scheduled to vest on the next Vesting Date immediately following such Special Termination shall immediately become vested RSUs pursuant to which Shares equal to the number of RSUs scheduled to vest on the next Vesting Date shall be transferred, and the remaining RSUs which are not then vested shall be forfeited;</w:t>
      </w:r>
    </w:p>
    <w:p>
      <w:pPr>
        <w:spacing w:after="0" w:line="194" w:lineRule="exact"/>
        <w:rPr>
          <w:rFonts w:ascii="Times New Roman" w:cs="Times New Roman" w:eastAsia="Times New Roman" w:hAnsi="Times New Roman"/>
          <w:sz w:val="21"/>
          <w:szCs w:val="21"/>
          <w:color w:val="auto"/>
        </w:rPr>
      </w:pPr>
    </w:p>
    <w:p>
      <w:pPr>
        <w:ind w:left="1960" w:right="740" w:hanging="646"/>
        <w:spacing w:after="0" w:line="217" w:lineRule="auto"/>
        <w:tabs>
          <w:tab w:leader="none" w:pos="1954" w:val="left"/>
        </w:tabs>
        <w:numPr>
          <w:ilvl w:val="3"/>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 Termination of Relationship prior to the final Vesting Date as a result of the Participant’s Retirement (other than a “Retirement with Notice” as defined below), the installment of RSUs scheduled to vest on the next Vesting Date immediately following such Special Termination shall remain outstanding and become vested RSUs on such next Vesting Date, at which time the Shares equal to the number of vested RSUs shall</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160"/>
          </w:cols>
          <w:pgMar w:left="400" w:top="100" w:right="339" w:bottom="1440" w:gutter="0" w:footer="0" w:header="0"/>
        </w:sectPr>
      </w:pPr>
    </w:p>
    <w:bookmarkStart w:id="125" w:name="page126"/>
    <w:bookmarkEnd w:id="125"/>
    <w:p>
      <w:pPr>
        <w:ind w:left="1960" w:right="40"/>
        <w:spacing w:after="0" w:line="215" w:lineRule="auto"/>
        <w:rPr>
          <w:sz w:val="20"/>
          <w:szCs w:val="20"/>
          <w:color w:val="auto"/>
        </w:rPr>
      </w:pPr>
      <w:r>
        <w:rPr>
          <w:rFonts w:ascii="Times New Roman" w:cs="Times New Roman" w:eastAsia="Times New Roman" w:hAnsi="Times New Roman"/>
          <w:sz w:val="22"/>
          <w:szCs w:val="22"/>
          <w:color w:val="auto"/>
        </w:rPr>
        <w:t>be transferred, and the remaining RSUs which are not then vested shall be forfeited. For purposes of this Award, “Retirement” shall mean with respect to a Participant, the retirement of such Participant upon or after achieving age 60 and five (5) years of employment with the Company, any of its Affiliates, and/or any of their respective predecessors and giving 30 days’ written notice of retirement to the Company; provided that such notice may be waived by the Chief Executive Officer or the Executive Vice President, Human Resources;</w:t>
      </w:r>
    </w:p>
    <w:p>
      <w:pPr>
        <w:spacing w:after="0" w:line="179" w:lineRule="exact"/>
        <w:rPr>
          <w:sz w:val="20"/>
          <w:szCs w:val="20"/>
          <w:color w:val="auto"/>
        </w:rPr>
      </w:pPr>
    </w:p>
    <w:p>
      <w:pPr>
        <w:ind w:left="1960" w:right="20" w:hanging="646"/>
        <w:spacing w:after="0" w:line="215" w:lineRule="auto"/>
        <w:tabs>
          <w:tab w:leader="none" w:pos="194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 Termination of Relationship prior to the final Vesting Date as a result of the Participant’s Retirement with Notice, the installment of RSUs scheduled to vest on the next two Vesting Dates (or one Vesting Date if there is only one remaining Vesting Date) following such Retirement with Notice shall remain outstanding and become vested RSUs on such future Vesting Date(s), at which time the Shares equal to the number of vested RSUs on such Vesting Date(s) shall be transferred, and the remaining RSUs which do not become vested pursuant to this clause (iii) shall be forfeited; and</w:t>
      </w:r>
    </w:p>
    <w:p>
      <w:pPr>
        <w:spacing w:after="0" w:line="179" w:lineRule="exact"/>
        <w:rPr>
          <w:rFonts w:ascii="Times New Roman" w:cs="Times New Roman" w:eastAsia="Times New Roman" w:hAnsi="Times New Roman"/>
          <w:sz w:val="22"/>
          <w:szCs w:val="22"/>
          <w:color w:val="auto"/>
        </w:rPr>
      </w:pPr>
    </w:p>
    <w:p>
      <w:pPr>
        <w:ind w:left="1960" w:right="140" w:hanging="484"/>
        <w:spacing w:after="0" w:line="236" w:lineRule="auto"/>
        <w:tabs>
          <w:tab w:leader="none" w:pos="1954"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 Termination of Relationship for any reason other than as set forth in clauses (i), (ii) and (iii) above, all outstanding RSUs shall be forfeited and immediately cancelled.</w:t>
      </w:r>
    </w:p>
    <w:p>
      <w:pPr>
        <w:spacing w:after="0" w:line="191" w:lineRule="exact"/>
        <w:rPr>
          <w:sz w:val="20"/>
          <w:szCs w:val="20"/>
          <w:color w:val="auto"/>
        </w:rPr>
      </w:pPr>
    </w:p>
    <w:p>
      <w:pPr>
        <w:ind w:left="1320"/>
        <w:spacing w:after="0" w:line="218" w:lineRule="auto"/>
        <w:rPr>
          <w:sz w:val="20"/>
          <w:szCs w:val="20"/>
          <w:color w:val="auto"/>
        </w:rPr>
      </w:pPr>
      <w:r>
        <w:rPr>
          <w:rFonts w:ascii="Times New Roman" w:cs="Times New Roman" w:eastAsia="Times New Roman" w:hAnsi="Times New Roman"/>
          <w:sz w:val="21"/>
          <w:szCs w:val="21"/>
          <w:color w:val="auto"/>
        </w:rPr>
        <w:t xml:space="preserve">As used herein, the term “Retirement with Notice” means Participant’s retirement from Aramark and its Affiliates after providing Aramark with at least twelve (12) months’ prior written notice of such intended retirement (and with such notice having been delivered upon or after the Participant’s attainment of age 62) after achieving (consecutively or disregarding breaks in service) at least five (5) full years of employment with Aramark and its Affiliates (and for purposes of this Agreement, the term “Retirement Notice Period” means the period beginning on the date Participant provides written notice to Aramark of his or her Retirement with Notice and ending on the last day of the Retirement Notice Period, as stated in such notice); </w:t>
      </w:r>
      <w:r>
        <w:rPr>
          <w:rFonts w:ascii="Times New Roman" w:cs="Times New Roman" w:eastAsia="Times New Roman" w:hAnsi="Times New Roman"/>
          <w:sz w:val="21"/>
          <w:szCs w:val="21"/>
          <w:i w:val="1"/>
          <w:iCs w:val="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u w:val="single" w:color="auto"/>
          <w:color w:val="auto"/>
        </w:rPr>
        <w:t>however</w:t>
      </w:r>
      <w:r>
        <w:rPr>
          <w:rFonts w:ascii="Times New Roman" w:cs="Times New Roman" w:eastAsia="Times New Roman" w:hAnsi="Times New Roman"/>
          <w:sz w:val="21"/>
          <w:szCs w:val="21"/>
          <w:color w:val="auto"/>
        </w:rPr>
        <w:t>, that if the Company involuntarily terminates the Participant without Cause or the Participant dies or incurs a Disability after the Participant delivers the notice described in this sentence, such termination shall not fail to qualify as a “Retirement with Notice” by virtue of the termination occurring less than the number of months of the notice period after the notice date. In the event the Company involuntarily terminates the Participant without Cause after the Participant delivers the notice described in the preceding sentence, for purposes of this Section 4 and Section 7 below, the Participant shall not be treated as having had a Termination of Relationship prior to the effective date of the Retirement with Notice. All decisions made by the Committee with respect to any calculations pursuant to this Section 4 shall be made in good faith after consultation with senior management and shall be final and binding on the Participant absent manifest error by the Committee.</w:t>
      </w:r>
    </w:p>
    <w:p>
      <w:pPr>
        <w:spacing w:after="0" w:line="189" w:lineRule="exact"/>
        <w:rPr>
          <w:sz w:val="20"/>
          <w:szCs w:val="20"/>
          <w:color w:val="auto"/>
        </w:rPr>
      </w:pPr>
    </w:p>
    <w:p>
      <w:pPr>
        <w:ind w:left="1320" w:right="40"/>
        <w:spacing w:after="0" w:line="212" w:lineRule="auto"/>
        <w:rPr>
          <w:sz w:val="20"/>
          <w:szCs w:val="20"/>
          <w:color w:val="auto"/>
        </w:rPr>
      </w:pPr>
      <w:r>
        <w:rPr>
          <w:rFonts w:ascii="Times New Roman" w:cs="Times New Roman" w:eastAsia="Times New Roman" w:hAnsi="Times New Roman"/>
          <w:sz w:val="22"/>
          <w:szCs w:val="22"/>
          <w:color w:val="auto"/>
        </w:rPr>
        <w:t>Also notwithstanding Section 2(a) or (b) of this Award, in the event of (i) the occurrence of a Change of Control and (ii) thereafter, a Termination of Relationship of the Participant by the Company or any of its Affiliates (or successors in interest) without Cause or by the Participant for Good Reason that occurs prior to the second anniversary of the date of such Change of Control, then all then outstanding RSUs shall become vested and the number of Shares equal to all such outstanding RSUs hereunder shall be distributed to the Participant, in each case, as soon as practicable following the date of such Termination of Relationship; provided that the Committee may determine that, in lieu of Shares and/or fractional Shares, the Participant shall receive a cash payment equal to the</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040"/>
          </w:cols>
          <w:pgMar w:left="400" w:top="1395" w:right="459" w:bottom="1440" w:gutter="0" w:footer="0" w:header="0"/>
        </w:sectPr>
      </w:pPr>
    </w:p>
    <w:bookmarkStart w:id="126" w:name="page127"/>
    <w:bookmarkEnd w:id="126"/>
    <w:p>
      <w:pPr>
        <w:ind w:left="1320"/>
        <w:spacing w:after="0"/>
        <w:rPr>
          <w:sz w:val="20"/>
          <w:szCs w:val="20"/>
          <w:color w:val="auto"/>
        </w:rPr>
      </w:pPr>
      <w:r>
        <w:rPr>
          <w:rFonts w:ascii="Times New Roman" w:cs="Times New Roman" w:eastAsia="Times New Roman" w:hAnsi="Times New Roman"/>
          <w:sz w:val="22"/>
          <w:szCs w:val="22"/>
          <w:color w:val="auto"/>
        </w:rPr>
        <w:t>Fair Market Value of such Shares (or fractional Shares, as the case may be) on the Change of Control</w:t>
      </w:r>
    </w:p>
    <w:p>
      <w:pPr>
        <w:ind w:left="1160" w:right="80" w:hanging="574"/>
        <w:spacing w:after="0" w:line="212" w:lineRule="auto"/>
        <w:tabs>
          <w:tab w:leader="none" w:pos="1158"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each vesting event of any RSUs and the corresponding transfer of Shares as a result thereof, in each case in accordance with Sections 2(a), 2(b) or 2(c) of this Award, as applicable, the RSUs with respect to which Shares have been transferred hereunder shall be extinguished on the relevant transfer dates. In compliance with Section 409A of the Code, in no event shall any transfer occur later than March 15 of the calendar year following the calendar year in which the applicable vesting event occurs under this Award.</w:t>
      </w:r>
    </w:p>
    <w:p>
      <w:pPr>
        <w:spacing w:after="0" w:line="195" w:lineRule="exact"/>
        <w:rPr>
          <w:rFonts w:ascii="Times New Roman" w:cs="Times New Roman" w:eastAsia="Times New Roman" w:hAnsi="Times New Roman"/>
          <w:sz w:val="22"/>
          <w:szCs w:val="22"/>
          <w:color w:val="auto"/>
        </w:rPr>
      </w:pPr>
    </w:p>
    <w:p>
      <w:pPr>
        <w:ind w:left="580" w:hanging="563"/>
        <w:spacing w:after="0" w:line="210" w:lineRule="auto"/>
        <w:tabs>
          <w:tab w:leader="none" w:pos="578"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Dividends</w:t>
      </w:r>
      <w:r>
        <w:rPr>
          <w:rFonts w:ascii="Times New Roman" w:cs="Times New Roman" w:eastAsia="Times New Roman" w:hAnsi="Times New Roman"/>
          <w:sz w:val="22"/>
          <w:szCs w:val="22"/>
          <w:color w:val="auto"/>
        </w:rPr>
        <w:t>. If on any date while RSUs are outstanding hereunder, the Company shall pay any dividend on the Shares (other than a dividend payable in Shares), the number of RSUs granted to the Participant shall, as of such dividend payment date, be increased by a number of RSUs equal to: (a) the product of (x) the number of RSUs held by the Participant as of the related dividend record date, multiplied by (y) a dollar amount equal to the per Share amount of any cash dividend (or, in the case of any dividend payable in whole or in part other than in cash or Shares, the per Share value of such dividend, as determined in good faith by the Committee), divided by (b) the Fair Market Value of a Share on the payment date of such dividend. In the case of any dividend declared on Shares that is payable in the form of Shares, the number of RSUs granted to the Participant shall be increased by a number equal to the product of (I) the aggregate number of RSUs that have been held by the Participant through the related dividend record date, multiplied by (II) the number of Shares (including any fraction thereof) payable as a dividend on a Share. Shares shall be transferred with respect to all additional RSUs granted pursuant to this Section 3 at the same time as Shares are transferred with respect to the RSUs to which such additional RSUs were attributable.</w:t>
      </w:r>
    </w:p>
    <w:p>
      <w:pPr>
        <w:spacing w:after="0" w:line="192" w:lineRule="exact"/>
        <w:rPr>
          <w:rFonts w:ascii="Times New Roman" w:cs="Times New Roman" w:eastAsia="Times New Roman" w:hAnsi="Times New Roman"/>
          <w:sz w:val="22"/>
          <w:szCs w:val="22"/>
          <w:color w:val="auto"/>
        </w:rPr>
      </w:pPr>
    </w:p>
    <w:p>
      <w:pPr>
        <w:ind w:left="660" w:right="440" w:hanging="642"/>
        <w:spacing w:after="0" w:line="225" w:lineRule="auto"/>
        <w:tabs>
          <w:tab w:leader="none" w:pos="6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 Upon Certain Events</w:t>
      </w:r>
      <w:r>
        <w:rPr>
          <w:rFonts w:ascii="Times New Roman" w:cs="Times New Roman" w:eastAsia="Times New Roman" w:hAnsi="Times New Roman"/>
          <w:sz w:val="22"/>
          <w:szCs w:val="22"/>
          <w:color w:val="auto"/>
        </w:rPr>
        <w:t>. In the event of any event described in Section 12 of the Plan occurring after the Date of Grant, the adjustment provisions (including cash payments) as provided for under Section 12 of the Plan shall apply.</w:t>
      </w:r>
    </w:p>
    <w:p>
      <w:pPr>
        <w:spacing w:after="0" w:line="179" w:lineRule="exact"/>
        <w:rPr>
          <w:rFonts w:ascii="Times New Roman" w:cs="Times New Roman" w:eastAsia="Times New Roman" w:hAnsi="Times New Roman"/>
          <w:sz w:val="22"/>
          <w:szCs w:val="22"/>
          <w:color w:val="auto"/>
        </w:rPr>
      </w:pPr>
    </w:p>
    <w:p>
      <w:pPr>
        <w:ind w:left="660" w:right="60" w:hanging="642"/>
        <w:spacing w:after="0" w:line="215" w:lineRule="auto"/>
        <w:tabs>
          <w:tab w:leader="none" w:pos="6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 on Transfer</w:t>
      </w:r>
      <w:r>
        <w:rPr>
          <w:rFonts w:ascii="Times New Roman" w:cs="Times New Roman" w:eastAsia="Times New Roman" w:hAnsi="Times New Roman"/>
          <w:sz w:val="22"/>
          <w:szCs w:val="22"/>
          <w:color w:val="auto"/>
        </w:rPr>
        <w:t>. The RSUs may not be transferred, pledged, assigned, hypothecated or otherwise disposed of in any way by the Participant, except (i) if permitted by the Board or the Committee, (ii) by will or the laws of descent and distribution or (iii) pursuant to beneficiary designation procedures approved by the Company, in each case in compliance with applicable laws. The RSUs shall not be subject to execution, attachment or similar process. Any attempted assignment, transfer, pledge, hypothecation or other disposition of the RSUs contrary to the provisions of this Award or the Plan shall be null and void and without effect.</w:t>
      </w:r>
    </w:p>
    <w:p>
      <w:pPr>
        <w:spacing w:after="0" w:line="188" w:lineRule="exact"/>
        <w:rPr>
          <w:rFonts w:ascii="Times New Roman" w:cs="Times New Roman" w:eastAsia="Times New Roman" w:hAnsi="Times New Roman"/>
          <w:sz w:val="22"/>
          <w:szCs w:val="22"/>
          <w:color w:val="auto"/>
        </w:rPr>
      </w:pPr>
    </w:p>
    <w:p>
      <w:pPr>
        <w:ind w:left="580" w:right="320" w:hanging="563"/>
        <w:spacing w:after="0" w:line="227" w:lineRule="auto"/>
        <w:tabs>
          <w:tab w:leader="none" w:pos="578"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Data Protection</w:t>
      </w:r>
      <w:r>
        <w:rPr>
          <w:rFonts w:ascii="Times New Roman" w:cs="Times New Roman" w:eastAsia="Times New Roman" w:hAnsi="Times New Roman"/>
          <w:sz w:val="22"/>
          <w:szCs w:val="22"/>
          <w:b w:val="1"/>
          <w:bCs w:val="1"/>
          <w:color w:val="auto"/>
        </w:rPr>
        <w:t xml:space="preserve">. By accepting this Award, the Participant understands that the processing (including international transfer) of personal data will take place as set out in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b w:val="1"/>
          <w:bCs w:val="1"/>
          <w:color w:val="auto"/>
        </w:rPr>
        <w:t xml:space="preserve"> attached hereto for the purposes specified therein and if required by applicable law, rule or regulation.</w:t>
      </w:r>
    </w:p>
    <w:p>
      <w:pPr>
        <w:spacing w:after="0" w:line="177" w:lineRule="exact"/>
        <w:rPr>
          <w:rFonts w:ascii="Times New Roman" w:cs="Times New Roman" w:eastAsia="Times New Roman" w:hAnsi="Times New Roman"/>
          <w:sz w:val="22"/>
          <w:szCs w:val="22"/>
          <w:b w:val="1"/>
          <w:bCs w:val="1"/>
          <w:color w:val="auto"/>
        </w:rPr>
      </w:pPr>
    </w:p>
    <w:p>
      <w:pPr>
        <w:ind w:left="580" w:right="200" w:hanging="563"/>
        <w:spacing w:after="0" w:line="212" w:lineRule="auto"/>
        <w:tabs>
          <w:tab w:leader="none" w:pos="578"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Participant’s Employment</w:t>
      </w:r>
      <w:r>
        <w:rPr>
          <w:rFonts w:ascii="Times New Roman" w:cs="Times New Roman" w:eastAsia="Times New Roman" w:hAnsi="Times New Roman"/>
          <w:sz w:val="22"/>
          <w:szCs w:val="22"/>
          <w:color w:val="auto"/>
        </w:rPr>
        <w:t>. Nothing in this Award or in the RSU shall confer upon the Participant any right to continue in the employ of the Company or any of its Affiliates or interfere in any way with the right of the Company and its Affiliates, in their sole</w:t>
      </w:r>
    </w:p>
    <w:p>
      <w:pPr>
        <w:spacing w:after="0" w:line="1" w:lineRule="exact"/>
        <w:rPr>
          <w:rFonts w:ascii="Times New Roman" w:cs="Times New Roman" w:eastAsia="Times New Roman" w:hAnsi="Times New Roman"/>
          <w:sz w:val="22"/>
          <w:szCs w:val="22"/>
          <w:color w:val="auto"/>
        </w:rPr>
      </w:pPr>
    </w:p>
    <w:p>
      <w:pPr>
        <w:ind w:left="580" w:right="680"/>
        <w:spacing w:after="0" w:line="22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discretion, to terminate the Participant’s employment or to increase or decrease the Participant’s compensation at any time.</w:t>
      </w:r>
    </w:p>
    <w:p>
      <w:pPr>
        <w:spacing w:after="0" w:line="186" w:lineRule="exact"/>
        <w:rPr>
          <w:rFonts w:ascii="Times New Roman" w:cs="Times New Roman" w:eastAsia="Times New Roman" w:hAnsi="Times New Roman"/>
          <w:sz w:val="22"/>
          <w:szCs w:val="22"/>
          <w:color w:val="auto"/>
        </w:rPr>
      </w:pPr>
    </w:p>
    <w:p>
      <w:pPr>
        <w:ind w:left="660" w:right="260" w:hanging="642"/>
        <w:spacing w:after="0" w:line="238" w:lineRule="auto"/>
        <w:tabs>
          <w:tab w:leader="none" w:pos="6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Acquired Rights</w:t>
      </w:r>
      <w:r>
        <w:rPr>
          <w:rFonts w:ascii="Times New Roman" w:cs="Times New Roman" w:eastAsia="Times New Roman" w:hAnsi="Times New Roman"/>
          <w:sz w:val="22"/>
          <w:szCs w:val="22"/>
          <w:color w:val="auto"/>
        </w:rPr>
        <w:t>. The Committee or the Board has the power to amend or terminate the Plan at any time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opportunity given to the Participant to participate in the Plan</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020"/>
          </w:cols>
          <w:pgMar w:left="400" w:top="1301" w:right="479" w:bottom="1440" w:gutter="0" w:footer="0" w:header="0"/>
        </w:sectPr>
      </w:pPr>
    </w:p>
    <w:bookmarkStart w:id="127" w:name="page128"/>
    <w:bookmarkEnd w:id="127"/>
    <w:p>
      <w:pPr>
        <w:ind w:left="660" w:right="740"/>
        <w:spacing w:after="0" w:line="216" w:lineRule="auto"/>
        <w:rPr>
          <w:sz w:val="20"/>
          <w:szCs w:val="20"/>
          <w:color w:val="auto"/>
        </w:rPr>
      </w:pPr>
      <w:r>
        <w:rPr>
          <w:rFonts w:ascii="Times New Roman" w:cs="Times New Roman" w:eastAsia="Times New Roman" w:hAnsi="Times New Roman"/>
          <w:sz w:val="22"/>
          <w:szCs w:val="22"/>
          <w:color w:val="auto"/>
        </w:rPr>
        <w:t>and the grant of this Award is entirely at the discretion of the Committee or the Board and does not obligate the Company or any of its Affiliates to offer such participation in</w:t>
      </w:r>
    </w:p>
    <w:p>
      <w:pPr>
        <w:spacing w:after="0" w:line="1" w:lineRule="exact"/>
        <w:rPr>
          <w:sz w:val="20"/>
          <w:szCs w:val="20"/>
          <w:color w:val="auto"/>
        </w:rPr>
      </w:pPr>
    </w:p>
    <w:p>
      <w:pPr>
        <w:ind w:left="660"/>
        <w:spacing w:after="0" w:line="223" w:lineRule="auto"/>
        <w:rPr>
          <w:sz w:val="20"/>
          <w:szCs w:val="20"/>
          <w:color w:val="auto"/>
        </w:rPr>
      </w:pPr>
      <w:r>
        <w:rPr>
          <w:rFonts w:ascii="Times New Roman" w:cs="Times New Roman" w:eastAsia="Times New Roman" w:hAnsi="Times New Roman"/>
          <w:sz w:val="21"/>
          <w:szCs w:val="21"/>
          <w:color w:val="auto"/>
        </w:rPr>
        <w:t>the future (whether on the same or different terms). The Participant’s participation in the Plan and the receipt of this Award is outside the terms of the Participant’s regular contract of employment and is therefore not to be considered part of any normal or expected compensation and that the termination of the Participant’s employment under any circumstances whatsoever will give the Participant no claim or right of action against the Company or its Affiliates in respect of any loss of rights under this Award or the Plan that may arise as a result of such termination of employment.</w:t>
      </w:r>
    </w:p>
    <w:p>
      <w:pPr>
        <w:spacing w:after="0" w:line="191" w:lineRule="exact"/>
        <w:rPr>
          <w:sz w:val="20"/>
          <w:szCs w:val="20"/>
          <w:color w:val="auto"/>
        </w:rPr>
      </w:pPr>
    </w:p>
    <w:p>
      <w:pPr>
        <w:ind w:left="580" w:right="120" w:hanging="563"/>
        <w:spacing w:after="0" w:line="236" w:lineRule="auto"/>
        <w:tabs>
          <w:tab w:leader="none" w:pos="578"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of a Stockholder</w:t>
      </w:r>
      <w:r>
        <w:rPr>
          <w:rFonts w:ascii="Times New Roman" w:cs="Times New Roman" w:eastAsia="Times New Roman" w:hAnsi="Times New Roman"/>
          <w:sz w:val="22"/>
          <w:szCs w:val="22"/>
          <w:color w:val="auto"/>
        </w:rPr>
        <w:t>. The Participant shall not have any rights as a stockholder of the Company until the Shares in question have been registered in the Company’s register of stockholders.</w:t>
      </w:r>
    </w:p>
    <w:p>
      <w:pPr>
        <w:spacing w:after="0" w:line="190" w:lineRule="exact"/>
        <w:rPr>
          <w:rFonts w:ascii="Times New Roman" w:cs="Times New Roman" w:eastAsia="Times New Roman" w:hAnsi="Times New Roman"/>
          <w:sz w:val="22"/>
          <w:szCs w:val="22"/>
          <w:color w:val="auto"/>
        </w:rPr>
      </w:pPr>
    </w:p>
    <w:p>
      <w:pPr>
        <w:ind w:left="580" w:hanging="563"/>
        <w:spacing w:after="0"/>
        <w:tabs>
          <w:tab w:leader="none" w:pos="58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320" w:hanging="654"/>
        <w:spacing w:after="0" w:line="211" w:lineRule="auto"/>
        <w:tabs>
          <w:tab w:leader="none" w:pos="1317"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will pay, or make provisions satisfactory to the Company for payment of any federal, state, local and other applicable taxes required to be withheld in connection with any issuance or transfer of Shares under this Award and to take such action as may be necessary in the opinion of the Company to satisfy all obligations for the payment of such taxes. If Participant has not made payment for applicable taxes, such taxes shall be paid by withholding Shares from the issuance or transfer of Shares due under this Award, rounded down to the nearest whole Share, with the balance to be paid in cash or withheld from compensation or other amount owing to the Participant from the Company or any Affiliate, and the Company and any such Affiliate is hereby authorized to withhold such amounts from any such issuance, transfer, compensation or other amount owing to the Participant.</w:t>
      </w:r>
    </w:p>
    <w:p>
      <w:pPr>
        <w:spacing w:after="0" w:line="198" w:lineRule="exact"/>
        <w:rPr>
          <w:rFonts w:ascii="Times New Roman" w:cs="Times New Roman" w:eastAsia="Times New Roman" w:hAnsi="Times New Roman"/>
          <w:sz w:val="22"/>
          <w:szCs w:val="22"/>
          <w:color w:val="auto"/>
        </w:rPr>
      </w:pPr>
    </w:p>
    <w:p>
      <w:pPr>
        <w:ind w:left="1320" w:right="40" w:hanging="654"/>
        <w:spacing w:after="0" w:line="215" w:lineRule="auto"/>
        <w:tabs>
          <w:tab w:leader="none" w:pos="1315"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Participant’s employment with the Company terminates prior to the issuance or transfer of any remaining Shares due to be issued or transferred to the Participant under this Award, the payment of any applicable withholding taxes with respect to any such issuance or transfer shall be made through the withholding of Shares from such issuance or transfer, rounded down to the nearest whole Share, with the balance to be paid in cash or withheld from compensation or other amount owing to the Participant from the Company or any Affiliate, as provided in Section 10(a) above.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020"/>
          </w:cols>
          <w:pgMar w:left="400" w:top="1314" w:right="479" w:bottom="1440" w:gutter="0" w:footer="0" w:header="0"/>
        </w:sectPr>
      </w:pPr>
    </w:p>
    <w:bookmarkStart w:id="128" w:name="page129"/>
    <w:bookmarkEnd w:id="128"/>
    <w:p>
      <w:pPr>
        <w:spacing w:after="0" w:line="198" w:lineRule="exact"/>
        <w:rPr>
          <w:sz w:val="20"/>
          <w:szCs w:val="20"/>
          <w:color w:val="auto"/>
        </w:rPr>
      </w:pPr>
    </w:p>
    <w:p>
      <w:pPr>
        <w:ind w:left="580" w:right="780" w:hanging="563"/>
        <w:spacing w:after="0" w:line="236" w:lineRule="auto"/>
        <w:tabs>
          <w:tab w:leader="none" w:pos="57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 of the Code</w:t>
      </w:r>
      <w:r>
        <w:rPr>
          <w:rFonts w:ascii="Times New Roman" w:cs="Times New Roman" w:eastAsia="Times New Roman" w:hAnsi="Times New Roman"/>
          <w:sz w:val="22"/>
          <w:szCs w:val="22"/>
          <w:color w:val="auto"/>
        </w:rPr>
        <w:t>. The provisions of Section 14(v) of the Plan are hereby incorporated by reference and made a part hereof.</w:t>
      </w:r>
    </w:p>
    <w:p>
      <w:pPr>
        <w:spacing w:after="0" w:line="177" w:lineRule="exact"/>
        <w:rPr>
          <w:rFonts w:ascii="Times New Roman" w:cs="Times New Roman" w:eastAsia="Times New Roman" w:hAnsi="Times New Roman"/>
          <w:sz w:val="22"/>
          <w:szCs w:val="22"/>
          <w:color w:val="auto"/>
        </w:rPr>
      </w:pPr>
    </w:p>
    <w:p>
      <w:pPr>
        <w:ind w:left="580" w:right="400" w:hanging="563"/>
        <w:spacing w:after="0" w:line="225" w:lineRule="auto"/>
        <w:tabs>
          <w:tab w:leader="none" w:pos="578"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RSUs Subject to Plan</w:t>
      </w:r>
      <w:r>
        <w:rPr>
          <w:rFonts w:ascii="Times New Roman" w:cs="Times New Roman" w:eastAsia="Times New Roman" w:hAnsi="Times New Roman"/>
          <w:sz w:val="22"/>
          <w:szCs w:val="22"/>
          <w:color w:val="auto"/>
        </w:rPr>
        <w:t>. All RSUs are subject to the Plan. In the event of a conflict between any term or provision contained herein and a term or provision of the Plan, the applicable terms and provisions of the Plan will govern and prevail.</w:t>
      </w:r>
    </w:p>
    <w:p>
      <w:pPr>
        <w:spacing w:after="0" w:line="193" w:lineRule="exact"/>
        <w:rPr>
          <w:rFonts w:ascii="Times New Roman" w:cs="Times New Roman" w:eastAsia="Times New Roman" w:hAnsi="Times New Roman"/>
          <w:sz w:val="22"/>
          <w:szCs w:val="22"/>
          <w:color w:val="auto"/>
        </w:rPr>
      </w:pPr>
    </w:p>
    <w:p>
      <w:pPr>
        <w:ind w:left="660" w:right="180" w:hanging="642"/>
        <w:spacing w:after="0" w:line="220" w:lineRule="auto"/>
        <w:tabs>
          <w:tab w:leader="none" w:pos="6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claims, certifications, requests, demands and other communications hereunder shall be in writing and shall be deemed to have been duly given and delivered if personally delivered or if sent by nationally-recognized overnight courier, by telecopy, email or by registered or certified mail, return receipt requested and postage prepaid, addressed as follows:</w:t>
      </w:r>
    </w:p>
    <w:p>
      <w:pPr>
        <w:spacing w:after="0" w:line="200" w:lineRule="exact"/>
        <w:rPr>
          <w:sz w:val="20"/>
          <w:szCs w:val="20"/>
          <w:color w:val="auto"/>
        </w:rPr>
      </w:pPr>
    </w:p>
    <w:p>
      <w:pPr>
        <w:spacing w:after="0" w:line="39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If to the Company, to: Aramark</w:t>
      </w:r>
    </w:p>
    <w:p>
      <w:pPr>
        <w:spacing w:after="0" w:line="11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2400 Market Street</w:t>
      </w:r>
    </w:p>
    <w:p>
      <w:pPr>
        <w:ind w:left="1960"/>
        <w:spacing w:after="0"/>
        <w:rPr>
          <w:sz w:val="20"/>
          <w:szCs w:val="20"/>
          <w:color w:val="auto"/>
        </w:rPr>
      </w:pPr>
      <w:r>
        <w:rPr>
          <w:rFonts w:ascii="Times New Roman" w:cs="Times New Roman" w:eastAsia="Times New Roman" w:hAnsi="Times New Roman"/>
          <w:sz w:val="22"/>
          <w:szCs w:val="22"/>
          <w:color w:val="auto"/>
        </w:rPr>
        <w:t>Philadelphia, PA 19103 Attention: General Counsel</w:t>
      </w:r>
    </w:p>
    <w:p>
      <w:pPr>
        <w:spacing w:after="0" w:line="182" w:lineRule="exact"/>
        <w:rPr>
          <w:sz w:val="20"/>
          <w:szCs w:val="20"/>
          <w:color w:val="auto"/>
        </w:rPr>
      </w:pPr>
    </w:p>
    <w:p>
      <w:pPr>
        <w:ind w:left="660"/>
        <w:spacing w:after="0" w:line="212" w:lineRule="auto"/>
        <w:rPr>
          <w:sz w:val="20"/>
          <w:szCs w:val="20"/>
          <w:color w:val="auto"/>
        </w:rPr>
      </w:pPr>
      <w:r>
        <w:rPr>
          <w:rFonts w:ascii="Times New Roman" w:cs="Times New Roman" w:eastAsia="Times New Roman" w:hAnsi="Times New Roman"/>
          <w:sz w:val="22"/>
          <w:szCs w:val="22"/>
          <w:color w:val="auto"/>
        </w:rPr>
        <w:t>If to the Participant, to him or her at the address set forth on the signature page hereto; or to such other address as the party to whom notice is to be given may have furnished to the other party in writing in accordance herewith. Any such notice or other communication shall be deemed to have been received (a) in the case of personal delivery, on the date of such delivery (or if such date is not a business day, on the next business day after the date of delivery), (b) in the case of nationally-recognized overnight courier, on the next business day after the date sent, (c) in the case of telecopy transmission, when received (or if not sent on a business day, on the next business day after the date sent), and (d) in the case of mailing, on the third business day following that on which the piece of mail containing such communication is posted.</w:t>
      </w:r>
    </w:p>
    <w:p>
      <w:pPr>
        <w:spacing w:after="0" w:line="197" w:lineRule="exact"/>
        <w:rPr>
          <w:sz w:val="20"/>
          <w:szCs w:val="20"/>
          <w:color w:val="auto"/>
        </w:rPr>
      </w:pPr>
    </w:p>
    <w:p>
      <w:pPr>
        <w:ind w:left="580" w:right="380" w:hanging="563"/>
        <w:spacing w:after="0" w:line="236" w:lineRule="auto"/>
        <w:tabs>
          <w:tab w:leader="none" w:pos="57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Breach</w:t>
      </w:r>
      <w:r>
        <w:rPr>
          <w:rFonts w:ascii="Times New Roman" w:cs="Times New Roman" w:eastAsia="Times New Roman" w:hAnsi="Times New Roman"/>
          <w:sz w:val="22"/>
          <w:szCs w:val="22"/>
          <w:color w:val="auto"/>
        </w:rPr>
        <w:t>. The waiver by either party of a breach of any provision of this Award must be in writing and shall not operate or be construed as a waiver of any other or subsequent breach.</w:t>
      </w:r>
    </w:p>
    <w:p>
      <w:pPr>
        <w:spacing w:after="0" w:line="190" w:lineRule="exact"/>
        <w:rPr>
          <w:rFonts w:ascii="Times New Roman" w:cs="Times New Roman" w:eastAsia="Times New Roman" w:hAnsi="Times New Roman"/>
          <w:sz w:val="22"/>
          <w:szCs w:val="22"/>
          <w:color w:val="auto"/>
        </w:rPr>
      </w:pPr>
    </w:p>
    <w:p>
      <w:pPr>
        <w:ind w:left="580" w:right="20" w:hanging="563"/>
        <w:spacing w:after="0" w:line="208" w:lineRule="auto"/>
        <w:tabs>
          <w:tab w:leader="none" w:pos="57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xml:space="preserve"> THIS AWARD WILL BE GOVERNED BY AND CONSTRUED IN ACCORDANCE WITH THE LAWS OF THE STATE OF NEW YORK, WITHOUT GIVING EFFECT TO ANY CHOICE OR CONFLICT OF LAW PROVISION OR RULE (WHETHER OF THE STATE OF NEW YORK OR ANY OTHER JURISDICTION) THAT WOULD CAUSE THE LAWS OF ANY JURISDICTION OTHER THAN THE STATE OF NEW YORK TO BE APPLIED. IN FURTHERANCE OF THE FOREGOING, THE INTERNAL LAW OF THE STATE OF NEW YORK WILL CONTROL THE INTERPRETATION AND CONSTRUCTION OF THIS AWARD,</w:t>
      </w:r>
    </w:p>
    <w:p>
      <w:pPr>
        <w:spacing w:after="0" w:line="4" w:lineRule="exact"/>
        <w:rPr>
          <w:rFonts w:ascii="Times New Roman" w:cs="Times New Roman" w:eastAsia="Times New Roman" w:hAnsi="Times New Roman"/>
          <w:sz w:val="22"/>
          <w:szCs w:val="22"/>
          <w:color w:val="auto"/>
        </w:rPr>
      </w:pPr>
    </w:p>
    <w:p>
      <w:pPr>
        <w:ind w:left="580" w:right="340"/>
        <w:spacing w:after="0" w:line="22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EVEN IF UNDER SUCH JURISDICTION’S CHOICE OF LAW OR CONFLICT OF LAW ANALYSIS, THE SUBSTANTIVE LAW OF SOME OTHER JURISDICTION WOULD ORDINARILY APPLY.</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040"/>
          </w:cols>
          <w:pgMar w:left="400" w:top="1440" w:right="459" w:bottom="1440" w:gutter="0" w:footer="0" w:header="0"/>
        </w:sectPr>
      </w:pPr>
    </w:p>
    <w:bookmarkStart w:id="129" w:name="page130"/>
    <w:bookmarkEnd w:id="129"/>
    <w:p>
      <w:pPr>
        <w:spacing w:after="0" w:line="198" w:lineRule="exact"/>
        <w:rPr>
          <w:sz w:val="20"/>
          <w:szCs w:val="20"/>
          <w:color w:val="auto"/>
        </w:rPr>
      </w:pPr>
    </w:p>
    <w:p>
      <w:pPr>
        <w:ind w:left="660" w:hanging="642"/>
        <w:spacing w:after="0" w:line="213" w:lineRule="auto"/>
        <w:tabs>
          <w:tab w:leader="none" w:pos="6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 of Rights; Entire Agreement.</w:t>
      </w:r>
      <w:r>
        <w:rPr>
          <w:rFonts w:ascii="Times New Roman" w:cs="Times New Roman" w:eastAsia="Times New Roman" w:hAnsi="Times New Roman"/>
          <w:sz w:val="22"/>
          <w:szCs w:val="22"/>
          <w:color w:val="auto"/>
        </w:rPr>
        <w:t xml:space="preserve"> The Participant’s rights under this Award and the Plan may be modified only to the extent expressly provided under this Award or under Sections 14(a) and (b) of the Plan. This Award and the Plan (and the other writings referred to herein) constitute the entire agreement between the parties with respect to the subject matter hereof and thereof and supersede all prior written or oral negotiations, commitments, representations and agreements with respect thereto. For the avoidance of doubt, this Award, the Certificate of Grant and the Plan do not supersede any "Restrictive Covenant Agreement" (as defined below) or employment agreement between the Participant and the Company or its Affiliates.</w:t>
      </w:r>
    </w:p>
    <w:p>
      <w:pPr>
        <w:spacing w:after="0" w:line="372" w:lineRule="exact"/>
        <w:rPr>
          <w:rFonts w:ascii="Times New Roman" w:cs="Times New Roman" w:eastAsia="Times New Roman" w:hAnsi="Times New Roman"/>
          <w:sz w:val="22"/>
          <w:szCs w:val="22"/>
          <w:color w:val="auto"/>
        </w:rPr>
      </w:pPr>
    </w:p>
    <w:p>
      <w:pPr>
        <w:ind w:left="660" w:right="380" w:hanging="642"/>
        <w:spacing w:after="0" w:line="216" w:lineRule="auto"/>
        <w:tabs>
          <w:tab w:leader="none" w:pos="6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Clawback upon Breach of Restrictive Covenants</w:t>
      </w:r>
      <w:r>
        <w:rPr>
          <w:rFonts w:ascii="Times New Roman" w:cs="Times New Roman" w:eastAsia="Times New Roman" w:hAnsi="Times New Roman"/>
          <w:sz w:val="22"/>
          <w:szCs w:val="22"/>
          <w:color w:val="auto"/>
        </w:rPr>
        <w:t>. In the event the Participant breaches the Participant’s “Restrictive Covenant Agreement” (as defined below) at any time</w:t>
      </w:r>
    </w:p>
    <w:p>
      <w:pPr>
        <w:ind w:left="660" w:right="40"/>
        <w:spacing w:after="0" w:line="20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Participant’s employment with the Company or within two years following the termination thereof, then without limiting any other remedies available to the Company (including, without limitation, remedies involving injunctive relief), the Participant shall immediately forfeit any remaining unvested portion of the Award and the Participant shall be required to return to the Company all Shares previously issued in respect of the Award to the extent the Participant continues to own such Shares or, if the Participant no longer owns such Shares, the Participant shall be required to repay to the Company the pre-tax cash value of such Shares calculated based on the Fair Market Value of such Shares on the date such Shares were issued to the Participant in respect of the Award. As used herein, the “Restrictive Covenant Agreement” means any agreement between the Participant and the Company or its Affiliates (including, without limitation, any agreement relating to employment and post-employment competition) subjecting the Participant to confidentiality, non-solicitation, non-competition and/or other restrictive covenants in favor of the Company or its Affiliates.</w:t>
      </w:r>
    </w:p>
    <w:p>
      <w:pPr>
        <w:spacing w:after="0" w:line="196" w:lineRule="exact"/>
        <w:rPr>
          <w:rFonts w:ascii="Times New Roman" w:cs="Times New Roman" w:eastAsia="Times New Roman" w:hAnsi="Times New Roman"/>
          <w:sz w:val="22"/>
          <w:szCs w:val="22"/>
          <w:color w:val="auto"/>
        </w:rPr>
      </w:pPr>
    </w:p>
    <w:p>
      <w:pPr>
        <w:ind w:left="660" w:right="100" w:hanging="642"/>
        <w:spacing w:after="0" w:line="211" w:lineRule="auto"/>
        <w:tabs>
          <w:tab w:leader="none" w:pos="6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It is the desire and intent of the parties hereto that the provisions of this Award be enforced to the fullest extent permissible under the laws and public policies applied in each jurisdiction in which enforcement is sought. Accordingly, if any particular provision of this Award shall be adjudicated by a court of competent jurisdiction to be invalid, prohibited or unenforceable for any reason, such provision, as to such jurisdiction, shall be ineffective, without invalidating the remaining provisions of this Award or affecting the validity or enforceability of such provision in any other jurisdiction. Notwithstanding the foregoing, if such provision could be more narrowly drawn so as not to be invalid, prohibited or unenforceable in such jurisdiction, it shall, as to such jurisdiction, be so narrowly drawn, without invalidating the remaining provisions of this Award or affecting the validity or enforceability of such provision in any other jurisdiction.</w:t>
      </w:r>
    </w:p>
    <w:p>
      <w:pPr>
        <w:spacing w:after="0" w:line="334" w:lineRule="exact"/>
        <w:rPr>
          <w:sz w:val="20"/>
          <w:szCs w:val="20"/>
          <w:color w:val="auto"/>
        </w:rPr>
      </w:pPr>
    </w:p>
    <w:p>
      <w:pPr>
        <w:ind w:left="580"/>
        <w:spacing w:after="0"/>
        <w:tabs>
          <w:tab w:leader="none" w:pos="4260" w:val="left"/>
        </w:tabs>
        <w:rPr>
          <w:sz w:val="20"/>
          <w:szCs w:val="20"/>
          <w:color w:val="auto"/>
        </w:rPr>
      </w:pPr>
      <w:r>
        <w:rPr>
          <w:rFonts w:ascii="Times New Roman" w:cs="Times New Roman" w:eastAsia="Times New Roman" w:hAnsi="Times New Roman"/>
          <w:sz w:val="22"/>
          <w:szCs w:val="22"/>
          <w:color w:val="auto"/>
        </w:rPr>
        <w:t>Name: [(Per Certificate of Grant)] Date:</w:t>
      </w:r>
      <w:r>
        <w:rPr>
          <w:sz w:val="20"/>
          <w:szCs w:val="20"/>
          <w:color w:val="auto"/>
        </w:rPr>
        <w:tab/>
      </w:r>
      <w:r>
        <w:rPr>
          <w:rFonts w:ascii="Times New Roman" w:cs="Times New Roman" w:eastAsia="Times New Roman" w:hAnsi="Times New Roman"/>
          <w:sz w:val="21"/>
          <w:szCs w:val="21"/>
          <w:color w:val="auto"/>
        </w:rPr>
        <w:t>[Acceptance Date]</w:t>
      </w:r>
    </w:p>
    <w:p>
      <w:pPr>
        <w:spacing w:after="0" w:line="1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[Note: Grant will be accepted electronically.]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040"/>
          </w:cols>
          <w:pgMar w:left="400" w:top="1440" w:right="459" w:bottom="1440" w:gutter="0" w:footer="0" w:header="0"/>
        </w:sectPr>
      </w:pPr>
    </w:p>
    <w:bookmarkStart w:id="130" w:name="page131"/>
    <w:bookmarkEnd w:id="1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1"/>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195" w:lineRule="exact"/>
        <w:rPr>
          <w:sz w:val="20"/>
          <w:szCs w:val="20"/>
          <w:color w:val="auto"/>
        </w:rPr>
      </w:pPr>
    </w:p>
    <w:p>
      <w:pPr>
        <w:jc w:val="center"/>
        <w:ind w:right="-191"/>
        <w:spacing w:after="0"/>
        <w:rPr>
          <w:sz w:val="20"/>
          <w:szCs w:val="20"/>
          <w:color w:val="auto"/>
        </w:rPr>
      </w:pPr>
      <w:r>
        <w:rPr>
          <w:rFonts w:ascii="Times New Roman" w:cs="Times New Roman" w:eastAsia="Times New Roman" w:hAnsi="Times New Roman"/>
          <w:sz w:val="25"/>
          <w:szCs w:val="25"/>
          <w:b w:val="1"/>
          <w:bCs w:val="1"/>
          <w:color w:val="auto"/>
        </w:rPr>
        <w:t>DATA PRIVACY NOTICE</w:t>
      </w:r>
    </w:p>
    <w:p>
      <w:pPr>
        <w:spacing w:after="0" w:line="227" w:lineRule="exact"/>
        <w:rPr>
          <w:sz w:val="20"/>
          <w:szCs w:val="20"/>
          <w:color w:val="auto"/>
        </w:rPr>
      </w:pPr>
    </w:p>
    <w:p>
      <w:pPr>
        <w:ind w:left="652" w:hanging="652"/>
        <w:spacing w:after="0" w:line="227" w:lineRule="auto"/>
        <w:tabs>
          <w:tab w:leader="none" w:pos="647"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participating in the Plan or accepting any rights granted under it, the Participant understands that the Company and its Affiliates and/or agents collect, use, store and process personal data relating to the Participant to fulfill their obligations and exercise their rights under the Plan, issue certificates (if any), statements and communications relating to the Plan and generally administer and manage the Plan, including keeping records of participation levels from time to time. Any such processing will take place as described in this data privacy notice (“</w:t>
      </w:r>
      <w:r>
        <w:rPr>
          <w:rFonts w:ascii="Times New Roman" w:cs="Times New Roman" w:eastAsia="Times New Roman" w:hAnsi="Times New Roman"/>
          <w:sz w:val="21"/>
          <w:szCs w:val="21"/>
          <w:u w:val="single" w:color="auto"/>
          <w:color w:val="auto"/>
        </w:rPr>
        <w:t>Data Privacy Notice</w:t>
      </w:r>
      <w:r>
        <w:rPr>
          <w:rFonts w:ascii="Times New Roman" w:cs="Times New Roman" w:eastAsia="Times New Roman" w:hAnsi="Times New Roman"/>
          <w:sz w:val="21"/>
          <w:szCs w:val="21"/>
          <w:color w:val="auto"/>
        </w:rPr>
        <w:t>”).</w:t>
      </w:r>
    </w:p>
    <w:p>
      <w:pPr>
        <w:spacing w:after="0" w:line="194" w:lineRule="exact"/>
        <w:rPr>
          <w:sz w:val="20"/>
          <w:szCs w:val="20"/>
          <w:color w:val="auto"/>
        </w:rPr>
      </w:pPr>
    </w:p>
    <w:p>
      <w:pPr>
        <w:ind w:left="92"/>
        <w:spacing w:after="0"/>
        <w:rPr>
          <w:sz w:val="20"/>
          <w:szCs w:val="20"/>
          <w:color w:val="auto"/>
        </w:rPr>
      </w:pPr>
      <w:r>
        <w:rPr>
          <w:rFonts w:ascii="Times New Roman" w:cs="Times New Roman" w:eastAsia="Times New Roman" w:hAnsi="Times New Roman"/>
          <w:sz w:val="22"/>
          <w:szCs w:val="22"/>
          <w:color w:val="auto"/>
        </w:rPr>
        <w:t>These data will include data:</w:t>
      </w:r>
    </w:p>
    <w:p>
      <w:pPr>
        <w:spacing w:after="0" w:line="206" w:lineRule="exact"/>
        <w:rPr>
          <w:sz w:val="20"/>
          <w:szCs w:val="20"/>
          <w:color w:val="auto"/>
        </w:rPr>
      </w:pPr>
    </w:p>
    <w:p>
      <w:pPr>
        <w:ind w:left="1552" w:right="240" w:hanging="13"/>
        <w:spacing w:after="0" w:line="236" w:lineRule="auto"/>
        <w:tabs>
          <w:tab w:leader="none" w:pos="193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already held in the Participant's records such as the Participant's name and address, ID number, payroll number, length of service and whether the Participant works full-time or part time;</w:t>
      </w:r>
    </w:p>
    <w:p>
      <w:pPr>
        <w:spacing w:after="0" w:line="190" w:lineRule="exact"/>
        <w:rPr>
          <w:rFonts w:ascii="Times New Roman" w:cs="Times New Roman" w:eastAsia="Times New Roman" w:hAnsi="Times New Roman"/>
          <w:sz w:val="22"/>
          <w:szCs w:val="22"/>
          <w:color w:val="auto"/>
        </w:rPr>
      </w:pPr>
    </w:p>
    <w:p>
      <w:pPr>
        <w:ind w:left="1932" w:hanging="384"/>
        <w:spacing w:after="0"/>
        <w:tabs>
          <w:tab w:leader="none" w:pos="1932"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collected upon the Participant accepting the rights granted under the Plan (if applicable); and</w:t>
      </w:r>
    </w:p>
    <w:p>
      <w:pPr>
        <w:spacing w:after="0" w:line="206" w:lineRule="exact"/>
        <w:rPr>
          <w:rFonts w:ascii="Times New Roman" w:cs="Times New Roman" w:eastAsia="Times New Roman" w:hAnsi="Times New Roman"/>
          <w:sz w:val="22"/>
          <w:szCs w:val="22"/>
          <w:color w:val="auto"/>
        </w:rPr>
      </w:pPr>
    </w:p>
    <w:p>
      <w:pPr>
        <w:ind w:left="2032" w:hanging="485"/>
        <w:spacing w:after="0"/>
        <w:tabs>
          <w:tab w:leader="none" w:pos="2032"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subsequently collected</w:t>
      </w:r>
    </w:p>
    <w:p>
      <w:pPr>
        <w:spacing w:after="0" w:line="220" w:lineRule="exact"/>
        <w:rPr>
          <w:sz w:val="20"/>
          <w:szCs w:val="20"/>
          <w:color w:val="auto"/>
        </w:rPr>
      </w:pPr>
    </w:p>
    <w:p>
      <w:pPr>
        <w:ind w:left="1552" w:right="20"/>
        <w:spacing w:after="0" w:line="217" w:lineRule="auto"/>
        <w:rPr>
          <w:sz w:val="20"/>
          <w:szCs w:val="20"/>
          <w:color w:val="auto"/>
        </w:rPr>
      </w:pPr>
      <w:r>
        <w:rPr>
          <w:rFonts w:ascii="Times New Roman" w:cs="Times New Roman" w:eastAsia="Times New Roman" w:hAnsi="Times New Roman"/>
          <w:sz w:val="22"/>
          <w:szCs w:val="22"/>
          <w:color w:val="auto"/>
        </w:rPr>
        <w:t>by the Company or any of its Affiliates and/or agents in relation to the Participant's continued participation in the Plan, for example, data about shares offered or received, purchased or sold under the Plan from time to time and other appropriate financial and other data about the Participant and his or her participation in the Plan (e.g., the date on which the shares were granted, termination of employment and the reasons of termination of employment or retirement of the Participant).</w:t>
      </w:r>
    </w:p>
    <w:p>
      <w:pPr>
        <w:spacing w:after="0" w:line="200" w:lineRule="exact"/>
        <w:rPr>
          <w:sz w:val="20"/>
          <w:szCs w:val="20"/>
          <w:color w:val="auto"/>
        </w:rPr>
      </w:pPr>
    </w:p>
    <w:p>
      <w:pPr>
        <w:spacing w:after="0" w:line="317" w:lineRule="exact"/>
        <w:rPr>
          <w:sz w:val="20"/>
          <w:szCs w:val="20"/>
          <w:color w:val="auto"/>
        </w:rPr>
      </w:pPr>
    </w:p>
    <w:p>
      <w:pPr>
        <w:ind w:left="572" w:right="280" w:hanging="572"/>
        <w:spacing w:after="0" w:line="203" w:lineRule="auto"/>
        <w:tabs>
          <w:tab w:leader="none" w:pos="569"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Personal data about the Participant as described in paragraph (a) above may be transferred not only within the country in which the Participant is based from time to time or within the European Economic Area</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21"/>
          <w:szCs w:val="21"/>
          <w:color w:val="auto"/>
        </w:rPr>
        <w:t xml:space="preserve"> (“EEA”), but also worldwide, to other Affiliates and/or agents and to the following third parties for the purposes described in paragraph</w:t>
      </w:r>
    </w:p>
    <w:p>
      <w:pPr>
        <w:ind w:left="852" w:hanging="285"/>
        <w:spacing w:after="0"/>
        <w:tabs>
          <w:tab w:leader="none" w:pos="852"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w:t>
      </w:r>
    </w:p>
    <w:p>
      <w:pPr>
        <w:spacing w:after="0" w:line="182" w:lineRule="exact"/>
        <w:rPr>
          <w:rFonts w:ascii="Times New Roman" w:cs="Times New Roman" w:eastAsia="Times New Roman" w:hAnsi="Times New Roman"/>
          <w:sz w:val="22"/>
          <w:szCs w:val="22"/>
          <w:color w:val="auto"/>
        </w:rPr>
      </w:pPr>
    </w:p>
    <w:p>
      <w:pPr>
        <w:ind w:left="1552" w:right="160" w:hanging="4"/>
        <w:spacing w:after="0" w:line="225" w:lineRule="auto"/>
        <w:tabs>
          <w:tab w:leader="none" w:pos="1945" w:val="left"/>
        </w:tabs>
        <w:numPr>
          <w:ilvl w:val="2"/>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 administrators, transfer agents, auditors, brokers, agents and contractors of, and third party service providers to, the Company or its Affiliates such as printers and mail houses engaged to print or distribute notices or communications about the Plan;</w:t>
      </w:r>
    </w:p>
    <w:p>
      <w:pPr>
        <w:spacing w:after="0" w:line="180" w:lineRule="exact"/>
        <w:rPr>
          <w:rFonts w:ascii="Times New Roman" w:cs="Times New Roman" w:eastAsia="Times New Roman" w:hAnsi="Times New Roman"/>
          <w:sz w:val="22"/>
          <w:szCs w:val="22"/>
          <w:color w:val="auto"/>
        </w:rPr>
      </w:pPr>
    </w:p>
    <w:p>
      <w:pPr>
        <w:ind w:left="1932" w:hanging="384"/>
        <w:spacing w:after="0"/>
        <w:tabs>
          <w:tab w:leader="none" w:pos="1932" w:val="left"/>
        </w:tabs>
        <w:numPr>
          <w:ilvl w:val="2"/>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regulators, tax authorities, stock or security exchanges and other supervisory, regulatory,</w:t>
      </w:r>
    </w:p>
    <w:p>
      <w:pPr>
        <w:ind w:left="1552"/>
        <w:spacing w:after="0"/>
        <w:rPr>
          <w:sz w:val="20"/>
          <w:szCs w:val="20"/>
          <w:color w:val="auto"/>
        </w:rPr>
      </w:pPr>
      <w:r>
        <w:rPr>
          <w:rFonts w:ascii="Times New Roman" w:cs="Times New Roman" w:eastAsia="Times New Roman" w:hAnsi="Times New Roman"/>
          <w:sz w:val="22"/>
          <w:szCs w:val="22"/>
          <w:color w:val="auto"/>
        </w:rPr>
        <w:t>governmental or public bodies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17145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4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112" w:hanging="112"/>
        <w:spacing w:after="0"/>
        <w:tabs>
          <w:tab w:leader="none" w:pos="112" w:val="left"/>
        </w:tabs>
        <w:numPr>
          <w:ilvl w:val="0"/>
          <w:numId w:val="8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European Economic Area is composed of 27 member states of the European Union plus Iceland, Liechtenstein and Norway.</w:t>
      </w:r>
    </w:p>
    <w:p>
      <w:pPr>
        <w:spacing w:after="0" w:line="200" w:lineRule="exact"/>
        <w:rPr>
          <w:sz w:val="20"/>
          <w:szCs w:val="20"/>
          <w:color w:val="auto"/>
        </w:rPr>
      </w:pPr>
    </w:p>
    <w:p>
      <w:pPr>
        <w:spacing w:after="0" w:line="272" w:lineRule="exact"/>
        <w:rPr>
          <w:sz w:val="20"/>
          <w:szCs w:val="20"/>
          <w:color w:val="auto"/>
        </w:rPr>
      </w:pPr>
    </w:p>
    <w:p>
      <w:pPr>
        <w:ind w:left="72"/>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032"/>
          </w:cols>
          <w:pgMar w:left="328" w:top="1440" w:right="539" w:bottom="1440" w:gutter="0" w:footer="0" w:header="0"/>
        </w:sectPr>
      </w:pPr>
    </w:p>
    <w:bookmarkStart w:id="131" w:name="page132"/>
    <w:bookmarkEnd w:id="131"/>
    <w:p>
      <w:pPr>
        <w:ind w:left="1560" w:right="540" w:hanging="4"/>
        <w:spacing w:after="0" w:line="225" w:lineRule="auto"/>
        <w:tabs>
          <w:tab w:leader="none" w:pos="1953"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actual or proposed merger or acquisition partners or proposed assignees of, or those taking or proposing to take security over, the business or assets or stock of the Company or its Affiliates and their agents and contractors;</w:t>
      </w:r>
    </w:p>
    <w:p>
      <w:pPr>
        <w:spacing w:after="0" w:line="193" w:lineRule="exact"/>
        <w:rPr>
          <w:sz w:val="20"/>
          <w:szCs w:val="20"/>
          <w:color w:val="auto"/>
        </w:rPr>
      </w:pPr>
    </w:p>
    <w:p>
      <w:pPr>
        <w:ind w:left="1560" w:right="1220"/>
        <w:spacing w:after="0" w:line="225" w:lineRule="auto"/>
        <w:rPr>
          <w:sz w:val="20"/>
          <w:szCs w:val="20"/>
          <w:color w:val="auto"/>
        </w:rPr>
      </w:pPr>
      <w:r>
        <w:rPr>
          <w:rFonts w:ascii="Times New Roman" w:cs="Times New Roman" w:eastAsia="Times New Roman" w:hAnsi="Times New Roman"/>
          <w:sz w:val="22"/>
          <w:szCs w:val="22"/>
          <w:color w:val="auto"/>
        </w:rPr>
        <w:t>(vii)other third parties to whom the Company or its Affiliates and/or agents may need to communicate/transfer the data in connection with the administration of the Plan, under a duty of confidentiality to the Company and its Affiliates; and</w:t>
      </w:r>
    </w:p>
    <w:p>
      <w:pPr>
        <w:spacing w:after="0" w:line="193" w:lineRule="exact"/>
        <w:rPr>
          <w:sz w:val="20"/>
          <w:szCs w:val="20"/>
          <w:color w:val="auto"/>
        </w:rPr>
      </w:pPr>
    </w:p>
    <w:p>
      <w:pPr>
        <w:ind w:left="1560" w:right="460" w:hanging="4"/>
        <w:spacing w:after="0" w:line="236" w:lineRule="auto"/>
        <w:tabs>
          <w:tab w:leader="none" w:pos="2599"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Participant's family members, heirs, legatees and others associated with the Participant in connection with the Plan.</w:t>
      </w:r>
    </w:p>
    <w:p>
      <w:pPr>
        <w:spacing w:after="0" w:line="177" w:lineRule="exact"/>
        <w:rPr>
          <w:sz w:val="20"/>
          <w:szCs w:val="20"/>
          <w:color w:val="auto"/>
        </w:rPr>
      </w:pPr>
    </w:p>
    <w:p>
      <w:pPr>
        <w:ind w:left="100"/>
        <w:spacing w:after="0" w:line="215" w:lineRule="auto"/>
        <w:rPr>
          <w:sz w:val="20"/>
          <w:szCs w:val="20"/>
          <w:color w:val="auto"/>
        </w:rPr>
      </w:pPr>
      <w:r>
        <w:rPr>
          <w:rFonts w:ascii="Times New Roman" w:cs="Times New Roman" w:eastAsia="Times New Roman" w:hAnsi="Times New Roman"/>
          <w:sz w:val="22"/>
          <w:szCs w:val="22"/>
          <w:color w:val="auto"/>
        </w:rPr>
        <w:t>Not all countries, where the personal data may be processed or transferred to, have an equal level of data protection as in Canada, the EU or EEA. Countries to which data are transferred include the United States and Bermuda. The Company, as the responsible data controller of any data processing for the purposes of the Plan, is located in the United States. For any transfers outside the country of origin of the personal data or with a third party, the Company will ensure that appropriate measures are in place to ensure an adequate level of protection for your personal data, including technical or contractual measures where necessary.</w:t>
      </w:r>
    </w:p>
    <w:p>
      <w:pPr>
        <w:spacing w:after="0" w:line="179" w:lineRule="exact"/>
        <w:rPr>
          <w:sz w:val="20"/>
          <w:szCs w:val="20"/>
          <w:color w:val="auto"/>
        </w:rPr>
      </w:pPr>
    </w:p>
    <w:p>
      <w:pPr>
        <w:ind w:left="100" w:right="100"/>
        <w:spacing w:after="0" w:line="220" w:lineRule="auto"/>
        <w:rPr>
          <w:sz w:val="20"/>
          <w:szCs w:val="20"/>
          <w:color w:val="auto"/>
        </w:rPr>
      </w:pPr>
      <w:r>
        <w:rPr>
          <w:rFonts w:ascii="Times New Roman" w:cs="Times New Roman" w:eastAsia="Times New Roman" w:hAnsi="Times New Roman"/>
          <w:sz w:val="22"/>
          <w:szCs w:val="22"/>
          <w:color w:val="auto"/>
        </w:rPr>
        <w:t>For European personal data, onward transfers of personal data within the United States and to Bermuda are generally undertaken with adequate safeguards in place to protect personal data, such as Standard Contractual Clauses issued by the European Commission, which are, where necessary, supplemented with additional measures to provide adequate protection of personal data.</w:t>
      </w:r>
    </w:p>
    <w:p>
      <w:pPr>
        <w:spacing w:after="0" w:line="179" w:lineRule="exact"/>
        <w:rPr>
          <w:sz w:val="20"/>
          <w:szCs w:val="20"/>
          <w:color w:val="auto"/>
        </w:rPr>
      </w:pPr>
    </w:p>
    <w:p>
      <w:pPr>
        <w:ind w:left="100" w:right="900"/>
        <w:spacing w:after="0" w:line="236" w:lineRule="auto"/>
        <w:rPr>
          <w:sz w:val="20"/>
          <w:szCs w:val="20"/>
          <w:color w:val="auto"/>
        </w:rPr>
      </w:pPr>
      <w:r>
        <w:rPr>
          <w:rFonts w:ascii="Times New Roman" w:cs="Times New Roman" w:eastAsia="Times New Roman" w:hAnsi="Times New Roman"/>
          <w:sz w:val="22"/>
          <w:szCs w:val="22"/>
          <w:color w:val="auto"/>
        </w:rPr>
        <w:t>All national and international transfer of personal data is only done in order to fulfill the obligations and rights of the Company and/or its Affiliates under the Plan.</w:t>
      </w:r>
    </w:p>
    <w:p>
      <w:pPr>
        <w:spacing w:after="0" w:line="177" w:lineRule="exact"/>
        <w:rPr>
          <w:sz w:val="20"/>
          <w:szCs w:val="20"/>
          <w:color w:val="auto"/>
        </w:rPr>
      </w:pPr>
    </w:p>
    <w:p>
      <w:pPr>
        <w:ind w:left="100" w:right="80"/>
        <w:spacing w:after="0" w:line="211" w:lineRule="auto"/>
        <w:rPr>
          <w:sz w:val="20"/>
          <w:szCs w:val="20"/>
          <w:color w:val="auto"/>
        </w:rPr>
      </w:pPr>
      <w:r>
        <w:rPr>
          <w:rFonts w:ascii="Times New Roman" w:cs="Times New Roman" w:eastAsia="Times New Roman" w:hAnsi="Times New Roman"/>
          <w:sz w:val="22"/>
          <w:szCs w:val="22"/>
          <w:color w:val="auto"/>
        </w:rPr>
        <w:t>The Participant may access, modify, correct or delete personal data about the Participant, restrict or object to the processing of personal data, or opt to receive personal data in a structured, commonly used, machine readable form which provides the ability to move, copy or transfer personal data to another controller by contacting the local data protection officer in the country in which the Participant is based. Please note, however, that certain personal information about the Participant may be exempt from afore mentioned rights pursuant to applicable data protection laws. In addition, the Participant has the right to lodge a complaint with a competent data protection supervisory authority, in particular in the EU Member State where the Participant resides, works or the place of the alleged infringement. If the Participant has a complaint regarding the manner in which personal information relating to the Participant is dealt with, the Participant should contact the appropriate local data protection officer referred to above.</w:t>
      </w:r>
    </w:p>
    <w:p>
      <w:pPr>
        <w:spacing w:after="0" w:line="185" w:lineRule="exact"/>
        <w:rPr>
          <w:sz w:val="20"/>
          <w:szCs w:val="20"/>
          <w:color w:val="auto"/>
        </w:rPr>
      </w:pPr>
    </w:p>
    <w:p>
      <w:pPr>
        <w:ind w:right="260"/>
        <w:spacing w:after="0" w:line="220" w:lineRule="auto"/>
        <w:rPr>
          <w:sz w:val="20"/>
          <w:szCs w:val="20"/>
          <w:color w:val="auto"/>
        </w:rPr>
      </w:pPr>
      <w:r>
        <w:rPr>
          <w:rFonts w:ascii="Times New Roman" w:cs="Times New Roman" w:eastAsia="Times New Roman" w:hAnsi="Times New Roman"/>
          <w:sz w:val="22"/>
          <w:szCs w:val="22"/>
          <w:color w:val="auto"/>
        </w:rPr>
        <w:t>The processing (including transfer) of data described above is essential for the administration and operation of the Plan. Therefore, it is essential that his/her personal data is processed in the manner described above. The Company will only retain personal data for as long as is required to satisfy the purposes as described in paragraph (a) above, except where otherwise provided or required by law (e.g. in connection with pending litigation).</w:t>
      </w:r>
    </w:p>
    <w:p>
      <w:pPr>
        <w:spacing w:after="0" w:line="200" w:lineRule="exact"/>
        <w:rPr>
          <w:sz w:val="20"/>
          <w:szCs w:val="20"/>
          <w:color w:val="auto"/>
        </w:rPr>
      </w:pPr>
    </w:p>
    <w:p>
      <w:pPr>
        <w:spacing w:after="0" w:line="2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080"/>
          </w:cols>
          <w:pgMar w:left="320" w:top="1314" w:right="49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20"/>
          <w:szCs w:val="20"/>
          <w:b w:val="1"/>
          <w:bCs w:val="1"/>
          <w:color w:val="auto"/>
        </w:rPr>
        <w:t>Exhibit 10.90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023"/>
        <w:spacing w:after="0"/>
        <w:rPr>
          <w:sz w:val="20"/>
          <w:szCs w:val="20"/>
          <w:color w:val="auto"/>
        </w:rPr>
      </w:pPr>
      <w:r>
        <w:rPr>
          <w:rFonts w:ascii="Times New Roman" w:cs="Times New Roman" w:eastAsia="Times New Roman" w:hAnsi="Times New Roman"/>
          <w:sz w:val="25"/>
          <w:szCs w:val="25"/>
          <w:b w:val="1"/>
          <w:bCs w:val="1"/>
          <w:color w:val="auto"/>
        </w:rPr>
        <w:t>Aramark</w:t>
      </w:r>
    </w:p>
    <w:p>
      <w:pPr>
        <w:spacing w:after="0" w:line="185" w:lineRule="exact"/>
        <w:rPr>
          <w:sz w:val="20"/>
          <w:szCs w:val="20"/>
          <w:color w:val="auto"/>
        </w:rPr>
      </w:pPr>
    </w:p>
    <w:p>
      <w:pPr>
        <w:ind w:left="1703"/>
        <w:spacing w:after="0"/>
        <w:rPr>
          <w:sz w:val="20"/>
          <w:szCs w:val="20"/>
          <w:color w:val="auto"/>
        </w:rPr>
      </w:pPr>
      <w:r>
        <w:rPr>
          <w:rFonts w:ascii="Times New Roman" w:cs="Times New Roman" w:eastAsia="Times New Roman" w:hAnsi="Times New Roman"/>
          <w:sz w:val="25"/>
          <w:szCs w:val="25"/>
          <w:b w:val="1"/>
          <w:bCs w:val="1"/>
          <w:color w:val="auto"/>
        </w:rPr>
        <w:t>FORM OF PERFORMANCE STOCK UNIT AWARD</w:t>
      </w:r>
    </w:p>
    <w:p>
      <w:pPr>
        <w:spacing w:after="0" w:line="200" w:lineRule="exact"/>
        <w:rPr>
          <w:sz w:val="20"/>
          <w:szCs w:val="20"/>
          <w:color w:val="auto"/>
        </w:rPr>
      </w:pPr>
    </w:p>
    <w:p>
      <w:pPr>
        <w:spacing w:after="0" w:line="221" w:lineRule="exact"/>
        <w:rPr>
          <w:sz w:val="20"/>
          <w:szCs w:val="20"/>
          <w:color w:val="auto"/>
        </w:rPr>
      </w:pPr>
    </w:p>
    <w:p>
      <w:pPr>
        <w:ind w:left="643" w:right="120" w:hanging="642"/>
        <w:spacing w:after="0" w:line="212" w:lineRule="auto"/>
        <w:tabs>
          <w:tab w:leader="none" w:pos="643"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Grant of PSUs</w:t>
      </w:r>
      <w:r>
        <w:rPr>
          <w:rFonts w:ascii="Times New Roman" w:cs="Times New Roman" w:eastAsia="Times New Roman" w:hAnsi="Times New Roman"/>
          <w:sz w:val="20"/>
          <w:szCs w:val="20"/>
          <w:color w:val="auto"/>
        </w:rPr>
        <w:t>. The Company hereby grants the opportunity to vest in a number of Performance Stock Units determined based on the “</w:t>
      </w:r>
      <w:r>
        <w:rPr>
          <w:rFonts w:ascii="Times New Roman" w:cs="Times New Roman" w:eastAsia="Times New Roman" w:hAnsi="Times New Roman"/>
          <w:sz w:val="20"/>
          <w:szCs w:val="20"/>
          <w:u w:val="single" w:color="auto"/>
          <w:color w:val="auto"/>
        </w:rPr>
        <w:t>Target Number of PSUs</w:t>
      </w:r>
      <w:r>
        <w:rPr>
          <w:rFonts w:ascii="Times New Roman" w:cs="Times New Roman" w:eastAsia="Times New Roman" w:hAnsi="Times New Roman"/>
          <w:sz w:val="20"/>
          <w:szCs w:val="20"/>
          <w:color w:val="auto"/>
        </w:rPr>
        <w:t>” set forth on the Certificate of Grant attached to this Award and made a part hereof (the “</w:t>
      </w:r>
      <w:r>
        <w:rPr>
          <w:rFonts w:ascii="Times New Roman" w:cs="Times New Roman" w:eastAsia="Times New Roman" w:hAnsi="Times New Roman"/>
          <w:sz w:val="20"/>
          <w:szCs w:val="20"/>
          <w:u w:val="single" w:color="auto"/>
          <w:color w:val="auto"/>
        </w:rPr>
        <w:t>Certificate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of Grant</w:t>
      </w:r>
      <w:r>
        <w:rPr>
          <w:rFonts w:ascii="Times New Roman" w:cs="Times New Roman" w:eastAsia="Times New Roman" w:hAnsi="Times New Roman"/>
          <w:sz w:val="20"/>
          <w:szCs w:val="20"/>
          <w:color w:val="auto"/>
        </w:rPr>
        <w:t xml:space="preserve">”) to the Participant, on the terms and conditions hereinafter set forth including </w:t>
      </w:r>
      <w:r>
        <w:rPr>
          <w:rFonts w:ascii="Times New Roman" w:cs="Times New Roman" w:eastAsia="Times New Roman" w:hAnsi="Times New Roman"/>
          <w:sz w:val="20"/>
          <w:szCs w:val="20"/>
          <w:u w:val="single" w:color="auto"/>
          <w:color w:val="auto"/>
        </w:rPr>
        <w:t>on Schedule I</w:t>
      </w:r>
      <w:r>
        <w:rPr>
          <w:rFonts w:ascii="Times New Roman" w:cs="Times New Roman" w:eastAsia="Times New Roman" w:hAnsi="Times New Roman"/>
          <w:sz w:val="20"/>
          <w:szCs w:val="20"/>
          <w:color w:val="auto"/>
        </w:rPr>
        <w:t xml:space="preserve"> which is made a part hereof. This grant is made pursuant to the terms of the Aramark (formerly known as Aramark Holdings Corporation) 2013 Stock Incentive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which Plan, as amended from time to time, is incorporated herein by reference and made a part of this Award. Each Performance Stock Unit (a “</w:t>
      </w:r>
      <w:r>
        <w:rPr>
          <w:rFonts w:ascii="Times New Roman" w:cs="Times New Roman" w:eastAsia="Times New Roman" w:hAnsi="Times New Roman"/>
          <w:sz w:val="20"/>
          <w:szCs w:val="20"/>
          <w:u w:val="single" w:color="auto"/>
          <w:color w:val="auto"/>
        </w:rPr>
        <w:t>PSU</w:t>
      </w:r>
      <w:r>
        <w:rPr>
          <w:rFonts w:ascii="Times New Roman" w:cs="Times New Roman" w:eastAsia="Times New Roman" w:hAnsi="Times New Roman"/>
          <w:sz w:val="20"/>
          <w:szCs w:val="20"/>
          <w:color w:val="auto"/>
        </w:rPr>
        <w:t>”) represents the unfunded, unsecured right of the Participant to receive a share of Common Stock of the Company (each a “</w:t>
      </w:r>
      <w:r>
        <w:rPr>
          <w:rFonts w:ascii="Times New Roman" w:cs="Times New Roman" w:eastAsia="Times New Roman" w:hAnsi="Times New Roman"/>
          <w:sz w:val="20"/>
          <w:szCs w:val="20"/>
          <w:u w:val="single" w:color="auto"/>
          <w:color w:val="auto"/>
        </w:rPr>
        <w:t>Share</w:t>
      </w:r>
      <w:r>
        <w:rPr>
          <w:rFonts w:ascii="Times New Roman" w:cs="Times New Roman" w:eastAsia="Times New Roman" w:hAnsi="Times New Roman"/>
          <w:sz w:val="20"/>
          <w:szCs w:val="20"/>
          <w:color w:val="auto"/>
        </w:rPr>
        <w:t>”), subject to the terms and conditions hereof, on the date(s) specified herein. Capitalized terms not otherwise defined herein shall have the same meanings as in the Plan and the Certificate of Grant.</w:t>
      </w:r>
    </w:p>
    <w:p>
      <w:pPr>
        <w:spacing w:after="0" w:line="204" w:lineRule="exact"/>
        <w:rPr>
          <w:rFonts w:ascii="Times New Roman" w:cs="Times New Roman" w:eastAsia="Times New Roman" w:hAnsi="Times New Roman"/>
          <w:sz w:val="22"/>
          <w:szCs w:val="22"/>
          <w:color w:val="auto"/>
        </w:rPr>
      </w:pPr>
    </w:p>
    <w:p>
      <w:pPr>
        <w:ind w:left="563" w:hanging="563"/>
        <w:spacing w:after="0"/>
        <w:tabs>
          <w:tab w:leader="none" w:pos="563"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Performance and Service Vesting Conditions</w:t>
      </w:r>
      <w:r>
        <w:rPr>
          <w:rFonts w:ascii="Times New Roman" w:cs="Times New Roman" w:eastAsia="Times New Roman" w:hAnsi="Times New Roman"/>
          <w:sz w:val="20"/>
          <w:szCs w:val="20"/>
          <w:color w:val="auto"/>
        </w:rPr>
        <w:t>.</w:t>
      </w:r>
    </w:p>
    <w:p>
      <w:pPr>
        <w:spacing w:after="0" w:line="201" w:lineRule="exact"/>
        <w:rPr>
          <w:sz w:val="20"/>
          <w:szCs w:val="20"/>
          <w:color w:val="auto"/>
        </w:rPr>
      </w:pPr>
    </w:p>
    <w:p>
      <w:pPr>
        <w:ind w:left="643"/>
        <w:spacing w:after="0"/>
        <w:rPr>
          <w:sz w:val="20"/>
          <w:szCs w:val="20"/>
          <w:color w:val="auto"/>
        </w:rPr>
      </w:pPr>
      <w:r>
        <w:rPr>
          <w:rFonts w:ascii="Times New Roman" w:cs="Times New Roman" w:eastAsia="Times New Roman" w:hAnsi="Times New Roman"/>
          <w:sz w:val="20"/>
          <w:szCs w:val="20"/>
          <w:color w:val="auto"/>
        </w:rPr>
        <w:t>Subject to the remainder of the terms and conditions of this Award, so long as the Participant continues Employment through the</w:t>
      </w:r>
    </w:p>
    <w:p>
      <w:pPr>
        <w:ind w:left="643" w:right="320"/>
        <w:spacing w:after="0" w:line="215" w:lineRule="auto"/>
        <w:rPr>
          <w:sz w:val="20"/>
          <w:szCs w:val="20"/>
          <w:color w:val="auto"/>
        </w:rPr>
      </w:pPr>
      <w:r>
        <w:rPr>
          <w:rFonts w:ascii="Times New Roman" w:cs="Times New Roman" w:eastAsia="Times New Roman" w:hAnsi="Times New Roman"/>
          <w:sz w:val="19"/>
          <w:szCs w:val="19"/>
          <w:color w:val="auto"/>
        </w:rPr>
        <w:t>Vesting Date the Participant shall earn, and become vested in a number of PSUs (if any) equal to a percentage of the Target Number of PSUs based on the level of the Company’s achievement of the performance conditions, with respect to the applicable</w:t>
      </w:r>
    </w:p>
    <w:p>
      <w:pPr>
        <w:ind w:left="643"/>
        <w:spacing w:after="0" w:line="211" w:lineRule="auto"/>
        <w:rPr>
          <w:sz w:val="20"/>
          <w:szCs w:val="20"/>
          <w:color w:val="auto"/>
        </w:rPr>
      </w:pPr>
      <w:r>
        <w:rPr>
          <w:rFonts w:ascii="Times New Roman" w:cs="Times New Roman" w:eastAsia="Times New Roman" w:hAnsi="Times New Roman"/>
          <w:sz w:val="20"/>
          <w:szCs w:val="20"/>
          <w:color w:val="auto"/>
        </w:rPr>
        <w:t>performance period (the “</w:t>
      </w:r>
      <w:r>
        <w:rPr>
          <w:rFonts w:ascii="Times New Roman" w:cs="Times New Roman" w:eastAsia="Times New Roman" w:hAnsi="Times New Roman"/>
          <w:sz w:val="20"/>
          <w:szCs w:val="20"/>
          <w:u w:val="single" w:color="auto"/>
          <w:color w:val="auto"/>
        </w:rPr>
        <w:t>Performance Period</w:t>
      </w:r>
      <w:r>
        <w:rPr>
          <w:rFonts w:ascii="Times New Roman" w:cs="Times New Roman" w:eastAsia="Times New Roman" w:hAnsi="Times New Roman"/>
          <w:sz w:val="20"/>
          <w:szCs w:val="20"/>
          <w:color w:val="auto"/>
        </w:rPr>
        <w:t xml:space="preserve">”), each as set forth on </w:t>
      </w: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color w:val="auto"/>
        </w:rPr>
        <w:t>, on the date such achievement is certified by the</w:t>
      </w:r>
    </w:p>
    <w:p>
      <w:pPr>
        <w:ind w:left="643" w:right="240"/>
        <w:spacing w:after="0" w:line="221" w:lineRule="auto"/>
        <w:rPr>
          <w:sz w:val="20"/>
          <w:szCs w:val="20"/>
          <w:color w:val="auto"/>
        </w:rPr>
      </w:pPr>
      <w:r>
        <w:rPr>
          <w:rFonts w:ascii="Times New Roman" w:cs="Times New Roman" w:eastAsia="Times New Roman" w:hAnsi="Times New Roman"/>
          <w:sz w:val="20"/>
          <w:szCs w:val="20"/>
          <w:color w:val="auto"/>
        </w:rPr>
        <w:t>Committee following the end of the Performance Period (the “</w:t>
      </w:r>
      <w:r>
        <w:rPr>
          <w:rFonts w:ascii="Times New Roman" w:cs="Times New Roman" w:eastAsia="Times New Roman" w:hAnsi="Times New Roman"/>
          <w:sz w:val="20"/>
          <w:szCs w:val="20"/>
          <w:u w:val="single" w:color="auto"/>
          <w:color w:val="auto"/>
        </w:rPr>
        <w:t>Determination Date</w:t>
      </w:r>
      <w:r>
        <w:rPr>
          <w:rFonts w:ascii="Times New Roman" w:cs="Times New Roman" w:eastAsia="Times New Roman" w:hAnsi="Times New Roman"/>
          <w:sz w:val="20"/>
          <w:szCs w:val="20"/>
          <w:color w:val="auto"/>
        </w:rPr>
        <w:t>”) (such number of PSUs, once established, the “</w:t>
      </w:r>
      <w:r>
        <w:rPr>
          <w:rFonts w:ascii="Times New Roman" w:cs="Times New Roman" w:eastAsia="Times New Roman" w:hAnsi="Times New Roman"/>
          <w:sz w:val="20"/>
          <w:szCs w:val="20"/>
          <w:u w:val="single" w:color="auto"/>
          <w:color w:val="auto"/>
        </w:rPr>
        <w:t>Earned PSUs</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563" w:hanging="563"/>
        <w:spacing w:after="0"/>
        <w:tabs>
          <w:tab w:leader="none" w:pos="563"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Payment of Shares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2"/>
          <w:szCs w:val="22"/>
          <w:color w:val="auto"/>
        </w:rPr>
      </w:pPr>
    </w:p>
    <w:p>
      <w:pPr>
        <w:ind w:left="1143" w:right="320" w:hanging="574"/>
        <w:spacing w:after="0" w:line="215" w:lineRule="auto"/>
        <w:tabs>
          <w:tab w:leader="none" w:pos="1141"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Company shall, subject to the remainder of this Award, transfer to the Participant a number of Shares of the Company equal to the number (if any) of Earned PSUs under this Award on or as soon as practicable following the Vesting Date so long as the Participant remains employed with the Company or any of its Affiliates through the Vesting Date, or at such other times as provided in Section 3(b) or (c) below (in whole Shares only with the Participant receiving a cash payment equal to the Fair Market Value of any fractional Share on or about the transfer date).</w:t>
      </w:r>
    </w:p>
    <w:p>
      <w:pPr>
        <w:spacing w:after="0" w:line="204" w:lineRule="exact"/>
        <w:rPr>
          <w:rFonts w:ascii="Times New Roman" w:cs="Times New Roman" w:eastAsia="Times New Roman" w:hAnsi="Times New Roman"/>
          <w:sz w:val="22"/>
          <w:szCs w:val="22"/>
          <w:color w:val="auto"/>
        </w:rPr>
      </w:pPr>
    </w:p>
    <w:p>
      <w:pPr>
        <w:ind w:left="1123" w:hanging="555"/>
        <w:spacing w:after="0"/>
        <w:tabs>
          <w:tab w:leader="none" w:pos="1123"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Notwithstanding Section 3(a) of this Award,</w:t>
      </w:r>
    </w:p>
    <w:p>
      <w:pPr>
        <w:spacing w:after="0" w:line="219" w:lineRule="exact"/>
        <w:rPr>
          <w:rFonts w:ascii="Times New Roman" w:cs="Times New Roman" w:eastAsia="Times New Roman" w:hAnsi="Times New Roman"/>
          <w:sz w:val="22"/>
          <w:szCs w:val="22"/>
          <w:color w:val="auto"/>
        </w:rPr>
      </w:pPr>
    </w:p>
    <w:p>
      <w:pPr>
        <w:jc w:val="both"/>
        <w:ind w:left="1943" w:right="420" w:hanging="646"/>
        <w:spacing w:after="0" w:line="218" w:lineRule="auto"/>
        <w:tabs>
          <w:tab w:leader="none" w:pos="1931" w:val="left"/>
        </w:tabs>
        <w:numPr>
          <w:ilvl w:val="2"/>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upon a Termination of Relationship as a result of the Participant’s death, Disability, or Retirement (other than a “Retirement with Notice” as defined below) (each, a “</w:t>
      </w:r>
      <w:r>
        <w:rPr>
          <w:rFonts w:ascii="Times New Roman" w:cs="Times New Roman" w:eastAsia="Times New Roman" w:hAnsi="Times New Roman"/>
          <w:sz w:val="20"/>
          <w:szCs w:val="20"/>
          <w:u w:val="single" w:color="auto"/>
          <w:color w:val="auto"/>
        </w:rPr>
        <w:t>Special Termination</w:t>
      </w:r>
      <w:r>
        <w:rPr>
          <w:rFonts w:ascii="Times New Roman" w:cs="Times New Roman" w:eastAsia="Times New Roman" w:hAnsi="Times New Roman"/>
          <w:sz w:val="20"/>
          <w:szCs w:val="20"/>
          <w:color w:val="auto"/>
        </w:rPr>
        <w:t>”), which occurs prior to the Vesting Date, the PSUs shall remain outstanding and unvested</w:t>
      </w:r>
    </w:p>
    <w:p>
      <w:pPr>
        <w:spacing w:after="0" w:line="284" w:lineRule="exact"/>
        <w:rPr>
          <w:sz w:val="20"/>
          <w:szCs w:val="20"/>
          <w:color w:val="auto"/>
        </w:rPr>
      </w:pPr>
    </w:p>
    <w:p>
      <w:pPr>
        <w:jc w:val="center"/>
        <w:ind w:right="77"/>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143"/>
          </w:cols>
          <w:pgMar w:left="417" w:top="100" w:right="339" w:bottom="1440" w:gutter="0" w:footer="0" w:header="0"/>
        </w:sectPr>
      </w:pPr>
    </w:p>
    <w:bookmarkStart w:id="133" w:name="page134"/>
    <w:bookmarkEnd w:id="133"/>
    <w:p>
      <w:pPr>
        <w:spacing w:after="0" w:line="18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9"/>
          <w:szCs w:val="19"/>
          <w:color w:val="auto"/>
        </w:rPr>
        <w:t>through the later of the Determination Date and the date of such Special Termination, and the Specified Portion (as</w:t>
      </w:r>
    </w:p>
    <w:p>
      <w:pPr>
        <w:spacing w:after="0" w:line="6" w:lineRule="exact"/>
        <w:rPr>
          <w:sz w:val="20"/>
          <w:szCs w:val="20"/>
          <w:color w:val="auto"/>
        </w:rPr>
      </w:pPr>
    </w:p>
    <w:p>
      <w:pPr>
        <w:ind w:left="920" w:right="80"/>
        <w:spacing w:after="0" w:line="215" w:lineRule="auto"/>
        <w:rPr>
          <w:sz w:val="20"/>
          <w:szCs w:val="20"/>
          <w:color w:val="auto"/>
        </w:rPr>
      </w:pPr>
      <w:r>
        <w:rPr>
          <w:rFonts w:ascii="Times New Roman" w:cs="Times New Roman" w:eastAsia="Times New Roman" w:hAnsi="Times New Roman"/>
          <w:sz w:val="19"/>
          <w:szCs w:val="19"/>
          <w:color w:val="auto"/>
        </w:rPr>
        <w:t>defined below) of the Earned PSUs (if any) scheduled to vest on the Vesting Date shall become vested PSUs as of the later of the Determination Date and the date of such Special Termination; and Shares equal to such number of</w:t>
      </w:r>
    </w:p>
    <w:p>
      <w:pPr>
        <w:ind w:left="920" w:right="80"/>
        <w:spacing w:after="0" w:line="215" w:lineRule="auto"/>
        <w:rPr>
          <w:sz w:val="20"/>
          <w:szCs w:val="20"/>
          <w:color w:val="auto"/>
        </w:rPr>
      </w:pPr>
      <w:r>
        <w:rPr>
          <w:rFonts w:ascii="Times New Roman" w:cs="Times New Roman" w:eastAsia="Times New Roman" w:hAnsi="Times New Roman"/>
          <w:sz w:val="19"/>
          <w:szCs w:val="19"/>
          <w:color w:val="auto"/>
        </w:rPr>
        <w:t>Earned PSUs shall be transferred on or as soon as practicable following the later of the Determination Date and the date of such Special Termination, and the remaining PSUs which do not become vested pursuant to this clause</w:t>
      </w:r>
    </w:p>
    <w:p>
      <w:pPr>
        <w:ind w:left="920" w:right="20"/>
        <w:spacing w:after="0" w:line="210" w:lineRule="auto"/>
        <w:rPr>
          <w:sz w:val="20"/>
          <w:szCs w:val="20"/>
          <w:color w:val="auto"/>
        </w:rPr>
      </w:pPr>
      <w:r>
        <w:rPr>
          <w:rFonts w:ascii="Times New Roman" w:cs="Times New Roman" w:eastAsia="Times New Roman" w:hAnsi="Times New Roman"/>
          <w:sz w:val="20"/>
          <w:szCs w:val="20"/>
          <w:color w:val="auto"/>
        </w:rPr>
        <w:t>(i) shall be automatically forfeited; for purposes of this Section 3(b)(i), the term “</w:t>
      </w:r>
      <w:r>
        <w:rPr>
          <w:rFonts w:ascii="Times New Roman" w:cs="Times New Roman" w:eastAsia="Times New Roman" w:hAnsi="Times New Roman"/>
          <w:sz w:val="20"/>
          <w:szCs w:val="20"/>
          <w:u w:val="single" w:color="auto"/>
          <w:color w:val="auto"/>
        </w:rPr>
        <w:t>Specified Portion</w:t>
      </w:r>
      <w:r>
        <w:rPr>
          <w:rFonts w:ascii="Times New Roman" w:cs="Times New Roman" w:eastAsia="Times New Roman" w:hAnsi="Times New Roman"/>
          <w:sz w:val="20"/>
          <w:szCs w:val="20"/>
          <w:color w:val="auto"/>
        </w:rPr>
        <w:t>” shall mean (x) one-third (1/3) if the Special Termination occurs prior to the beginning of the second fiscal year of the Performance Period, (y) two-thirds (2/3) if the Special Termination occurs on or after the beginning of the second fiscal year of the Performance Period and prior to the beginning of the third fiscal year of the Performance Period and (z) the entire amount if the Special Termination occurs on or after the beginning of the third fiscal year of the Performance Period. For purposes of this Award, “Retirement” shall mean with respect to a Participant, the retirement of such Participant upon or after achieving age 60 and five (5) years of employment with the Company, any of its Affiliates, and/or any of their respective predecessors and giving 30 days’ written notice of retirement to the Company; provided that such notice may be waived by the Chief Executive Officer or the Executive Vice President, Human Resources;</w:t>
      </w:r>
    </w:p>
    <w:p>
      <w:pPr>
        <w:spacing w:after="0" w:line="220" w:lineRule="exact"/>
        <w:rPr>
          <w:sz w:val="20"/>
          <w:szCs w:val="20"/>
          <w:color w:val="auto"/>
        </w:rPr>
      </w:pPr>
    </w:p>
    <w:p>
      <w:pPr>
        <w:ind w:left="920" w:right="200" w:hanging="646"/>
        <w:spacing w:after="0" w:line="226" w:lineRule="auto"/>
        <w:tabs>
          <w:tab w:leader="none" w:pos="908"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upon a Termination of Relationship as a result of the Participant’s Retirement with Notice which occurs prior to the Vesting Date, the PSUs shall remain outstanding and shall be treated as described in Section 3(b)(i) above, except that the term “Specified Portion” shall be deemed to mean (x) two-thirds (2/3) if the Special Termination occurs prior to the beginning of the second fiscal year of the Performance Period and (y) the entire amount if the Special Termination occurs on or after the beginning of the second fiscal year of the Performance Period; and</w:t>
      </w:r>
    </w:p>
    <w:p>
      <w:pPr>
        <w:spacing w:after="0" w:line="205" w:lineRule="exact"/>
        <w:rPr>
          <w:rFonts w:ascii="Times New Roman" w:cs="Times New Roman" w:eastAsia="Times New Roman" w:hAnsi="Times New Roman"/>
          <w:sz w:val="21"/>
          <w:szCs w:val="21"/>
          <w:color w:val="auto"/>
        </w:rPr>
      </w:pPr>
    </w:p>
    <w:p>
      <w:pPr>
        <w:ind w:left="920" w:right="840" w:hanging="484"/>
        <w:spacing w:after="0" w:line="229" w:lineRule="auto"/>
        <w:tabs>
          <w:tab w:leader="none" w:pos="914"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upon a Termination of Relationship for any reason other than as set forth in clauses (i) and (ii) above, all outstanding PSUs shall be forfeited and immediately cancelled.</w:t>
      </w:r>
    </w:p>
    <w:p>
      <w:pPr>
        <w:spacing w:after="0" w:line="187" w:lineRule="exact"/>
        <w:rPr>
          <w:sz w:val="20"/>
          <w:szCs w:val="20"/>
          <w:color w:val="auto"/>
        </w:rPr>
      </w:pPr>
    </w:p>
    <w:p>
      <w:pPr>
        <w:ind w:left="280" w:right="80"/>
        <w:spacing w:after="0" w:line="234" w:lineRule="auto"/>
        <w:rPr>
          <w:sz w:val="20"/>
          <w:szCs w:val="20"/>
          <w:color w:val="auto"/>
        </w:rPr>
      </w:pPr>
      <w:r>
        <w:rPr>
          <w:rFonts w:ascii="Times New Roman" w:cs="Times New Roman" w:eastAsia="Times New Roman" w:hAnsi="Times New Roman"/>
          <w:sz w:val="19"/>
          <w:szCs w:val="19"/>
          <w:color w:val="auto"/>
        </w:rPr>
        <w:t>As used herein, the term “Retirement with Notice” means the Participant’s retirement from the Company and its Affiliates after providing the Company with at least 12 months’ prior written notice of such intended retirement (and with such</w:t>
      </w:r>
    </w:p>
    <w:p>
      <w:pPr>
        <w:spacing w:after="0" w:line="1" w:lineRule="exact"/>
        <w:rPr>
          <w:sz w:val="20"/>
          <w:szCs w:val="20"/>
          <w:color w:val="auto"/>
        </w:rPr>
      </w:pPr>
    </w:p>
    <w:p>
      <w:pPr>
        <w:ind w:left="280" w:right="300"/>
        <w:spacing w:after="0" w:line="215" w:lineRule="auto"/>
        <w:rPr>
          <w:sz w:val="20"/>
          <w:szCs w:val="20"/>
          <w:color w:val="auto"/>
        </w:rPr>
      </w:pPr>
      <w:r>
        <w:rPr>
          <w:rFonts w:ascii="Times New Roman" w:cs="Times New Roman" w:eastAsia="Times New Roman" w:hAnsi="Times New Roman"/>
          <w:sz w:val="19"/>
          <w:szCs w:val="19"/>
          <w:color w:val="auto"/>
        </w:rPr>
        <w:t xml:space="preserve">notice having been delivered upon or after the Participant’s attainment of age 62) and achieving 5 years of employment with the Company and its Affiliates;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if the Company involuntarily terminates the Participant</w:t>
      </w:r>
    </w:p>
    <w:p>
      <w:pPr>
        <w:ind w:left="280"/>
        <w:spacing w:after="0" w:line="211" w:lineRule="auto"/>
        <w:rPr>
          <w:sz w:val="20"/>
          <w:szCs w:val="20"/>
          <w:color w:val="auto"/>
        </w:rPr>
      </w:pPr>
      <w:r>
        <w:rPr>
          <w:rFonts w:ascii="Times New Roman" w:cs="Times New Roman" w:eastAsia="Times New Roman" w:hAnsi="Times New Roman"/>
          <w:sz w:val="20"/>
          <w:szCs w:val="20"/>
          <w:color w:val="auto"/>
        </w:rPr>
        <w:t>without Cause or the Participant dies or incurs a Disability after the Participant delivers the notice described in this</w:t>
      </w:r>
    </w:p>
    <w:p>
      <w:pPr>
        <w:ind w:left="280" w:right="320"/>
        <w:spacing w:after="0" w:line="221" w:lineRule="auto"/>
        <w:rPr>
          <w:sz w:val="20"/>
          <w:szCs w:val="20"/>
          <w:color w:val="auto"/>
        </w:rPr>
      </w:pPr>
      <w:r>
        <w:rPr>
          <w:rFonts w:ascii="Times New Roman" w:cs="Times New Roman" w:eastAsia="Times New Roman" w:hAnsi="Times New Roman"/>
          <w:sz w:val="20"/>
          <w:szCs w:val="20"/>
          <w:color w:val="auto"/>
        </w:rPr>
        <w:t>sentence, such termination shall not fail to qualify as a “Retirement with Notice” by virtue of the termination occurring less than 12 months after the notice date.</w:t>
      </w:r>
    </w:p>
    <w:p>
      <w:pPr>
        <w:sectPr>
          <w:pgSz w:w="11900" w:h="16838" w:orient="portrait"/>
          <w:cols w:equalWidth="0" w:num="1">
            <w:col w:w="10020"/>
          </w:cols>
          <w:pgMar w:left="1440" w:top="1440" w:right="439" w:bottom="1440" w:gutter="0" w:footer="0" w:header="0"/>
        </w:sectPr>
      </w:pPr>
    </w:p>
    <w:bookmarkStart w:id="134" w:name="page135"/>
    <w:bookmarkEnd w:id="134"/>
    <w:p>
      <w:pPr>
        <w:spacing w:after="0" w:line="203" w:lineRule="exact"/>
        <w:rPr>
          <w:sz w:val="20"/>
          <w:szCs w:val="20"/>
          <w:color w:val="auto"/>
        </w:rPr>
      </w:pPr>
    </w:p>
    <w:p>
      <w:pPr>
        <w:ind w:left="1143" w:right="140" w:hanging="574"/>
        <w:spacing w:after="0" w:line="215" w:lineRule="auto"/>
        <w:tabs>
          <w:tab w:leader="none" w:pos="114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Also notwithstanding Section 3(a) or (b) of this Award, in accordance with the terms of Section 13 of the Plan, in the event of a Termination of Relationship of the Participant by the Company or any of its Affiliates (or successors in interest) without Cause or by the Participant for Good Reason, in each case, that occurs within two years following a Change of Control, the following treatment (under clauses (A) or (B), as applicable) will apply with respect to any then outstanding PSUs:</w:t>
      </w:r>
    </w:p>
    <w:p>
      <w:pPr>
        <w:spacing w:after="0" w:line="205" w:lineRule="exact"/>
        <w:rPr>
          <w:sz w:val="20"/>
          <w:szCs w:val="20"/>
          <w:color w:val="auto"/>
        </w:rPr>
      </w:pPr>
    </w:p>
    <w:p>
      <w:pPr>
        <w:ind w:left="1143" w:right="460" w:hanging="8"/>
        <w:spacing w:after="0" w:line="220" w:lineRule="auto"/>
        <w:tabs>
          <w:tab w:leader="none" w:pos="186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if such termination occurs prior to the end of the Performance Period, then such Performance Period shall end as of such date, and the Target Number of PSUs shall become vested on the date of such Termination of Relationship, and a number of Shares equal to such number of PSUs shall be distributed to the Participant as soon as practicable following the date of such Termination of Relationship; or</w:t>
      </w:r>
    </w:p>
    <w:p>
      <w:pPr>
        <w:spacing w:after="0" w:line="202" w:lineRule="exact"/>
        <w:rPr>
          <w:rFonts w:ascii="Times New Roman" w:cs="Times New Roman" w:eastAsia="Times New Roman" w:hAnsi="Times New Roman"/>
          <w:sz w:val="22"/>
          <w:szCs w:val="22"/>
          <w:color w:val="auto"/>
        </w:rPr>
      </w:pPr>
    </w:p>
    <w:p>
      <w:pPr>
        <w:ind w:left="1143" w:right="360" w:hanging="8"/>
        <w:spacing w:after="0" w:line="234" w:lineRule="auto"/>
        <w:tabs>
          <w:tab w:leader="none" w:pos="1863"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if such termination occurs on or following the end of the Performance Period but prior to the date Shares of the Company are transferred in settlement of the Earned PSUs (if any), then the Earned PSUs (if any) shall immediately be distributed to the Participant as soon as practicable following the date of such Termination of Relationship;</w:t>
      </w:r>
    </w:p>
    <w:p>
      <w:pPr>
        <w:spacing w:after="0" w:line="184" w:lineRule="exact"/>
        <w:rPr>
          <w:sz w:val="20"/>
          <w:szCs w:val="20"/>
          <w:color w:val="auto"/>
        </w:rPr>
      </w:pPr>
    </w:p>
    <w:p>
      <w:pPr>
        <w:ind w:left="1143"/>
        <w:spacing w:after="0"/>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Committee may determine that, in lieu of Shares and/or fractional Shares deliverable to the Participant</w:t>
      </w:r>
    </w:p>
    <w:p>
      <w:pPr>
        <w:ind w:left="1143" w:right="200"/>
        <w:spacing w:after="0" w:line="221" w:lineRule="auto"/>
        <w:rPr>
          <w:sz w:val="20"/>
          <w:szCs w:val="20"/>
          <w:color w:val="auto"/>
        </w:rPr>
      </w:pPr>
      <w:r>
        <w:rPr>
          <w:rFonts w:ascii="Times New Roman" w:cs="Times New Roman" w:eastAsia="Times New Roman" w:hAnsi="Times New Roman"/>
          <w:sz w:val="20"/>
          <w:szCs w:val="20"/>
          <w:color w:val="auto"/>
        </w:rPr>
        <w:t>under clauses (A) or (B) above, the Participant shall receive a cash payment equal to the Fair Market Value of such Shares (or fractional Shares, as the case may be) on the Change of Control.</w:t>
      </w:r>
    </w:p>
    <w:p>
      <w:pPr>
        <w:spacing w:after="0" w:line="216" w:lineRule="exact"/>
        <w:rPr>
          <w:sz w:val="20"/>
          <w:szCs w:val="20"/>
          <w:color w:val="auto"/>
        </w:rPr>
      </w:pPr>
    </w:p>
    <w:p>
      <w:pPr>
        <w:ind w:left="1143" w:right="40" w:hanging="574"/>
        <w:spacing w:after="0" w:line="215" w:lineRule="auto"/>
        <w:tabs>
          <w:tab w:leader="none" w:pos="1141"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Upon the vesting event of any Earned PSUs and the corresponding transfer of Shares as a result thereof, in each case in accordance with Sections 3(a), 3(b) or 3(c) of this Award, as applicable, the Earned PSUs with respect to which Shares have been transferred hereunder shall be extinguished on the relevant transfer dates. In compliance with Section 409A of the Code, in no event shall any transfer occur later than March 15 of the calendar year following the calendar year in which the applicable vesting event occurs under this Award.</w:t>
      </w:r>
    </w:p>
    <w:p>
      <w:pPr>
        <w:spacing w:after="0" w:line="204" w:lineRule="exact"/>
        <w:rPr>
          <w:rFonts w:ascii="Times New Roman" w:cs="Times New Roman" w:eastAsia="Times New Roman" w:hAnsi="Times New Roman"/>
          <w:sz w:val="22"/>
          <w:szCs w:val="22"/>
          <w:color w:val="auto"/>
        </w:rPr>
      </w:pPr>
    </w:p>
    <w:p>
      <w:pPr>
        <w:ind w:left="563" w:hanging="563"/>
        <w:spacing w:after="0"/>
        <w:tabs>
          <w:tab w:leader="none" w:pos="563"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Dividends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2"/>
          <w:szCs w:val="22"/>
          <w:color w:val="auto"/>
        </w:rPr>
      </w:pPr>
    </w:p>
    <w:p>
      <w:pPr>
        <w:ind w:left="1143" w:hanging="574"/>
        <w:spacing w:after="0" w:line="212" w:lineRule="auto"/>
        <w:tabs>
          <w:tab w:leader="none" w:pos="1139"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If on any date while PSUs are outstanding hereunder, the Company shall pay any dividend on the Shares (other than a dividend payable in Shares), then the number of PSUs (if any) held by the Participant shall be increased by a number equal to: (a) the product of (x) the number of outstanding PSUs held by the Participant as of the related dividend record date, </w:t>
      </w:r>
      <w:r>
        <w:rPr>
          <w:rFonts w:ascii="Times New Roman" w:cs="Times New Roman" w:eastAsia="Times New Roman" w:hAnsi="Times New Roman"/>
          <w:sz w:val="20"/>
          <w:szCs w:val="20"/>
          <w:u w:val="single" w:color="auto"/>
          <w:color w:val="auto"/>
        </w:rPr>
        <w:t>multiplied</w:t>
      </w:r>
      <w:r>
        <w:rPr>
          <w:rFonts w:ascii="Times New Roman" w:cs="Times New Roman" w:eastAsia="Times New Roman" w:hAnsi="Times New Roman"/>
          <w:sz w:val="20"/>
          <w:szCs w:val="20"/>
          <w:color w:val="auto"/>
        </w:rPr>
        <w:t xml:space="preserve"> by (y) a dollar amount equal to the per Share amount of any cash dividend (or, in the case of any dividend payable in whole or in part other than in cash or Shares, the per Share value of such dividend, as determined in good faith by the Committee), divided by (b) the Fair Market Value of a Share on the payment date of such dividend.</w:t>
      </w:r>
    </w:p>
    <w:p>
      <w:pPr>
        <w:spacing w:after="0" w:line="218" w:lineRule="exact"/>
        <w:rPr>
          <w:rFonts w:ascii="Times New Roman" w:cs="Times New Roman" w:eastAsia="Times New Roman" w:hAnsi="Times New Roman"/>
          <w:sz w:val="22"/>
          <w:szCs w:val="22"/>
          <w:color w:val="auto"/>
        </w:rPr>
      </w:pPr>
    </w:p>
    <w:p>
      <w:pPr>
        <w:ind w:left="1143" w:right="160" w:hanging="574"/>
        <w:spacing w:after="0"/>
        <w:tabs>
          <w:tab w:leader="none" w:pos="1141" w:val="left"/>
        </w:tabs>
        <w:numPr>
          <w:ilvl w:val="1"/>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In the case of any dividend declared on Shares that is payable in the form of Shares, then the number of PSUs (if any) held by the Participant shall be increased by a number equal to the product of (I) the number of outstanding PSUs held by the</w:t>
      </w:r>
    </w:p>
    <w:p>
      <w:pPr>
        <w:sectPr>
          <w:pgSz w:w="11900" w:h="16838" w:orient="portrait"/>
          <w:cols w:equalWidth="0" w:num="1">
            <w:col w:w="11003"/>
          </w:cols>
          <w:pgMar w:left="417" w:top="1440" w:right="479" w:bottom="1440" w:gutter="0" w:footer="0" w:header="0"/>
        </w:sectPr>
      </w:pPr>
    </w:p>
    <w:bookmarkStart w:id="135" w:name="page136"/>
    <w:bookmarkEnd w:id="135"/>
    <w:p>
      <w:pPr>
        <w:spacing w:after="0" w:line="184" w:lineRule="exact"/>
        <w:rPr>
          <w:sz w:val="20"/>
          <w:szCs w:val="20"/>
          <w:color w:val="auto"/>
        </w:rPr>
      </w:pPr>
    </w:p>
    <w:p>
      <w:pPr>
        <w:ind w:left="1143"/>
        <w:spacing w:after="0"/>
        <w:rPr>
          <w:sz w:val="20"/>
          <w:szCs w:val="20"/>
          <w:color w:val="auto"/>
        </w:rPr>
      </w:pPr>
      <w:r>
        <w:rPr>
          <w:rFonts w:ascii="Times New Roman" w:cs="Times New Roman" w:eastAsia="Times New Roman" w:hAnsi="Times New Roman"/>
          <w:sz w:val="20"/>
          <w:szCs w:val="20"/>
          <w:color w:val="auto"/>
        </w:rPr>
        <w:t>Participant as of the related dividend record date, multiplied by (II) the number of Shares (including any fraction thereof)</w:t>
      </w:r>
    </w:p>
    <w:p>
      <w:pPr>
        <w:ind w:left="1143" w:right="240"/>
        <w:spacing w:after="0" w:line="215" w:lineRule="auto"/>
        <w:rPr>
          <w:sz w:val="20"/>
          <w:szCs w:val="20"/>
          <w:color w:val="auto"/>
        </w:rPr>
      </w:pPr>
      <w:r>
        <w:rPr>
          <w:rFonts w:ascii="Times New Roman" w:cs="Times New Roman" w:eastAsia="Times New Roman" w:hAnsi="Times New Roman"/>
          <w:sz w:val="19"/>
          <w:szCs w:val="19"/>
          <w:color w:val="auto"/>
        </w:rPr>
        <w:t>payable as a dividend on a Share. Shares shall be transferred with respect to all additional PSUs granted pursuant to this Section 4 at the same time as Shares are transferred with respect to the Earned PSUs to which such additional PSUs were</w:t>
      </w:r>
    </w:p>
    <w:p>
      <w:pPr>
        <w:ind w:left="1143"/>
        <w:spacing w:after="0"/>
        <w:rPr>
          <w:sz w:val="20"/>
          <w:szCs w:val="20"/>
          <w:color w:val="auto"/>
        </w:rPr>
      </w:pPr>
      <w:r>
        <w:rPr>
          <w:rFonts w:ascii="Times New Roman" w:cs="Times New Roman" w:eastAsia="Times New Roman" w:hAnsi="Times New Roman"/>
          <w:sz w:val="20"/>
          <w:szCs w:val="20"/>
          <w:color w:val="auto"/>
        </w:rPr>
        <w:t>attributable.</w:t>
      </w:r>
    </w:p>
    <w:p>
      <w:pPr>
        <w:spacing w:after="0" w:line="207" w:lineRule="exact"/>
        <w:rPr>
          <w:sz w:val="20"/>
          <w:szCs w:val="20"/>
          <w:color w:val="auto"/>
        </w:rPr>
      </w:pPr>
    </w:p>
    <w:p>
      <w:pPr>
        <w:ind w:left="1143" w:right="20" w:hanging="574"/>
        <w:spacing w:after="0" w:line="220" w:lineRule="auto"/>
        <w:tabs>
          <w:tab w:leader="none" w:pos="1130"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For purposes of this Section 4, the number of PSUs held by the Participant as of the applicable dividend record date shall be deemed to equal the Target Number of PSUs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aggregate number of additional PSUs (if any) previously credited to the Participant pursuant to Sections 4(a) and 4(b) above in respect of any prior dividend declared on Shares since the Date of Grant.</w:t>
      </w:r>
    </w:p>
    <w:p>
      <w:pPr>
        <w:spacing w:after="0" w:line="202" w:lineRule="exact"/>
        <w:rPr>
          <w:rFonts w:ascii="Times New Roman" w:cs="Times New Roman" w:eastAsia="Times New Roman" w:hAnsi="Times New Roman"/>
          <w:sz w:val="22"/>
          <w:szCs w:val="22"/>
          <w:color w:val="auto"/>
        </w:rPr>
      </w:pPr>
    </w:p>
    <w:p>
      <w:pPr>
        <w:ind w:left="643" w:right="420" w:hanging="642"/>
        <w:spacing w:after="0" w:line="223" w:lineRule="auto"/>
        <w:tabs>
          <w:tab w:leader="none" w:pos="643"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Adjustments Upon Certain Events</w:t>
      </w:r>
      <w:r>
        <w:rPr>
          <w:rFonts w:ascii="Times New Roman" w:cs="Times New Roman" w:eastAsia="Times New Roman" w:hAnsi="Times New Roman"/>
          <w:sz w:val="20"/>
          <w:szCs w:val="20"/>
          <w:color w:val="auto"/>
        </w:rPr>
        <w:t>. In the event of any event described in Section 12 of the Plan occurring after the Date of Grant, the adjustment provisions (including cash payments) as provided for under Section 12 of the Plan shall apply (without duplication of any dividend adjustments reflected pursuant to Section 4 hereof).</w:t>
      </w:r>
    </w:p>
    <w:p>
      <w:pPr>
        <w:spacing w:after="0" w:line="201" w:lineRule="exact"/>
        <w:rPr>
          <w:rFonts w:ascii="Times New Roman" w:cs="Times New Roman" w:eastAsia="Times New Roman" w:hAnsi="Times New Roman"/>
          <w:sz w:val="22"/>
          <w:szCs w:val="22"/>
          <w:color w:val="auto"/>
        </w:rPr>
      </w:pPr>
    </w:p>
    <w:p>
      <w:pPr>
        <w:ind w:left="643" w:hanging="642"/>
        <w:spacing w:after="0" w:line="226" w:lineRule="auto"/>
        <w:tabs>
          <w:tab w:leader="none" w:pos="643"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Restriction on Transfer</w:t>
      </w:r>
      <w:r>
        <w:rPr>
          <w:rFonts w:ascii="Times New Roman" w:cs="Times New Roman" w:eastAsia="Times New Roman" w:hAnsi="Times New Roman"/>
          <w:sz w:val="19"/>
          <w:szCs w:val="19"/>
          <w:color w:val="auto"/>
        </w:rPr>
        <w:t>. The PSUs may not be transferred, pledged, assigned, hypothecated or otherwise disposed of in any way by the Participant, except (i) if permitted by the Board or the Committee, (ii) by will or the laws of descent and distribution or (iii) pursuant to beneficiary designation procedures approved by the Company, in each case in compliance with applicable laws. The PSUs shall not be subject to execution, attachment or similar process. Any attempted assignment, transfer, pledge, hypothecation or other disposition of the PSUs contrary to the provisions of this Award or the Plan shall be null and void and without effect.</w:t>
      </w:r>
    </w:p>
    <w:p>
      <w:pPr>
        <w:spacing w:after="0" w:line="214" w:lineRule="exact"/>
        <w:rPr>
          <w:rFonts w:ascii="Times New Roman" w:cs="Times New Roman" w:eastAsia="Times New Roman" w:hAnsi="Times New Roman"/>
          <w:sz w:val="21"/>
          <w:szCs w:val="21"/>
          <w:color w:val="auto"/>
        </w:rPr>
      </w:pPr>
    </w:p>
    <w:p>
      <w:pPr>
        <w:ind w:left="563" w:right="300" w:hanging="563"/>
        <w:spacing w:after="0" w:line="244" w:lineRule="auto"/>
        <w:tabs>
          <w:tab w:leader="none" w:pos="56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u w:val="single" w:color="auto"/>
          <w:color w:val="auto"/>
        </w:rPr>
        <w:t>Data Protection</w:t>
      </w:r>
      <w:r>
        <w:rPr>
          <w:rFonts w:ascii="Times New Roman" w:cs="Times New Roman" w:eastAsia="Times New Roman" w:hAnsi="Times New Roman"/>
          <w:sz w:val="20"/>
          <w:szCs w:val="20"/>
          <w:b w:val="1"/>
          <w:bCs w:val="1"/>
          <w:color w:val="auto"/>
        </w:rPr>
        <w:t xml:space="preserve">. By accepting this Award, the Participant understands that the processing (including international transfer) of personal data will take place as set out in </w:t>
      </w:r>
      <w:r>
        <w:rPr>
          <w:rFonts w:ascii="Times New Roman" w:cs="Times New Roman" w:eastAsia="Times New Roman" w:hAnsi="Times New Roman"/>
          <w:sz w:val="20"/>
          <w:szCs w:val="20"/>
          <w:b w:val="1"/>
          <w:bCs w:val="1"/>
          <w:u w:val="single" w:color="auto"/>
          <w:color w:val="auto"/>
        </w:rPr>
        <w:t>Exhibit A</w:t>
      </w:r>
      <w:r>
        <w:rPr>
          <w:rFonts w:ascii="Times New Roman" w:cs="Times New Roman" w:eastAsia="Times New Roman" w:hAnsi="Times New Roman"/>
          <w:sz w:val="20"/>
          <w:szCs w:val="20"/>
          <w:b w:val="1"/>
          <w:bCs w:val="1"/>
          <w:color w:val="auto"/>
        </w:rPr>
        <w:t xml:space="preserve"> attached hereto for the purposes specified therein and if required by applicable law, rule or regulation</w:t>
      </w:r>
      <w:r>
        <w:rPr>
          <w:rFonts w:ascii="Times New Roman" w:cs="Times New Roman" w:eastAsia="Times New Roman" w:hAnsi="Times New Roman"/>
          <w:sz w:val="20"/>
          <w:szCs w:val="20"/>
          <w:color w:val="auto"/>
        </w:rPr>
        <w:t>.</w:t>
      </w:r>
    </w:p>
    <w:p>
      <w:pPr>
        <w:spacing w:after="0" w:line="210" w:lineRule="exact"/>
        <w:rPr>
          <w:rFonts w:ascii="Times New Roman" w:cs="Times New Roman" w:eastAsia="Times New Roman" w:hAnsi="Times New Roman"/>
          <w:sz w:val="22"/>
          <w:szCs w:val="22"/>
          <w:color w:val="auto"/>
        </w:rPr>
      </w:pPr>
    </w:p>
    <w:p>
      <w:pPr>
        <w:ind w:left="563" w:right="360" w:hanging="563"/>
        <w:spacing w:after="0" w:line="211" w:lineRule="auto"/>
        <w:tabs>
          <w:tab w:leader="none" w:pos="61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Participant’s Employment</w:t>
      </w:r>
      <w:r>
        <w:rPr>
          <w:rFonts w:ascii="Times New Roman" w:cs="Times New Roman" w:eastAsia="Times New Roman" w:hAnsi="Times New Roman"/>
          <w:sz w:val="20"/>
          <w:szCs w:val="20"/>
          <w:color w:val="auto"/>
        </w:rPr>
        <w:t>. Nothing in this Award or in the PSU shall confer upon the Participant any right to continue in the employ of the Company or any of its Affiliates or interfere in any way with the right of the Company and its Affiliates, in their sole</w:t>
      </w:r>
    </w:p>
    <w:p>
      <w:pPr>
        <w:spacing w:after="0" w:line="2" w:lineRule="exact"/>
        <w:rPr>
          <w:rFonts w:ascii="Times New Roman" w:cs="Times New Roman" w:eastAsia="Times New Roman" w:hAnsi="Times New Roman"/>
          <w:sz w:val="22"/>
          <w:szCs w:val="22"/>
          <w:color w:val="auto"/>
        </w:rPr>
      </w:pPr>
    </w:p>
    <w:p>
      <w:pPr>
        <w:ind w:left="563"/>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discretion, to terminate the Participant’s employment or to increase or decrease the Participant’s compensation at any time.</w:t>
      </w:r>
    </w:p>
    <w:p>
      <w:pPr>
        <w:spacing w:after="0" w:line="203" w:lineRule="exact"/>
        <w:rPr>
          <w:rFonts w:ascii="Times New Roman" w:cs="Times New Roman" w:eastAsia="Times New Roman" w:hAnsi="Times New Roman"/>
          <w:sz w:val="22"/>
          <w:szCs w:val="22"/>
          <w:color w:val="auto"/>
        </w:rPr>
      </w:pPr>
    </w:p>
    <w:p>
      <w:pPr>
        <w:ind w:left="643" w:right="100" w:hanging="642"/>
        <w:spacing w:after="0" w:line="208" w:lineRule="auto"/>
        <w:tabs>
          <w:tab w:leader="none" w:pos="643"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u w:val="single" w:color="auto"/>
          <w:color w:val="auto"/>
        </w:rPr>
        <w:t>No Acquired Rights</w:t>
      </w:r>
      <w:r>
        <w:rPr>
          <w:rFonts w:ascii="Times New Roman" w:cs="Times New Roman" w:eastAsia="Times New Roman" w:hAnsi="Times New Roman"/>
          <w:sz w:val="20"/>
          <w:szCs w:val="20"/>
          <w:color w:val="auto"/>
        </w:rPr>
        <w:t>. The Committee or the Board has the power to amend or terminate the Plan at any time and the opportunity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given to the Participant to participate in the Plan and the grant of this Award is entirely at the discretion of the Committee or the Board and does not obligate the Company or any of its Affiliates to offer such participation in</w:t>
      </w:r>
    </w:p>
    <w:p>
      <w:pPr>
        <w:spacing w:after="0" w:line="2" w:lineRule="exact"/>
        <w:rPr>
          <w:rFonts w:ascii="Times New Roman" w:cs="Times New Roman" w:eastAsia="Times New Roman" w:hAnsi="Times New Roman"/>
          <w:sz w:val="22"/>
          <w:szCs w:val="22"/>
          <w:color w:val="auto"/>
        </w:rPr>
      </w:pPr>
    </w:p>
    <w:p>
      <w:pPr>
        <w:ind w:left="643" w:right="200"/>
        <w:spacing w:after="0" w:line="21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future (whether on the same or different terms). The Participant’s participation in the Plan and the receipt of this Award is outside the terms of the Participant’s regular contract of employment and is therefore not to be considered part of any normal or expected compensation and that the termination of the Participant’s employment under any circumstances whatsoever will give the Participant no claim or right of action against</w:t>
      </w:r>
    </w:p>
    <w:p>
      <w:pPr>
        <w:sectPr>
          <w:pgSz w:w="11900" w:h="16838" w:orient="portrait"/>
          <w:cols w:equalWidth="0" w:num="1">
            <w:col w:w="10963"/>
          </w:cols>
          <w:pgMar w:left="417" w:top="1440" w:right="519" w:bottom="1440" w:gutter="0" w:footer="0" w:header="0"/>
        </w:sectPr>
      </w:pPr>
    </w:p>
    <w:bookmarkStart w:id="136" w:name="page137"/>
    <w:bookmarkEnd w:id="136"/>
    <w:p>
      <w:pPr>
        <w:spacing w:after="0" w:line="189" w:lineRule="exact"/>
        <w:rPr>
          <w:sz w:val="20"/>
          <w:szCs w:val="20"/>
          <w:color w:val="auto"/>
        </w:rPr>
      </w:pPr>
    </w:p>
    <w:p>
      <w:pPr>
        <w:ind w:left="643" w:right="680"/>
        <w:spacing w:after="0"/>
        <w:rPr>
          <w:sz w:val="20"/>
          <w:szCs w:val="20"/>
          <w:color w:val="auto"/>
        </w:rPr>
      </w:pPr>
      <w:r>
        <w:rPr>
          <w:rFonts w:ascii="Times New Roman" w:cs="Times New Roman" w:eastAsia="Times New Roman" w:hAnsi="Times New Roman"/>
          <w:sz w:val="20"/>
          <w:szCs w:val="20"/>
          <w:color w:val="auto"/>
        </w:rPr>
        <w:t>the Company or its Affiliates in respect of any loss of rights under this Award or the Plan that may arise as a result of such termination of employment.</w:t>
      </w:r>
    </w:p>
    <w:p>
      <w:pPr>
        <w:spacing w:after="0" w:line="202" w:lineRule="exact"/>
        <w:rPr>
          <w:sz w:val="20"/>
          <w:szCs w:val="20"/>
          <w:color w:val="auto"/>
        </w:rPr>
      </w:pPr>
    </w:p>
    <w:p>
      <w:pPr>
        <w:ind w:left="563" w:right="140" w:hanging="563"/>
        <w:spacing w:after="0" w:line="229" w:lineRule="auto"/>
        <w:tabs>
          <w:tab w:leader="none" w:pos="561"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No Rights of a Stockholder</w:t>
      </w:r>
      <w:r>
        <w:rPr>
          <w:rFonts w:ascii="Times New Roman" w:cs="Times New Roman" w:eastAsia="Times New Roman" w:hAnsi="Times New Roman"/>
          <w:sz w:val="20"/>
          <w:szCs w:val="20"/>
          <w:color w:val="auto"/>
        </w:rPr>
        <w:t>. The Participant shall not have any rights as a stockholder of the Company until the Shares in question have been registered in the Company’s register of stockholders.</w:t>
      </w:r>
    </w:p>
    <w:p>
      <w:pPr>
        <w:spacing w:after="0" w:line="200" w:lineRule="exact"/>
        <w:rPr>
          <w:rFonts w:ascii="Times New Roman" w:cs="Times New Roman" w:eastAsia="Times New Roman" w:hAnsi="Times New Roman"/>
          <w:sz w:val="22"/>
          <w:szCs w:val="22"/>
          <w:color w:val="auto"/>
        </w:rPr>
      </w:pPr>
    </w:p>
    <w:p>
      <w:pPr>
        <w:ind w:left="563" w:hanging="563"/>
        <w:spacing w:after="0"/>
        <w:tabs>
          <w:tab w:leader="none" w:pos="563"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2"/>
          <w:szCs w:val="22"/>
          <w:color w:val="auto"/>
        </w:rPr>
      </w:pPr>
    </w:p>
    <w:p>
      <w:pPr>
        <w:ind w:left="1303" w:right="40" w:hanging="654"/>
        <w:spacing w:after="0" w:line="212" w:lineRule="auto"/>
        <w:tabs>
          <w:tab w:leader="none" w:pos="1298"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Participant will pay, or make provisions satisfactory to the Company for payment of any federal, state, local and other applicable taxes required to be withheld in connection with any issuance or transfer of Shares under this Award and to take such action as may be necessary in the opinion of the Company to satisfy all obligations for the payment of such taxes. If Participant has not made payment for applicable taxes, such taxes shall be paid by withholding Shares from the issuance or transfer of Shares due under this Award, rounded down to the nearest whole Share, with the balance to be paid in cash or withheld from compensation or other amount owing to the Participant from the Company or any Affiliate, and the Company and any such Affiliate is hereby authorized to withhold such amounts from any such issuance, transfer, compensation or other amount owing to the Participant.</w:t>
      </w:r>
    </w:p>
    <w:p>
      <w:pPr>
        <w:spacing w:after="0" w:line="204" w:lineRule="exact"/>
        <w:rPr>
          <w:rFonts w:ascii="Times New Roman" w:cs="Times New Roman" w:eastAsia="Times New Roman" w:hAnsi="Times New Roman"/>
          <w:sz w:val="22"/>
          <w:szCs w:val="22"/>
          <w:color w:val="auto"/>
        </w:rPr>
      </w:pPr>
    </w:p>
    <w:p>
      <w:pPr>
        <w:ind w:left="1303" w:hanging="654"/>
        <w:spacing w:after="0" w:line="215" w:lineRule="auto"/>
        <w:tabs>
          <w:tab w:leader="none" w:pos="1298"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If the Participant’s employment with the Company terminates prior to the issuance or transfer of any remaining Shares due to be issued or transferred to the Participant under this Award, the payment of any applicable withholding taxes with respect to any such issuance or transfer shall be made through the withholding of Shares from such issuance or transfer, rounded down to the nearest whole Share, with the balance to be paid in cash or withheld from compensation or other amount owing to the Participant from the Company or any Affiliate, as provided in Section 11(a) above.</w:t>
      </w:r>
    </w:p>
    <w:p>
      <w:pPr>
        <w:spacing w:after="0" w:line="218" w:lineRule="exact"/>
        <w:rPr>
          <w:rFonts w:ascii="Times New Roman" w:cs="Times New Roman" w:eastAsia="Times New Roman" w:hAnsi="Times New Roman"/>
          <w:sz w:val="22"/>
          <w:szCs w:val="22"/>
          <w:color w:val="auto"/>
        </w:rPr>
      </w:pPr>
    </w:p>
    <w:p>
      <w:pPr>
        <w:ind w:left="563" w:right="940" w:hanging="563"/>
        <w:spacing w:after="0" w:line="229" w:lineRule="auto"/>
        <w:tabs>
          <w:tab w:leader="none" w:pos="561"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Section 409A of the Code</w:t>
      </w:r>
      <w:r>
        <w:rPr>
          <w:rFonts w:ascii="Times New Roman" w:cs="Times New Roman" w:eastAsia="Times New Roman" w:hAnsi="Times New Roman"/>
          <w:sz w:val="20"/>
          <w:szCs w:val="20"/>
          <w:color w:val="auto"/>
        </w:rPr>
        <w:t>. The provisions of Section 14(v) of the Plan are hereby incorporated by reference and made a part hereof.</w:t>
      </w:r>
    </w:p>
    <w:p>
      <w:pPr>
        <w:spacing w:after="0" w:line="200" w:lineRule="exact"/>
        <w:rPr>
          <w:rFonts w:ascii="Times New Roman" w:cs="Times New Roman" w:eastAsia="Times New Roman" w:hAnsi="Times New Roman"/>
          <w:sz w:val="22"/>
          <w:szCs w:val="22"/>
          <w:color w:val="auto"/>
        </w:rPr>
      </w:pPr>
    </w:p>
    <w:p>
      <w:pPr>
        <w:ind w:left="563" w:right="240" w:hanging="563"/>
        <w:spacing w:after="0" w:line="229" w:lineRule="auto"/>
        <w:tabs>
          <w:tab w:leader="none" w:pos="561"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PSUs Subject to Plan</w:t>
      </w:r>
      <w:r>
        <w:rPr>
          <w:rFonts w:ascii="Times New Roman" w:cs="Times New Roman" w:eastAsia="Times New Roman" w:hAnsi="Times New Roman"/>
          <w:sz w:val="20"/>
          <w:szCs w:val="20"/>
          <w:color w:val="auto"/>
        </w:rPr>
        <w:t>. All PSUs are subject to the Plan. In the event of a conflict between any term or provision contained herein and a term or provision of the Plan, the applicable terms and provisions of the Plan will govern and prevail.</w:t>
      </w:r>
    </w:p>
    <w:p>
      <w:pPr>
        <w:spacing w:after="0" w:line="200" w:lineRule="exact"/>
        <w:rPr>
          <w:rFonts w:ascii="Times New Roman" w:cs="Times New Roman" w:eastAsia="Times New Roman" w:hAnsi="Times New Roman"/>
          <w:sz w:val="22"/>
          <w:szCs w:val="22"/>
          <w:color w:val="auto"/>
        </w:rPr>
      </w:pPr>
    </w:p>
    <w:p>
      <w:pPr>
        <w:ind w:left="643" w:right="140" w:hanging="642"/>
        <w:spacing w:after="0" w:line="223" w:lineRule="auto"/>
        <w:tabs>
          <w:tab w:leader="none" w:pos="643"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claims, certifications, requests, demands and other communications hereunder shall be in writing and shall be deemed to have been duly given and delivered if personally delivered or if sent by nationally-recognized overnight courier, by telecopy, email or by registered or certified mail, return receipt requested and postage prepaid, addressed as follows: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303"/>
        <w:spacing w:after="0"/>
        <w:rPr>
          <w:sz w:val="20"/>
          <w:szCs w:val="20"/>
          <w:color w:val="auto"/>
        </w:rPr>
      </w:pPr>
      <w:r>
        <w:rPr>
          <w:rFonts w:ascii="Times New Roman" w:cs="Times New Roman" w:eastAsia="Times New Roman" w:hAnsi="Times New Roman"/>
          <w:sz w:val="20"/>
          <w:szCs w:val="20"/>
          <w:color w:val="auto"/>
        </w:rPr>
        <w:t>If to the Company, to:</w:t>
      </w:r>
    </w:p>
    <w:p>
      <w:pPr>
        <w:sectPr>
          <w:pgSz w:w="11900" w:h="16838" w:orient="portrait"/>
          <w:cols w:equalWidth="0" w:num="1">
            <w:col w:w="11003"/>
          </w:cols>
          <w:pgMar w:left="417" w:top="1440" w:right="479" w:bottom="1440" w:gutter="0" w:footer="0" w:header="0"/>
        </w:sectPr>
      </w:pPr>
    </w:p>
    <w:bookmarkStart w:id="137" w:name="page138"/>
    <w:bookmarkEnd w:id="137"/>
    <w:p>
      <w:pPr>
        <w:spacing w:after="0" w:line="292" w:lineRule="exact"/>
        <w:rPr>
          <w:sz w:val="20"/>
          <w:szCs w:val="20"/>
          <w:color w:val="auto"/>
        </w:rPr>
      </w:pPr>
    </w:p>
    <w:p>
      <w:pPr>
        <w:ind w:left="1943"/>
        <w:spacing w:after="0"/>
        <w:rPr>
          <w:sz w:val="20"/>
          <w:szCs w:val="20"/>
          <w:color w:val="auto"/>
        </w:rPr>
      </w:pPr>
      <w:r>
        <w:rPr>
          <w:rFonts w:ascii="Times New Roman" w:cs="Times New Roman" w:eastAsia="Times New Roman" w:hAnsi="Times New Roman"/>
          <w:sz w:val="22"/>
          <w:szCs w:val="22"/>
          <w:color w:val="auto"/>
        </w:rPr>
        <w:t>Aramark</w:t>
      </w:r>
    </w:p>
    <w:p>
      <w:pPr>
        <w:spacing w:after="0" w:line="112" w:lineRule="exact"/>
        <w:rPr>
          <w:sz w:val="20"/>
          <w:szCs w:val="20"/>
          <w:color w:val="auto"/>
        </w:rPr>
      </w:pPr>
    </w:p>
    <w:p>
      <w:pPr>
        <w:ind w:left="1943"/>
        <w:spacing w:after="0"/>
        <w:rPr>
          <w:sz w:val="20"/>
          <w:szCs w:val="20"/>
          <w:color w:val="auto"/>
        </w:rPr>
      </w:pPr>
      <w:r>
        <w:rPr>
          <w:rFonts w:ascii="Times New Roman" w:cs="Times New Roman" w:eastAsia="Times New Roman" w:hAnsi="Times New Roman"/>
          <w:sz w:val="22"/>
          <w:szCs w:val="22"/>
          <w:color w:val="auto"/>
        </w:rPr>
        <w:t>2400 Market Street</w:t>
      </w:r>
    </w:p>
    <w:p>
      <w:pPr>
        <w:ind w:left="1943"/>
        <w:spacing w:after="0"/>
        <w:rPr>
          <w:sz w:val="20"/>
          <w:szCs w:val="20"/>
          <w:color w:val="auto"/>
        </w:rPr>
      </w:pPr>
      <w:r>
        <w:rPr>
          <w:rFonts w:ascii="Times New Roman" w:cs="Times New Roman" w:eastAsia="Times New Roman" w:hAnsi="Times New Roman"/>
          <w:sz w:val="22"/>
          <w:szCs w:val="22"/>
          <w:color w:val="auto"/>
        </w:rPr>
        <w:t>Philadelphia, PA 19103 Attention: General Counsel</w:t>
      </w:r>
    </w:p>
    <w:p>
      <w:pPr>
        <w:spacing w:after="0" w:line="187" w:lineRule="exact"/>
        <w:rPr>
          <w:sz w:val="20"/>
          <w:szCs w:val="20"/>
          <w:color w:val="auto"/>
        </w:rPr>
      </w:pPr>
    </w:p>
    <w:p>
      <w:pPr>
        <w:ind w:left="643" w:right="420"/>
        <w:spacing w:after="0" w:line="234" w:lineRule="auto"/>
        <w:rPr>
          <w:sz w:val="20"/>
          <w:szCs w:val="20"/>
          <w:color w:val="auto"/>
        </w:rPr>
      </w:pPr>
      <w:r>
        <w:rPr>
          <w:rFonts w:ascii="Times New Roman" w:cs="Times New Roman" w:eastAsia="Times New Roman" w:hAnsi="Times New Roman"/>
          <w:sz w:val="19"/>
          <w:szCs w:val="19"/>
          <w:color w:val="auto"/>
        </w:rPr>
        <w:t>If to the Participant, to him or her at the address set forth on the signature page hereto; or to such other address as the party to whom notice is to be given may have furnished to the other party in writing in accordance herewith. Any such notice or other</w:t>
      </w:r>
    </w:p>
    <w:p>
      <w:pPr>
        <w:spacing w:after="0" w:line="1" w:lineRule="exact"/>
        <w:rPr>
          <w:sz w:val="20"/>
          <w:szCs w:val="20"/>
          <w:color w:val="auto"/>
        </w:rPr>
      </w:pPr>
    </w:p>
    <w:p>
      <w:pPr>
        <w:ind w:left="643" w:right="80"/>
        <w:spacing w:after="0" w:line="215" w:lineRule="auto"/>
        <w:rPr>
          <w:sz w:val="20"/>
          <w:szCs w:val="20"/>
          <w:color w:val="auto"/>
        </w:rPr>
      </w:pPr>
      <w:r>
        <w:rPr>
          <w:rFonts w:ascii="Times New Roman" w:cs="Times New Roman" w:eastAsia="Times New Roman" w:hAnsi="Times New Roman"/>
          <w:sz w:val="19"/>
          <w:szCs w:val="19"/>
          <w:color w:val="auto"/>
        </w:rPr>
        <w:t>communication shall be deemed to have been received (a) in the case of personal delivery, on the date of such delivery (or if such date is not a business day, on the next business day after the date of delivery), (b) in the case of nationally-recognized overnight</w:t>
      </w:r>
    </w:p>
    <w:p>
      <w:pPr>
        <w:ind w:left="643" w:right="140"/>
        <w:spacing w:after="0" w:line="215" w:lineRule="auto"/>
        <w:rPr>
          <w:sz w:val="20"/>
          <w:szCs w:val="20"/>
          <w:color w:val="auto"/>
        </w:rPr>
      </w:pPr>
      <w:r>
        <w:rPr>
          <w:rFonts w:ascii="Times New Roman" w:cs="Times New Roman" w:eastAsia="Times New Roman" w:hAnsi="Times New Roman"/>
          <w:sz w:val="19"/>
          <w:szCs w:val="19"/>
          <w:color w:val="auto"/>
        </w:rPr>
        <w:t>courier, on the next business day after the date sent, (c) in the case of telecopy transmission, when received (or if not sent on a business day, on the next business day after the date sent), and (d) in the case of mailing, on the third business day following that</w:t>
      </w:r>
    </w:p>
    <w:p>
      <w:pPr>
        <w:ind w:left="643"/>
        <w:spacing w:after="0"/>
        <w:rPr>
          <w:sz w:val="20"/>
          <w:szCs w:val="20"/>
          <w:color w:val="auto"/>
        </w:rPr>
      </w:pPr>
      <w:r>
        <w:rPr>
          <w:rFonts w:ascii="Times New Roman" w:cs="Times New Roman" w:eastAsia="Times New Roman" w:hAnsi="Times New Roman"/>
          <w:sz w:val="20"/>
          <w:szCs w:val="20"/>
          <w:color w:val="auto"/>
        </w:rPr>
        <w:t>on which the piece of mail containing such communication is posted.</w:t>
      </w:r>
    </w:p>
    <w:p>
      <w:pPr>
        <w:spacing w:after="0" w:line="221" w:lineRule="exact"/>
        <w:rPr>
          <w:sz w:val="20"/>
          <w:szCs w:val="20"/>
          <w:color w:val="auto"/>
        </w:rPr>
      </w:pPr>
    </w:p>
    <w:p>
      <w:pPr>
        <w:ind w:left="563" w:right="240" w:hanging="563"/>
        <w:spacing w:after="0" w:line="229" w:lineRule="auto"/>
        <w:tabs>
          <w:tab w:leader="none" w:pos="56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Waiver of Breach</w:t>
      </w:r>
      <w:r>
        <w:rPr>
          <w:rFonts w:ascii="Times New Roman" w:cs="Times New Roman" w:eastAsia="Times New Roman" w:hAnsi="Times New Roman"/>
          <w:sz w:val="20"/>
          <w:szCs w:val="20"/>
          <w:color w:val="auto"/>
        </w:rPr>
        <w:t>. The waiver by either party of a breach of any provision of this Award must be in writing and shall not operate or be construed as a waiver of any other or subsequent breach.</w:t>
      </w:r>
    </w:p>
    <w:p>
      <w:pPr>
        <w:spacing w:after="0" w:line="200" w:lineRule="exact"/>
        <w:rPr>
          <w:rFonts w:ascii="Times New Roman" w:cs="Times New Roman" w:eastAsia="Times New Roman" w:hAnsi="Times New Roman"/>
          <w:sz w:val="22"/>
          <w:szCs w:val="22"/>
          <w:color w:val="auto"/>
        </w:rPr>
      </w:pPr>
    </w:p>
    <w:p>
      <w:pPr>
        <w:ind w:left="563" w:hanging="563"/>
        <w:spacing w:after="0" w:line="207" w:lineRule="auto"/>
        <w:tabs>
          <w:tab w:leader="none" w:pos="56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xml:space="preserve"> THIS AWARD WILL BE GOVERNED BY AND CONSTRUED IN ACCORDANCE WITH THE LAWS OF THE STATE OF NEW YORK, WITHOUT GIVING EFFECT TO ANY CHOICE OR CONFLICT OF LAW PROVISION OR RULE (WHETHER OF THE STATE OF NEW YORK OR ANY OTHER JURISDICTION) THAT WOULD CAUSE THE LAWS OF ANY JURISDICTION OTHER THAN THE STATE OF NEW YORK TO BE APPLIED. IN FURTHERANCE OF THE FOREGOING, THE INTERNAL LAW OF THE STATE OF NEW YORK WILL CONTROL THE INTERPRETATION AND CONSTRUCTION OF THIS AWARD,</w:t>
      </w:r>
    </w:p>
    <w:p>
      <w:pPr>
        <w:ind w:left="563" w:right="320"/>
        <w:spacing w:after="0" w:line="22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EVEN IF UNDER SUCH JURISDICTION’S CHOICE OF LAW OR CONFLICT OF LAW ANALYSIS, THE SUBSTANTIVE LAW OF SOME OTHER JURISDICTION WOULD ORDINARILY APPLY.</w:t>
      </w:r>
    </w:p>
    <w:p>
      <w:pPr>
        <w:spacing w:after="0" w:line="202" w:lineRule="exact"/>
        <w:rPr>
          <w:rFonts w:ascii="Times New Roman" w:cs="Times New Roman" w:eastAsia="Times New Roman" w:hAnsi="Times New Roman"/>
          <w:sz w:val="22"/>
          <w:szCs w:val="22"/>
          <w:color w:val="auto"/>
        </w:rPr>
      </w:pPr>
    </w:p>
    <w:p>
      <w:pPr>
        <w:ind w:left="563" w:right="40" w:hanging="563"/>
        <w:spacing w:after="0" w:line="215" w:lineRule="auto"/>
        <w:tabs>
          <w:tab w:leader="none" w:pos="56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Modification of Rights; Entire Agreement</w:t>
      </w:r>
      <w:r>
        <w:rPr>
          <w:rFonts w:ascii="Times New Roman" w:cs="Times New Roman" w:eastAsia="Times New Roman" w:hAnsi="Times New Roman"/>
          <w:sz w:val="20"/>
          <w:szCs w:val="20"/>
          <w:color w:val="auto"/>
        </w:rPr>
        <w:t>. The Participant’s rights under this Award and the Plan may be modified only to the extent expressly provided under this Award or under Sections 14(a) and (b) of the Plan. This Award and the Plan (and the other writings referred to herein) constitute the entire agreement between the parties with respect to the subject matter hereof and thereof and supersede all prior written or oral negotiations, commitments, representations and agreements with respect thereto. For the avoidance of doubt, this Award, the Certificate of Grant and the Plan do not supersede any “Restrictive Covenant Agreement” (as defined below) or employment agreement between the Participant and the Company or its Affiliates.</w:t>
      </w:r>
    </w:p>
    <w:p>
      <w:pPr>
        <w:spacing w:after="0" w:line="201" w:lineRule="exact"/>
        <w:rPr>
          <w:rFonts w:ascii="Times New Roman" w:cs="Times New Roman" w:eastAsia="Times New Roman" w:hAnsi="Times New Roman"/>
          <w:sz w:val="22"/>
          <w:szCs w:val="22"/>
          <w:color w:val="auto"/>
        </w:rPr>
      </w:pPr>
    </w:p>
    <w:p>
      <w:pPr>
        <w:ind w:left="643" w:right="380" w:hanging="642"/>
        <w:spacing w:after="0" w:line="212" w:lineRule="auto"/>
        <w:tabs>
          <w:tab w:leader="none" w:pos="643"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Clawback upon Breach of Restrictive Covenants</w:t>
      </w:r>
      <w:r>
        <w:rPr>
          <w:rFonts w:ascii="Times New Roman" w:cs="Times New Roman" w:eastAsia="Times New Roman" w:hAnsi="Times New Roman"/>
          <w:sz w:val="20"/>
          <w:szCs w:val="20"/>
          <w:color w:val="auto"/>
        </w:rPr>
        <w:t>. In the event the Participant breaches the Participant’s “Restrictive Covenant Agreement” (as defined below) at any time</w:t>
      </w:r>
    </w:p>
    <w:p>
      <w:pPr>
        <w:ind w:left="643" w:right="580"/>
        <w:spacing w:after="0" w:line="22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during the Participant’s employment with the Company or within two years following the termination thereof, then without limiting any other remedies available to the Company</w:t>
      </w:r>
    </w:p>
    <w:p>
      <w:pPr>
        <w:sectPr>
          <w:pgSz w:w="11900" w:h="16838" w:orient="portrait"/>
          <w:cols w:equalWidth="0" w:num="1">
            <w:col w:w="10983"/>
          </w:cols>
          <w:pgMar w:left="417" w:top="1440" w:right="499" w:bottom="1440" w:gutter="0" w:footer="0" w:header="0"/>
        </w:sectPr>
      </w:pPr>
    </w:p>
    <w:bookmarkStart w:id="138" w:name="page139"/>
    <w:bookmarkEnd w:id="138"/>
    <w:p>
      <w:pPr>
        <w:spacing w:after="0" w:line="184" w:lineRule="exact"/>
        <w:rPr>
          <w:sz w:val="20"/>
          <w:szCs w:val="20"/>
          <w:color w:val="auto"/>
        </w:rPr>
      </w:pPr>
    </w:p>
    <w:p>
      <w:pPr>
        <w:ind w:left="642"/>
        <w:spacing w:after="0"/>
        <w:rPr>
          <w:sz w:val="20"/>
          <w:szCs w:val="20"/>
          <w:color w:val="auto"/>
        </w:rPr>
      </w:pPr>
      <w:r>
        <w:rPr>
          <w:rFonts w:ascii="Times New Roman" w:cs="Times New Roman" w:eastAsia="Times New Roman" w:hAnsi="Times New Roman"/>
          <w:sz w:val="20"/>
          <w:szCs w:val="20"/>
          <w:color w:val="auto"/>
        </w:rPr>
        <w:t>(including, without limitation, remedies involving injunctive relief), the Participant shall immediately forfeit any remaining</w:t>
      </w:r>
    </w:p>
    <w:p>
      <w:pPr>
        <w:ind w:left="642" w:right="120"/>
        <w:spacing w:after="0" w:line="215" w:lineRule="auto"/>
        <w:rPr>
          <w:sz w:val="20"/>
          <w:szCs w:val="20"/>
          <w:color w:val="auto"/>
        </w:rPr>
      </w:pPr>
      <w:r>
        <w:rPr>
          <w:rFonts w:ascii="Times New Roman" w:cs="Times New Roman" w:eastAsia="Times New Roman" w:hAnsi="Times New Roman"/>
          <w:sz w:val="19"/>
          <w:szCs w:val="19"/>
          <w:color w:val="auto"/>
        </w:rPr>
        <w:t>unvested portion of the Award and the Participant shall be required to return to the Company all Shares previously issued in respect of the Award to the extent the Participant continues to own such Shares or, if the Participant no longer owns such Shares,</w:t>
      </w:r>
    </w:p>
    <w:p>
      <w:pPr>
        <w:ind w:left="642"/>
        <w:spacing w:after="0" w:line="211" w:lineRule="auto"/>
        <w:rPr>
          <w:sz w:val="20"/>
          <w:szCs w:val="20"/>
          <w:color w:val="auto"/>
        </w:rPr>
      </w:pPr>
      <w:r>
        <w:rPr>
          <w:rFonts w:ascii="Times New Roman" w:cs="Times New Roman" w:eastAsia="Times New Roman" w:hAnsi="Times New Roman"/>
          <w:sz w:val="20"/>
          <w:szCs w:val="20"/>
          <w:color w:val="auto"/>
        </w:rPr>
        <w:t>the Participant shall be required to repay to the Company the pre-tax cash value of such Shares calculated based on the Fair</w:t>
      </w:r>
    </w:p>
    <w:p>
      <w:pPr>
        <w:jc w:val="both"/>
        <w:ind w:left="642" w:right="220"/>
        <w:spacing w:after="0" w:line="215" w:lineRule="auto"/>
        <w:rPr>
          <w:sz w:val="20"/>
          <w:szCs w:val="20"/>
          <w:color w:val="auto"/>
        </w:rPr>
      </w:pPr>
      <w:r>
        <w:rPr>
          <w:rFonts w:ascii="Times New Roman" w:cs="Times New Roman" w:eastAsia="Times New Roman" w:hAnsi="Times New Roman"/>
          <w:sz w:val="19"/>
          <w:szCs w:val="19"/>
          <w:color w:val="auto"/>
        </w:rPr>
        <w:t>Market Value of such Shares on the date such Shares were issued to the Participant in respect of the Award. As used herein, the “Restrictive Covenant Agreement” means any agreement between the Participant and the Company or its Affiliates (including,</w:t>
      </w:r>
    </w:p>
    <w:p>
      <w:pPr>
        <w:ind w:left="642" w:right="420"/>
        <w:spacing w:after="0" w:line="242" w:lineRule="auto"/>
        <w:rPr>
          <w:sz w:val="20"/>
          <w:szCs w:val="20"/>
          <w:color w:val="auto"/>
        </w:rPr>
      </w:pPr>
      <w:r>
        <w:rPr>
          <w:rFonts w:ascii="Times New Roman" w:cs="Times New Roman" w:eastAsia="Times New Roman" w:hAnsi="Times New Roman"/>
          <w:sz w:val="19"/>
          <w:szCs w:val="19"/>
          <w:color w:val="auto"/>
        </w:rPr>
        <w:t>without limitation, any agreement relating to employment and post-employment competition) subjecting the Participant to confidentiality, non-solicitation, non-competition and/or other restrictive covenants in favor of the Company or its Affiliates.</w:t>
      </w:r>
    </w:p>
    <w:p>
      <w:pPr>
        <w:spacing w:after="0" w:line="199" w:lineRule="exact"/>
        <w:rPr>
          <w:sz w:val="20"/>
          <w:szCs w:val="20"/>
          <w:color w:val="auto"/>
        </w:rPr>
      </w:pPr>
    </w:p>
    <w:p>
      <w:pPr>
        <w:ind w:left="642" w:hanging="642"/>
        <w:spacing w:after="0" w:line="212" w:lineRule="auto"/>
        <w:tabs>
          <w:tab w:leader="none" w:pos="642"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It is the desire and intent of the parties hereto that the provisions of this Award be enforced to the fullest extent permissible under the laws and public policies applied in each jurisdiction in which enforcement is sought. Accordingly, if any particular provision of this Award shall be adjudicated by a court of competent jurisdiction to be invalid, prohibited or unenforceable for any reason, such provision, as to such jurisdiction, shall be ineffective, without invalidating the remaining provisions of this Award or affecting the validity or enforceability of such provision in any other jurisdiction. Notwithstanding the foregoing, if such provision could be more narrowly drawn so as not to be invalid, prohibited or unenforceable in such jurisdiction, it shall, as to such jurisdiction, be so narrowly drawn, without invalidating the remaining provisions of this Award or affecting the validity or enforceability of such provision in any other jurisdiction.</w:t>
      </w:r>
    </w:p>
    <w:p>
      <w:pPr>
        <w:spacing w:after="0" w:line="326" w:lineRule="exact"/>
        <w:rPr>
          <w:sz w:val="20"/>
          <w:szCs w:val="20"/>
          <w:color w:val="auto"/>
        </w:rPr>
      </w:pPr>
    </w:p>
    <w:p>
      <w:pPr>
        <w:ind w:left="562"/>
        <w:spacing w:after="0"/>
        <w:tabs>
          <w:tab w:leader="none" w:pos="4802" w:val="left"/>
        </w:tabs>
        <w:rPr>
          <w:sz w:val="20"/>
          <w:szCs w:val="20"/>
          <w:color w:val="auto"/>
        </w:rPr>
      </w:pPr>
      <w:r>
        <w:rPr>
          <w:rFonts w:ascii="Times New Roman" w:cs="Times New Roman" w:eastAsia="Times New Roman" w:hAnsi="Times New Roman"/>
          <w:sz w:val="20"/>
          <w:szCs w:val="20"/>
          <w:color w:val="auto"/>
        </w:rPr>
        <w:t>Name: [see Certificate of Grant - Participant] Date:</w:t>
      </w:r>
      <w:r>
        <w:rPr>
          <w:sz w:val="20"/>
          <w:szCs w:val="20"/>
          <w:color w:val="auto"/>
        </w:rPr>
        <w:tab/>
      </w:r>
      <w:r>
        <w:rPr>
          <w:rFonts w:ascii="Times New Roman" w:cs="Times New Roman" w:eastAsia="Times New Roman" w:hAnsi="Times New Roman"/>
          <w:sz w:val="19"/>
          <w:szCs w:val="19"/>
          <w:color w:val="auto"/>
        </w:rPr>
        <w:t>[Acceptance Date]</w:t>
      </w:r>
    </w:p>
    <w:p>
      <w:pPr>
        <w:spacing w:after="0" w:line="94" w:lineRule="exact"/>
        <w:rPr>
          <w:sz w:val="20"/>
          <w:szCs w:val="20"/>
          <w:color w:val="auto"/>
        </w:rPr>
      </w:pPr>
    </w:p>
    <w:p>
      <w:pPr>
        <w:ind w:left="562"/>
        <w:spacing w:after="0"/>
        <w:rPr>
          <w:sz w:val="20"/>
          <w:szCs w:val="20"/>
          <w:color w:val="auto"/>
        </w:rPr>
      </w:pPr>
      <w:r>
        <w:rPr>
          <w:rFonts w:ascii="Times New Roman" w:cs="Times New Roman" w:eastAsia="Times New Roman" w:hAnsi="Times New Roman"/>
          <w:sz w:val="20"/>
          <w:szCs w:val="20"/>
          <w:color w:val="auto"/>
        </w:rPr>
        <w:t>[Note: Grant will be accepted electronically.]</w:t>
      </w:r>
    </w:p>
    <w:p>
      <w:pPr>
        <w:sectPr>
          <w:pgSz w:w="11900" w:h="16838" w:orient="portrait"/>
          <w:cols w:equalWidth="0" w:num="1">
            <w:col w:w="10942"/>
          </w:cols>
          <w:pgMar w:left="418" w:top="1440" w:right="539" w:bottom="1440" w:gutter="0" w:footer="0" w:header="0"/>
        </w:sectPr>
      </w:pPr>
    </w:p>
    <w:bookmarkStart w:id="139" w:name="page140"/>
    <w:bookmarkEnd w:id="139"/>
    <w:p>
      <w:pPr>
        <w:spacing w:after="0" w:line="185" w:lineRule="exact"/>
        <w:rPr>
          <w:sz w:val="20"/>
          <w:szCs w:val="20"/>
          <w:color w:val="auto"/>
        </w:rPr>
      </w:pPr>
    </w:p>
    <w:p>
      <w:pPr>
        <w:jc w:val="center"/>
        <w:ind w:right="-211"/>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16" w:lineRule="exact"/>
        <w:rPr>
          <w:sz w:val="20"/>
          <w:szCs w:val="20"/>
          <w:color w:val="auto"/>
        </w:rPr>
      </w:pPr>
    </w:p>
    <w:p>
      <w:pPr>
        <w:jc w:val="center"/>
        <w:ind w:right="-211"/>
        <w:spacing w:after="0"/>
        <w:rPr>
          <w:sz w:val="20"/>
          <w:szCs w:val="20"/>
          <w:color w:val="auto"/>
        </w:rPr>
      </w:pPr>
      <w:r>
        <w:rPr>
          <w:rFonts w:ascii="Times New Roman" w:cs="Times New Roman" w:eastAsia="Times New Roman" w:hAnsi="Times New Roman"/>
          <w:sz w:val="20"/>
          <w:szCs w:val="20"/>
          <w:b w:val="1"/>
          <w:bCs w:val="1"/>
          <w:color w:val="auto"/>
        </w:rPr>
        <w:t>DATA PRIVACY NOTICE</w:t>
      </w:r>
    </w:p>
    <w:p>
      <w:pPr>
        <w:spacing w:after="0" w:line="233" w:lineRule="exact"/>
        <w:rPr>
          <w:sz w:val="20"/>
          <w:szCs w:val="20"/>
          <w:color w:val="auto"/>
        </w:rPr>
      </w:pPr>
    </w:p>
    <w:p>
      <w:pPr>
        <w:ind w:left="652" w:hanging="652"/>
        <w:spacing w:after="0" w:line="215" w:lineRule="auto"/>
        <w:tabs>
          <w:tab w:leader="none" w:pos="64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By participating in the Plan or accepting any rights granted under it, the Participant understands that the Company and its Affiliates and/or agents collect, use, store and process personal data relating to the Participant to fulfill their obligations and exercise their rights under the Plan, issue certificates (if any), statements and communications relating to the Plan and generally administer and manage the Plan, including keeping records of participation levels from time to time. Any such processing will take place as described in this data privacy notice (“</w:t>
      </w:r>
      <w:r>
        <w:rPr>
          <w:rFonts w:ascii="Times New Roman" w:cs="Times New Roman" w:eastAsia="Times New Roman" w:hAnsi="Times New Roman"/>
          <w:sz w:val="20"/>
          <w:szCs w:val="20"/>
          <w:u w:val="single" w:color="auto"/>
          <w:color w:val="auto"/>
        </w:rPr>
        <w:t>Data Privacy Notice</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left="92"/>
        <w:spacing w:after="0"/>
        <w:rPr>
          <w:sz w:val="20"/>
          <w:szCs w:val="20"/>
          <w:color w:val="auto"/>
        </w:rPr>
      </w:pPr>
      <w:r>
        <w:rPr>
          <w:rFonts w:ascii="Times New Roman" w:cs="Times New Roman" w:eastAsia="Times New Roman" w:hAnsi="Times New Roman"/>
          <w:sz w:val="20"/>
          <w:szCs w:val="20"/>
          <w:color w:val="auto"/>
        </w:rPr>
        <w:t>These data will include data:</w:t>
      </w:r>
    </w:p>
    <w:p>
      <w:pPr>
        <w:spacing w:after="0" w:line="216" w:lineRule="exact"/>
        <w:rPr>
          <w:sz w:val="20"/>
          <w:szCs w:val="20"/>
          <w:color w:val="auto"/>
        </w:rPr>
      </w:pPr>
    </w:p>
    <w:p>
      <w:pPr>
        <w:ind w:left="1552" w:right="280" w:hanging="13"/>
        <w:spacing w:after="0" w:line="229" w:lineRule="auto"/>
        <w:tabs>
          <w:tab w:leader="none" w:pos="1936"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already held in the Participant's records such as the Participant's name and address, ID number, payroll number, length of service and whether the Participant works full-time or part time;</w:t>
      </w:r>
    </w:p>
    <w:p>
      <w:pPr>
        <w:spacing w:after="0" w:line="214" w:lineRule="exact"/>
        <w:rPr>
          <w:rFonts w:ascii="Times New Roman" w:cs="Times New Roman" w:eastAsia="Times New Roman" w:hAnsi="Times New Roman"/>
          <w:sz w:val="22"/>
          <w:szCs w:val="22"/>
          <w:color w:val="auto"/>
        </w:rPr>
      </w:pPr>
    </w:p>
    <w:p>
      <w:pPr>
        <w:ind w:left="1932" w:hanging="384"/>
        <w:spacing w:after="0"/>
        <w:tabs>
          <w:tab w:leader="none" w:pos="1932"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collected upon the Participant accepting the rights granted under the Plan (if applicable); and</w:t>
      </w:r>
    </w:p>
    <w:p>
      <w:pPr>
        <w:spacing w:after="0" w:line="206" w:lineRule="exact"/>
        <w:rPr>
          <w:rFonts w:ascii="Times New Roman" w:cs="Times New Roman" w:eastAsia="Times New Roman" w:hAnsi="Times New Roman"/>
          <w:sz w:val="22"/>
          <w:szCs w:val="22"/>
          <w:color w:val="auto"/>
        </w:rPr>
      </w:pPr>
    </w:p>
    <w:p>
      <w:pPr>
        <w:ind w:left="2032" w:hanging="485"/>
        <w:spacing w:after="0"/>
        <w:tabs>
          <w:tab w:leader="none" w:pos="2032"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subsequently collected</w:t>
      </w:r>
    </w:p>
    <w:p>
      <w:pPr>
        <w:spacing w:after="0" w:line="206" w:lineRule="exact"/>
        <w:rPr>
          <w:sz w:val="20"/>
          <w:szCs w:val="20"/>
          <w:color w:val="auto"/>
        </w:rPr>
      </w:pPr>
    </w:p>
    <w:p>
      <w:pPr>
        <w:ind w:left="1552"/>
        <w:spacing w:after="0"/>
        <w:rPr>
          <w:sz w:val="20"/>
          <w:szCs w:val="20"/>
          <w:color w:val="auto"/>
        </w:rPr>
      </w:pPr>
      <w:r>
        <w:rPr>
          <w:rFonts w:ascii="Times New Roman" w:cs="Times New Roman" w:eastAsia="Times New Roman" w:hAnsi="Times New Roman"/>
          <w:sz w:val="19"/>
          <w:szCs w:val="19"/>
          <w:color w:val="auto"/>
        </w:rPr>
        <w:t>by the Company or any of its Affiliates and/or agents in relation to the Participant's continued participation in the Plan,</w:t>
      </w:r>
    </w:p>
    <w:p>
      <w:pPr>
        <w:spacing w:after="0" w:line="6" w:lineRule="exact"/>
        <w:rPr>
          <w:sz w:val="20"/>
          <w:szCs w:val="20"/>
          <w:color w:val="auto"/>
        </w:rPr>
      </w:pPr>
    </w:p>
    <w:p>
      <w:pPr>
        <w:ind w:left="1552" w:right="540"/>
        <w:spacing w:after="0" w:line="215" w:lineRule="auto"/>
        <w:rPr>
          <w:sz w:val="20"/>
          <w:szCs w:val="20"/>
          <w:color w:val="auto"/>
        </w:rPr>
      </w:pPr>
      <w:r>
        <w:rPr>
          <w:rFonts w:ascii="Times New Roman" w:cs="Times New Roman" w:eastAsia="Times New Roman" w:hAnsi="Times New Roman"/>
          <w:sz w:val="19"/>
          <w:szCs w:val="19"/>
          <w:color w:val="auto"/>
        </w:rPr>
        <w:t>for example, data about shares offered or received, purchased or sold under the Plan from time to time and other appropriate financial and other data about the Participant and his or her participation in the Plan (e.g., the date on</w:t>
      </w:r>
    </w:p>
    <w:p>
      <w:pPr>
        <w:ind w:left="1552" w:right="60"/>
        <w:spacing w:after="0" w:line="228" w:lineRule="auto"/>
        <w:rPr>
          <w:sz w:val="20"/>
          <w:szCs w:val="20"/>
          <w:color w:val="auto"/>
        </w:rPr>
      </w:pPr>
      <w:r>
        <w:rPr>
          <w:rFonts w:ascii="Times New Roman" w:cs="Times New Roman" w:eastAsia="Times New Roman" w:hAnsi="Times New Roman"/>
          <w:sz w:val="20"/>
          <w:szCs w:val="20"/>
          <w:color w:val="auto"/>
        </w:rPr>
        <w:t>which the shares were granted, termination of employment and the reasons of termination of employment or retirement of the Participant).</w:t>
      </w:r>
    </w:p>
    <w:p>
      <w:pPr>
        <w:spacing w:after="0" w:line="200" w:lineRule="exact"/>
        <w:rPr>
          <w:sz w:val="20"/>
          <w:szCs w:val="20"/>
          <w:color w:val="auto"/>
        </w:rPr>
      </w:pPr>
    </w:p>
    <w:p>
      <w:pPr>
        <w:spacing w:after="0" w:line="327" w:lineRule="exact"/>
        <w:rPr>
          <w:sz w:val="20"/>
          <w:szCs w:val="20"/>
          <w:color w:val="auto"/>
        </w:rPr>
      </w:pPr>
    </w:p>
    <w:p>
      <w:pPr>
        <w:ind w:left="572" w:right="100" w:hanging="572"/>
        <w:spacing w:after="0" w:line="206" w:lineRule="auto"/>
        <w:tabs>
          <w:tab w:leader="none" w:pos="5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Personal data about the Participant as described in paragraph (a) above may be transferred not only within the country in which the Participant is based from time to time or within the European Economic Area</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(“EEA”), but also worldwide, to other Affiliates and/or agents and to the following third parties for the purposes described in paragraph (a) above:</w:t>
      </w:r>
    </w:p>
    <w:p>
      <w:pPr>
        <w:spacing w:after="0" w:line="202" w:lineRule="exact"/>
        <w:rPr>
          <w:rFonts w:ascii="Times New Roman" w:cs="Times New Roman" w:eastAsia="Times New Roman" w:hAnsi="Times New Roman"/>
          <w:sz w:val="22"/>
          <w:szCs w:val="22"/>
          <w:color w:val="auto"/>
        </w:rPr>
      </w:pPr>
    </w:p>
    <w:p>
      <w:pPr>
        <w:ind w:left="1552" w:right="120" w:hanging="4"/>
        <w:spacing w:after="0" w:line="223" w:lineRule="auto"/>
        <w:tabs>
          <w:tab w:leader="none" w:pos="1945"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Plan administrators, transfer agents, auditors, brokers, agents and contractors of, and third party service providers to, the Company or its Affiliates such as printers and mail houses engaged to print or distribute notices or communications about the Plan;</w:t>
      </w:r>
    </w:p>
    <w:p>
      <w:pPr>
        <w:spacing w:after="0" w:line="173" w:lineRule="exact"/>
        <w:rPr>
          <w:rFonts w:ascii="Times New Roman" w:cs="Times New Roman" w:eastAsia="Times New Roman" w:hAnsi="Times New Roman"/>
          <w:sz w:val="22"/>
          <w:szCs w:val="22"/>
          <w:color w:val="auto"/>
        </w:rPr>
      </w:pPr>
    </w:p>
    <w:p>
      <w:pPr>
        <w:ind w:left="1932" w:hanging="384"/>
        <w:spacing w:after="0"/>
        <w:tabs>
          <w:tab w:leader="none" w:pos="1932"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regulators, tax authorities, stock or security exchanges and other supervisory, regulatory, governmental or</w:t>
      </w:r>
    </w:p>
    <w:p>
      <w:pPr>
        <w:ind w:left="1552"/>
        <w:spacing w:after="0"/>
        <w:rPr>
          <w:sz w:val="20"/>
          <w:szCs w:val="20"/>
          <w:color w:val="auto"/>
        </w:rPr>
      </w:pPr>
      <w:r>
        <w:rPr>
          <w:rFonts w:ascii="Times New Roman" w:cs="Times New Roman" w:eastAsia="Times New Roman" w:hAnsi="Times New Roman"/>
          <w:sz w:val="20"/>
          <w:szCs w:val="20"/>
          <w:color w:val="auto"/>
        </w:rPr>
        <w:t>public bodies as required by law;</w:t>
      </w:r>
    </w:p>
    <w:p>
      <w:pPr>
        <w:spacing w:after="0" w:line="207" w:lineRule="exact"/>
        <w:rPr>
          <w:sz w:val="20"/>
          <w:szCs w:val="20"/>
          <w:color w:val="auto"/>
        </w:rPr>
      </w:pPr>
    </w:p>
    <w:p>
      <w:pPr>
        <w:ind w:left="1552" w:right="300" w:hanging="4"/>
        <w:spacing w:after="0" w:line="229" w:lineRule="auto"/>
        <w:tabs>
          <w:tab w:leader="none" w:pos="1943"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actual or proposed merger or acquisition partners or proposed assignees of, or those taking or proposing to take security over, the business or assets or stock of the Company or its Affiliates and their agents and contractors;</w:t>
      </w:r>
    </w:p>
    <w:p>
      <w:pPr>
        <w:spacing w:after="0" w:line="214" w:lineRule="exact"/>
        <w:rPr>
          <w:rFonts w:ascii="Times New Roman" w:cs="Times New Roman" w:eastAsia="Times New Roman" w:hAnsi="Times New Roman"/>
          <w:sz w:val="22"/>
          <w:szCs w:val="22"/>
          <w:color w:val="auto"/>
        </w:rPr>
      </w:pPr>
    </w:p>
    <w:p>
      <w:pPr>
        <w:ind w:left="1552" w:right="400" w:hanging="4"/>
        <w:spacing w:after="0" w:line="218" w:lineRule="auto"/>
        <w:tabs>
          <w:tab w:leader="none" w:pos="1945"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other third parties to whom the Company or its Affiliates and/or agents may need to communicate/transfer the data in connection with the administration of the Plan, under a duty of confidentiality to the Company and its Affiliates; and</w:t>
      </w:r>
    </w:p>
    <w:p>
      <w:pPr>
        <w:spacing w:after="0" w:line="216" w:lineRule="exact"/>
        <w:rPr>
          <w:rFonts w:ascii="Times New Roman" w:cs="Times New Roman" w:eastAsia="Times New Roman" w:hAnsi="Times New Roman"/>
          <w:sz w:val="22"/>
          <w:szCs w:val="22"/>
          <w:color w:val="auto"/>
        </w:rPr>
      </w:pPr>
    </w:p>
    <w:p>
      <w:pPr>
        <w:ind w:left="1552" w:right="420" w:hanging="4"/>
        <w:spacing w:after="0" w:line="229" w:lineRule="auto"/>
        <w:tabs>
          <w:tab w:leader="none" w:pos="1939"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Participant's family members, heirs, legatees and others associated with the Participant in connection with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262255</wp:posOffset>
            </wp:positionV>
            <wp:extent cx="1714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4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12" w:hanging="112"/>
        <w:spacing w:after="0"/>
        <w:tabs>
          <w:tab w:leader="none" w:pos="112" w:val="left"/>
        </w:tabs>
        <w:numPr>
          <w:ilvl w:val="0"/>
          <w:numId w:val="10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European Economic Area is composed of 27 member states of the European Union plus Iceland, Liechtenstein and Norway.</w:t>
      </w:r>
    </w:p>
    <w:p>
      <w:pPr>
        <w:sectPr>
          <w:pgSz w:w="11900" w:h="16838" w:orient="portrait"/>
          <w:cols w:equalWidth="0" w:num="1">
            <w:col w:w="11032"/>
          </w:cols>
          <w:pgMar w:left="328" w:top="1440" w:right="539" w:bottom="1440" w:gutter="0" w:footer="0" w:header="0"/>
        </w:sectPr>
      </w:pPr>
    </w:p>
    <w:bookmarkStart w:id="140" w:name="page141"/>
    <w:bookmarkEnd w:id="140"/>
    <w:p>
      <w:pPr>
        <w:ind w:left="11" w:right="140"/>
        <w:spacing w:after="0" w:line="234" w:lineRule="auto"/>
        <w:rPr>
          <w:sz w:val="20"/>
          <w:szCs w:val="20"/>
          <w:color w:val="auto"/>
        </w:rPr>
      </w:pPr>
      <w:r>
        <w:rPr>
          <w:rFonts w:ascii="Times New Roman" w:cs="Times New Roman" w:eastAsia="Times New Roman" w:hAnsi="Times New Roman"/>
          <w:sz w:val="19"/>
          <w:szCs w:val="19"/>
          <w:color w:val="auto"/>
        </w:rPr>
        <w:t>Not all countries, where the personal data may be processed or transferred to, have an equal level of data protection as in Canada, the EU or EEA. Countries to which data are transferred include the United States and Bermuda. The Company, as the responsible data controller</w:t>
      </w:r>
    </w:p>
    <w:p>
      <w:pPr>
        <w:spacing w:after="0" w:line="1" w:lineRule="exact"/>
        <w:rPr>
          <w:sz w:val="20"/>
          <w:szCs w:val="20"/>
          <w:color w:val="auto"/>
        </w:rPr>
      </w:pPr>
    </w:p>
    <w:p>
      <w:pPr>
        <w:ind w:left="11" w:right="280"/>
        <w:spacing w:after="0" w:line="204" w:lineRule="auto"/>
        <w:rPr>
          <w:sz w:val="20"/>
          <w:szCs w:val="20"/>
          <w:color w:val="auto"/>
        </w:rPr>
      </w:pPr>
      <w:r>
        <w:rPr>
          <w:rFonts w:ascii="Times New Roman" w:cs="Times New Roman" w:eastAsia="Times New Roman" w:hAnsi="Times New Roman"/>
          <w:sz w:val="20"/>
          <w:szCs w:val="20"/>
          <w:color w:val="auto"/>
        </w:rPr>
        <w:t>of any data processing for the purposes of the Plan, is located in the United States. For any transfers outside the country of origin of the personal data or with a third party, the Company will ensure that appropriate measures are in place to ensure an adequate level of</w:t>
      </w:r>
    </w:p>
    <w:p>
      <w:pPr>
        <w:spacing w:after="0" w:line="1" w:lineRule="exact"/>
        <w:rPr>
          <w:sz w:val="20"/>
          <w:szCs w:val="20"/>
          <w:color w:val="auto"/>
        </w:rPr>
      </w:pPr>
    </w:p>
    <w:p>
      <w:pPr>
        <w:ind w:left="11"/>
        <w:spacing w:after="0"/>
        <w:rPr>
          <w:sz w:val="20"/>
          <w:szCs w:val="20"/>
          <w:color w:val="auto"/>
        </w:rPr>
      </w:pPr>
      <w:r>
        <w:rPr>
          <w:rFonts w:ascii="Times New Roman" w:cs="Times New Roman" w:eastAsia="Times New Roman" w:hAnsi="Times New Roman"/>
          <w:sz w:val="20"/>
          <w:szCs w:val="20"/>
          <w:color w:val="auto"/>
        </w:rPr>
        <w:t>protection for your personal data, including technical or contractual measures where necessary.</w:t>
      </w:r>
    </w:p>
    <w:p>
      <w:pPr>
        <w:spacing w:after="0" w:line="194" w:lineRule="exact"/>
        <w:rPr>
          <w:sz w:val="20"/>
          <w:szCs w:val="20"/>
          <w:color w:val="auto"/>
        </w:rPr>
      </w:pPr>
    </w:p>
    <w:p>
      <w:pPr>
        <w:ind w:left="11" w:right="220"/>
        <w:spacing w:after="0" w:line="227" w:lineRule="auto"/>
        <w:rPr>
          <w:sz w:val="20"/>
          <w:szCs w:val="20"/>
          <w:color w:val="auto"/>
        </w:rPr>
      </w:pPr>
      <w:r>
        <w:rPr>
          <w:rFonts w:ascii="Times New Roman" w:cs="Times New Roman" w:eastAsia="Times New Roman" w:hAnsi="Times New Roman"/>
          <w:sz w:val="19"/>
          <w:szCs w:val="19"/>
          <w:color w:val="auto"/>
        </w:rPr>
        <w:t>For European personal data, onward transfers of personal data within the United States and to Bermuda are generally undertaken with adequate safeguards in place to protect personal data, such as Standard Contractual Clauses issued by the European Commission, which</w:t>
      </w:r>
    </w:p>
    <w:p>
      <w:pPr>
        <w:ind w:left="11"/>
        <w:spacing w:after="0"/>
        <w:rPr>
          <w:sz w:val="20"/>
          <w:szCs w:val="20"/>
          <w:color w:val="auto"/>
        </w:rPr>
      </w:pPr>
      <w:r>
        <w:rPr>
          <w:rFonts w:ascii="Times New Roman" w:cs="Times New Roman" w:eastAsia="Times New Roman" w:hAnsi="Times New Roman"/>
          <w:sz w:val="20"/>
          <w:szCs w:val="20"/>
          <w:color w:val="auto"/>
        </w:rPr>
        <w:t>are, where necessary, supplemented with additional measures to provide adequate protection of personal data.</w:t>
      </w:r>
    </w:p>
    <w:p>
      <w:pPr>
        <w:spacing w:after="0" w:line="180" w:lineRule="exact"/>
        <w:rPr>
          <w:sz w:val="20"/>
          <w:szCs w:val="20"/>
          <w:color w:val="auto"/>
        </w:rPr>
      </w:pPr>
    </w:p>
    <w:p>
      <w:pPr>
        <w:ind w:left="11" w:right="120"/>
        <w:spacing w:after="0"/>
        <w:rPr>
          <w:sz w:val="20"/>
          <w:szCs w:val="20"/>
          <w:color w:val="auto"/>
        </w:rPr>
      </w:pPr>
      <w:r>
        <w:rPr>
          <w:rFonts w:ascii="Times New Roman" w:cs="Times New Roman" w:eastAsia="Times New Roman" w:hAnsi="Times New Roman"/>
          <w:sz w:val="20"/>
          <w:szCs w:val="20"/>
          <w:color w:val="auto"/>
        </w:rPr>
        <w:t>All national and international transfer of personal data is only done in order to fulfill the obligations and rights of the Company and/or its Affiliates under the Plan.</w:t>
      </w:r>
    </w:p>
    <w:p>
      <w:pPr>
        <w:spacing w:after="0" w:line="183" w:lineRule="exact"/>
        <w:rPr>
          <w:sz w:val="20"/>
          <w:szCs w:val="20"/>
          <w:color w:val="auto"/>
        </w:rPr>
      </w:pPr>
    </w:p>
    <w:p>
      <w:pPr>
        <w:ind w:left="11"/>
        <w:spacing w:after="0"/>
        <w:rPr>
          <w:sz w:val="20"/>
          <w:szCs w:val="20"/>
          <w:color w:val="auto"/>
        </w:rPr>
      </w:pPr>
      <w:r>
        <w:rPr>
          <w:rFonts w:ascii="Times New Roman" w:cs="Times New Roman" w:eastAsia="Times New Roman" w:hAnsi="Times New Roman"/>
          <w:sz w:val="20"/>
          <w:szCs w:val="20"/>
          <w:color w:val="auto"/>
        </w:rPr>
        <w:t>The Participant may access, modify, correct or delete personal data about the Participant, restrict or object to the processing of personal</w:t>
      </w:r>
    </w:p>
    <w:p>
      <w:pPr>
        <w:jc w:val="both"/>
        <w:ind w:left="11" w:right="160"/>
        <w:spacing w:after="0" w:line="215" w:lineRule="auto"/>
        <w:rPr>
          <w:sz w:val="20"/>
          <w:szCs w:val="20"/>
          <w:color w:val="auto"/>
        </w:rPr>
      </w:pPr>
      <w:r>
        <w:rPr>
          <w:rFonts w:ascii="Times New Roman" w:cs="Times New Roman" w:eastAsia="Times New Roman" w:hAnsi="Times New Roman"/>
          <w:sz w:val="19"/>
          <w:szCs w:val="19"/>
          <w:color w:val="auto"/>
        </w:rPr>
        <w:t>data, or opt to receive personal data in a structured, commonly used, machine readable form which provides the ability to move, copy or transfer personal data to another controller by contacting the local data protection officer in the country in which the Participant is based.</w:t>
      </w:r>
    </w:p>
    <w:p>
      <w:pPr>
        <w:ind w:left="11"/>
        <w:spacing w:after="0" w:line="215" w:lineRule="auto"/>
        <w:rPr>
          <w:sz w:val="20"/>
          <w:szCs w:val="20"/>
          <w:color w:val="auto"/>
        </w:rPr>
      </w:pPr>
      <w:r>
        <w:rPr>
          <w:rFonts w:ascii="Times New Roman" w:cs="Times New Roman" w:eastAsia="Times New Roman" w:hAnsi="Times New Roman"/>
          <w:sz w:val="19"/>
          <w:szCs w:val="19"/>
          <w:color w:val="auto"/>
        </w:rPr>
        <w:t>Please note, however, that certain personal information about the Participant may be exempt from afore mentioned rights pursuant to applicable data protection laws. In addition, the Participant has the right to lodge a complaint with a competent data protection supervisory</w:t>
      </w:r>
    </w:p>
    <w:p>
      <w:pPr>
        <w:ind w:left="11"/>
        <w:spacing w:after="0" w:line="211" w:lineRule="auto"/>
        <w:rPr>
          <w:sz w:val="20"/>
          <w:szCs w:val="20"/>
          <w:color w:val="auto"/>
        </w:rPr>
      </w:pPr>
      <w:r>
        <w:rPr>
          <w:rFonts w:ascii="Times New Roman" w:cs="Times New Roman" w:eastAsia="Times New Roman" w:hAnsi="Times New Roman"/>
          <w:sz w:val="20"/>
          <w:szCs w:val="20"/>
          <w:color w:val="auto"/>
        </w:rPr>
        <w:t>authority, in particular in the EU Member State where the Participant resides, works or the place of the alleged infringement. If the</w:t>
      </w:r>
    </w:p>
    <w:p>
      <w:pPr>
        <w:ind w:left="11" w:right="340"/>
        <w:spacing w:after="0" w:line="221" w:lineRule="auto"/>
        <w:rPr>
          <w:sz w:val="20"/>
          <w:szCs w:val="20"/>
          <w:color w:val="auto"/>
        </w:rPr>
      </w:pPr>
      <w:r>
        <w:rPr>
          <w:rFonts w:ascii="Times New Roman" w:cs="Times New Roman" w:eastAsia="Times New Roman" w:hAnsi="Times New Roman"/>
          <w:sz w:val="20"/>
          <w:szCs w:val="20"/>
          <w:color w:val="auto"/>
        </w:rPr>
        <w:t>Participant has a complaint regarding the manner in which personal information relating to the Participant is dealt with, the Participant should contact the appropriate local data protection officer referred to above.</w:t>
      </w:r>
    </w:p>
    <w:p>
      <w:pPr>
        <w:spacing w:after="0" w:line="202" w:lineRule="exact"/>
        <w:rPr>
          <w:sz w:val="20"/>
          <w:szCs w:val="20"/>
          <w:color w:val="auto"/>
        </w:rPr>
      </w:pPr>
    </w:p>
    <w:p>
      <w:pPr>
        <w:ind w:left="571" w:right="80" w:hanging="571"/>
        <w:spacing w:after="0" w:line="229" w:lineRule="auto"/>
        <w:tabs>
          <w:tab w:leader="none" w:pos="566"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processing (including transfer) of data described above is essential for the administration and operation of the Plan. Therefore, it is essential that his/her personal data is processed in the manner described above.</w:t>
      </w:r>
    </w:p>
    <w:p>
      <w:pPr>
        <w:spacing w:after="0" w:line="38" w:lineRule="exact"/>
        <w:rPr>
          <w:rFonts w:ascii="Times New Roman" w:cs="Times New Roman" w:eastAsia="Times New Roman" w:hAnsi="Times New Roman"/>
          <w:sz w:val="22"/>
          <w:szCs w:val="22"/>
          <w:color w:val="auto"/>
        </w:rPr>
      </w:pPr>
    </w:p>
    <w:p>
      <w:pPr>
        <w:ind w:left="571" w:right="240" w:hanging="571"/>
        <w:spacing w:after="0" w:line="229" w:lineRule="auto"/>
        <w:tabs>
          <w:tab w:leader="none" w:pos="559"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Company will only retain personal data for as long as is required to satisfy the purposes as described in paragraph (a) above, except where otherwise provided or required by law (e.g. in connection with pending litigation).</w:t>
      </w:r>
    </w:p>
    <w:p>
      <w:pPr>
        <w:sectPr>
          <w:pgSz w:w="11900" w:h="16838" w:orient="portrait"/>
          <w:cols w:equalWidth="0" w:num="1">
            <w:col w:w="10991"/>
          </w:cols>
          <w:pgMar w:left="409" w:top="1318" w:right="49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10.91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Aramark</w:t>
      </w:r>
    </w:p>
    <w:p>
      <w:pPr>
        <w:spacing w:after="0" w:line="5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FORM OF PERFORMANCE STOCK UNIT AWARD (CEO)</w:t>
      </w:r>
    </w:p>
    <w:p>
      <w:pPr>
        <w:spacing w:after="0" w:line="200" w:lineRule="exact"/>
        <w:rPr>
          <w:sz w:val="20"/>
          <w:szCs w:val="20"/>
          <w:color w:val="auto"/>
        </w:rPr>
      </w:pPr>
    </w:p>
    <w:p>
      <w:pPr>
        <w:spacing w:after="0" w:line="356" w:lineRule="exact"/>
        <w:rPr>
          <w:sz w:val="20"/>
          <w:szCs w:val="20"/>
          <w:color w:val="auto"/>
        </w:rPr>
      </w:pPr>
    </w:p>
    <w:p>
      <w:pPr>
        <w:ind w:left="1240" w:right="1160" w:hanging="646"/>
        <w:spacing w:after="0" w:line="212" w:lineRule="auto"/>
        <w:tabs>
          <w:tab w:leader="none" w:pos="124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PSUs</w:t>
      </w:r>
      <w:r>
        <w:rPr>
          <w:rFonts w:ascii="Times New Roman" w:cs="Times New Roman" w:eastAsia="Times New Roman" w:hAnsi="Times New Roman"/>
          <w:sz w:val="20"/>
          <w:szCs w:val="20"/>
          <w:color w:val="auto"/>
        </w:rPr>
        <w:t>. Aramark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hereby grants the opportunity to vest in a number of Performance Stock Units determined based on the “</w:t>
      </w:r>
      <w:r>
        <w:rPr>
          <w:rFonts w:ascii="Times New Roman" w:cs="Times New Roman" w:eastAsia="Times New Roman" w:hAnsi="Times New Roman"/>
          <w:sz w:val="20"/>
          <w:szCs w:val="20"/>
          <w:u w:val="single" w:color="auto"/>
          <w:color w:val="auto"/>
        </w:rPr>
        <w:t>Target Number of PSUs</w:t>
      </w:r>
      <w:r>
        <w:rPr>
          <w:rFonts w:ascii="Times New Roman" w:cs="Times New Roman" w:eastAsia="Times New Roman" w:hAnsi="Times New Roman"/>
          <w:sz w:val="20"/>
          <w:szCs w:val="20"/>
          <w:color w:val="auto"/>
        </w:rPr>
        <w:t>” set forth on the Certificate of Grant attached to this Award and made a part hereof (the “</w:t>
      </w:r>
      <w:r>
        <w:rPr>
          <w:rFonts w:ascii="Times New Roman" w:cs="Times New Roman" w:eastAsia="Times New Roman" w:hAnsi="Times New Roman"/>
          <w:sz w:val="20"/>
          <w:szCs w:val="20"/>
          <w:u w:val="single" w:color="auto"/>
          <w:color w:val="auto"/>
        </w:rPr>
        <w:t>Certificate of Grant</w:t>
      </w:r>
      <w:r>
        <w:rPr>
          <w:rFonts w:ascii="Times New Roman" w:cs="Times New Roman" w:eastAsia="Times New Roman" w:hAnsi="Times New Roman"/>
          <w:sz w:val="20"/>
          <w:szCs w:val="20"/>
          <w:color w:val="auto"/>
        </w:rPr>
        <w:t xml:space="preserve">”) to the Participant, on the terms and conditions hereinafter set forth including </w:t>
      </w:r>
      <w:r>
        <w:rPr>
          <w:rFonts w:ascii="Times New Roman" w:cs="Times New Roman" w:eastAsia="Times New Roman" w:hAnsi="Times New Roman"/>
          <w:sz w:val="20"/>
          <w:szCs w:val="20"/>
          <w:u w:val="single" w:color="auto"/>
          <w:color w:val="auto"/>
        </w:rPr>
        <w:t>on Schedule I</w:t>
      </w:r>
      <w:r>
        <w:rPr>
          <w:rFonts w:ascii="Times New Roman" w:cs="Times New Roman" w:eastAsia="Times New Roman" w:hAnsi="Times New Roman"/>
          <w:sz w:val="20"/>
          <w:szCs w:val="20"/>
          <w:color w:val="auto"/>
        </w:rPr>
        <w:t xml:space="preserve"> which is made a part hereof. This grant is made pursuant to the terms of the Company 2013 Amended and Restated Stock Incentive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which Plan, as amended from time to time, is incorporated herein by reference and made a part of this Award. Each Performance Stock Unit (a “</w:t>
      </w:r>
      <w:r>
        <w:rPr>
          <w:rFonts w:ascii="Times New Roman" w:cs="Times New Roman" w:eastAsia="Times New Roman" w:hAnsi="Times New Roman"/>
          <w:sz w:val="20"/>
          <w:szCs w:val="20"/>
          <w:u w:val="single" w:color="auto"/>
          <w:color w:val="auto"/>
        </w:rPr>
        <w:t>PSU</w:t>
      </w:r>
      <w:r>
        <w:rPr>
          <w:rFonts w:ascii="Times New Roman" w:cs="Times New Roman" w:eastAsia="Times New Roman" w:hAnsi="Times New Roman"/>
          <w:sz w:val="20"/>
          <w:szCs w:val="20"/>
          <w:color w:val="auto"/>
        </w:rPr>
        <w:t>”) represents the unfunded, unsecured right of the Participant to receive a share of Common Stock of the Company (each a “</w:t>
      </w:r>
      <w:r>
        <w:rPr>
          <w:rFonts w:ascii="Times New Roman" w:cs="Times New Roman" w:eastAsia="Times New Roman" w:hAnsi="Times New Roman"/>
          <w:sz w:val="20"/>
          <w:szCs w:val="20"/>
          <w:u w:val="single" w:color="auto"/>
          <w:color w:val="auto"/>
        </w:rPr>
        <w:t>Share</w:t>
      </w:r>
      <w:r>
        <w:rPr>
          <w:rFonts w:ascii="Times New Roman" w:cs="Times New Roman" w:eastAsia="Times New Roman" w:hAnsi="Times New Roman"/>
          <w:sz w:val="20"/>
          <w:szCs w:val="20"/>
          <w:color w:val="auto"/>
        </w:rPr>
        <w:t>”), subject to the terms and conditions hereof, on the date(s) specified herein. Capitalized terms not otherwise defined herein shall have the same meanings as in the Plan and the Certificate of Grant.</w:t>
      </w:r>
    </w:p>
    <w:p>
      <w:pPr>
        <w:spacing w:after="0" w:line="196" w:lineRule="exact"/>
        <w:rPr>
          <w:rFonts w:ascii="Times New Roman" w:cs="Times New Roman" w:eastAsia="Times New Roman" w:hAnsi="Times New Roman"/>
          <w:sz w:val="20"/>
          <w:szCs w:val="20"/>
          <w:color w:val="auto"/>
        </w:rPr>
      </w:pPr>
    </w:p>
    <w:p>
      <w:pPr>
        <w:ind w:left="1160" w:hanging="568"/>
        <w:spacing w:after="0"/>
        <w:tabs>
          <w:tab w:leader="none" w:pos="116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Performance and Service Vesting Conditions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240" w:right="1520"/>
        <w:spacing w:after="0" w:line="227" w:lineRule="auto"/>
        <w:rPr>
          <w:sz w:val="20"/>
          <w:szCs w:val="20"/>
          <w:color w:val="auto"/>
        </w:rPr>
      </w:pPr>
      <w:r>
        <w:rPr>
          <w:rFonts w:ascii="Times New Roman" w:cs="Times New Roman" w:eastAsia="Times New Roman" w:hAnsi="Times New Roman"/>
          <w:sz w:val="19"/>
          <w:szCs w:val="19"/>
          <w:color w:val="auto"/>
        </w:rPr>
        <w:t>Subject to the remainder of the terms and conditions of this Award, so long as the Participant continues Employment through the Vesting Date the Participant shall (a) earn, and be eligible to become vested in, a</w:t>
      </w:r>
    </w:p>
    <w:p>
      <w:pPr>
        <w:ind w:left="1240"/>
        <w:spacing w:after="0" w:line="211" w:lineRule="auto"/>
        <w:rPr>
          <w:sz w:val="20"/>
          <w:szCs w:val="20"/>
          <w:color w:val="auto"/>
        </w:rPr>
      </w:pPr>
      <w:r>
        <w:rPr>
          <w:rFonts w:ascii="Times New Roman" w:cs="Times New Roman" w:eastAsia="Times New Roman" w:hAnsi="Times New Roman"/>
          <w:sz w:val="20"/>
          <w:szCs w:val="20"/>
          <w:color w:val="auto"/>
        </w:rPr>
        <w:t>number of PSUs (if any) equal to a percentage of the Target Number of PSUs based on the level of the</w:t>
      </w:r>
    </w:p>
    <w:p>
      <w:pPr>
        <w:spacing w:after="0" w:line="1" w:lineRule="exact"/>
        <w:rPr>
          <w:sz w:val="20"/>
          <w:szCs w:val="20"/>
          <w:color w:val="auto"/>
        </w:rPr>
      </w:pPr>
    </w:p>
    <w:p>
      <w:pPr>
        <w:ind w:left="1240" w:right="1160"/>
        <w:spacing w:after="0" w:line="204" w:lineRule="auto"/>
        <w:rPr>
          <w:sz w:val="20"/>
          <w:szCs w:val="20"/>
          <w:color w:val="auto"/>
        </w:rPr>
      </w:pPr>
      <w:r>
        <w:rPr>
          <w:rFonts w:ascii="Times New Roman" w:cs="Times New Roman" w:eastAsia="Times New Roman" w:hAnsi="Times New Roman"/>
          <w:sz w:val="20"/>
          <w:szCs w:val="20"/>
          <w:color w:val="auto"/>
        </w:rPr>
        <w:t>Company’s achievement of the performance conditions, with respect to the applicable performance period (the “</w:t>
      </w:r>
      <w:r>
        <w:rPr>
          <w:rFonts w:ascii="Times New Roman" w:cs="Times New Roman" w:eastAsia="Times New Roman" w:hAnsi="Times New Roman"/>
          <w:sz w:val="20"/>
          <w:szCs w:val="20"/>
          <w:u w:val="single" w:color="auto"/>
          <w:color w:val="auto"/>
        </w:rPr>
        <w:t>Performance Period</w:t>
      </w:r>
      <w:r>
        <w:rPr>
          <w:rFonts w:ascii="Times New Roman" w:cs="Times New Roman" w:eastAsia="Times New Roman" w:hAnsi="Times New Roman"/>
          <w:sz w:val="20"/>
          <w:szCs w:val="20"/>
          <w:color w:val="auto"/>
        </w:rPr>
        <w:t xml:space="preserve">”), each as set forth on </w:t>
      </w: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color w:val="auto"/>
        </w:rPr>
        <w:t>, on the date such achievement is certified by the</w:t>
      </w:r>
    </w:p>
    <w:p>
      <w:pPr>
        <w:spacing w:after="0" w:line="1" w:lineRule="exact"/>
        <w:rPr>
          <w:sz w:val="20"/>
          <w:szCs w:val="20"/>
          <w:color w:val="auto"/>
        </w:rPr>
      </w:pPr>
    </w:p>
    <w:p>
      <w:pPr>
        <w:ind w:left="1240" w:right="1360"/>
        <w:spacing w:after="0" w:line="221" w:lineRule="auto"/>
        <w:rPr>
          <w:sz w:val="20"/>
          <w:szCs w:val="20"/>
          <w:color w:val="auto"/>
        </w:rPr>
      </w:pPr>
      <w:r>
        <w:rPr>
          <w:rFonts w:ascii="Times New Roman" w:cs="Times New Roman" w:eastAsia="Times New Roman" w:hAnsi="Times New Roman"/>
          <w:sz w:val="20"/>
          <w:szCs w:val="20"/>
          <w:color w:val="auto"/>
        </w:rPr>
        <w:t>Committee following the end of the Performance Period (the “</w:t>
      </w:r>
      <w:r>
        <w:rPr>
          <w:rFonts w:ascii="Times New Roman" w:cs="Times New Roman" w:eastAsia="Times New Roman" w:hAnsi="Times New Roman"/>
          <w:sz w:val="20"/>
          <w:szCs w:val="20"/>
          <w:u w:val="single" w:color="auto"/>
          <w:color w:val="auto"/>
        </w:rPr>
        <w:t>Determination Date</w:t>
      </w:r>
      <w:r>
        <w:rPr>
          <w:rFonts w:ascii="Times New Roman" w:cs="Times New Roman" w:eastAsia="Times New Roman" w:hAnsi="Times New Roman"/>
          <w:sz w:val="20"/>
          <w:szCs w:val="20"/>
          <w:color w:val="auto"/>
        </w:rPr>
        <w:t>”) (such number of PSUs, once established, the “</w:t>
      </w:r>
      <w:r>
        <w:rPr>
          <w:rFonts w:ascii="Times New Roman" w:cs="Times New Roman" w:eastAsia="Times New Roman" w:hAnsi="Times New Roman"/>
          <w:sz w:val="20"/>
          <w:szCs w:val="20"/>
          <w:u w:val="single" w:color="auto"/>
          <w:color w:val="auto"/>
        </w:rPr>
        <w:t>Earned PSUs</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1160" w:hanging="568"/>
        <w:spacing w:after="0"/>
        <w:tabs>
          <w:tab w:leader="none" w:pos="116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Shares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720" w:right="1260" w:hanging="558"/>
        <w:spacing w:after="0" w:line="224" w:lineRule="auto"/>
        <w:tabs>
          <w:tab w:leader="none" w:pos="1711" w:val="left"/>
        </w:tabs>
        <w:numPr>
          <w:ilvl w:val="2"/>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subject to the remainder of this Award, transfer to the Participant a number of Shares of the Company equal to the number (if any) of Earned PSUs under this Award on or as soon as practicable following the Vesting Date (so long as the Participant remains employed with the Company or any of its Affiliates through the Vesting Date), or at such other times as provided in Section 3(b) or</w:t>
      </w:r>
    </w:p>
    <w:p>
      <w:pPr>
        <w:spacing w:after="0" w:line="2" w:lineRule="exact"/>
        <w:rPr>
          <w:rFonts w:ascii="Times New Roman" w:cs="Times New Roman" w:eastAsia="Times New Roman" w:hAnsi="Times New Roman"/>
          <w:sz w:val="19"/>
          <w:szCs w:val="19"/>
          <w:color w:val="auto"/>
        </w:rPr>
      </w:pPr>
    </w:p>
    <w:p>
      <w:pPr>
        <w:ind w:left="1720" w:right="1280" w:firstLine="8"/>
        <w:spacing w:after="0" w:line="221" w:lineRule="auto"/>
        <w:tabs>
          <w:tab w:leader="none" w:pos="1989" w:val="left"/>
        </w:tabs>
        <w:numPr>
          <w:ilvl w:val="3"/>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below (in whole Shares only with the Participant receiving a cash payment equal to the Fair Market Value of any fractional Share on or about the transfer date.</w:t>
      </w:r>
    </w:p>
    <w:p>
      <w:pPr>
        <w:spacing w:after="0" w:line="283" w:lineRule="exact"/>
        <w:rPr>
          <w:rFonts w:ascii="Times New Roman" w:cs="Times New Roman" w:eastAsia="Times New Roman" w:hAnsi="Times New Roman"/>
          <w:sz w:val="20"/>
          <w:szCs w:val="20"/>
          <w:color w:val="auto"/>
        </w:rPr>
      </w:pPr>
    </w:p>
    <w:p>
      <w:pPr>
        <w:ind w:left="1380" w:hanging="563"/>
        <w:spacing w:after="0"/>
        <w:tabs>
          <w:tab w:leader="none" w:pos="1380"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Section 3(a) of this Award,</w:t>
      </w:r>
    </w:p>
    <w:p>
      <w:pPr>
        <w:spacing w:after="0" w:line="215" w:lineRule="exact"/>
        <w:rPr>
          <w:rFonts w:ascii="Times New Roman" w:cs="Times New Roman" w:eastAsia="Times New Roman" w:hAnsi="Times New Roman"/>
          <w:sz w:val="20"/>
          <w:szCs w:val="20"/>
          <w:color w:val="auto"/>
        </w:rPr>
      </w:pPr>
    </w:p>
    <w:p>
      <w:pPr>
        <w:ind w:left="2440" w:right="1080" w:hanging="641"/>
        <w:spacing w:after="0" w:line="210" w:lineRule="auto"/>
        <w:tabs>
          <w:tab w:leader="none" w:pos="2438" w:val="left"/>
        </w:tabs>
        <w:numPr>
          <w:ilvl w:val="4"/>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Participant’s Disability (a “</w:t>
      </w:r>
      <w:r>
        <w:rPr>
          <w:rFonts w:ascii="Times New Roman" w:cs="Times New Roman" w:eastAsia="Times New Roman" w:hAnsi="Times New Roman"/>
          <w:sz w:val="20"/>
          <w:szCs w:val="20"/>
          <w:u w:val="single" w:color="auto"/>
          <w:color w:val="auto"/>
        </w:rPr>
        <w:t>Special Termination</w:t>
      </w:r>
      <w:r>
        <w:rPr>
          <w:rFonts w:ascii="Times New Roman" w:cs="Times New Roman" w:eastAsia="Times New Roman" w:hAnsi="Times New Roman"/>
          <w:sz w:val="20"/>
          <w:szCs w:val="20"/>
          <w:color w:val="auto"/>
        </w:rPr>
        <w:t>”), which occurs prior to the Vesting Date, the PSUs shall remain outstanding and unvested through the later of the Determination Date, and the date of such Special Termination, and the Specified Portion (as defined below) of the Earned PSUs (if any) scheduled to vest on the Vesting Date shall become vested PSUs as of the later of the Determination Date and the date of such Special Termination; and Shares equal to such number of Earned PSUs shall be transferred on or as soon as practicable following the later of the Determination Date and the date of such Special Termination, and the remaining PSUs which do not become vested pursuant to this clause (i) shall be automatically forfeited; for purposes of this Section 3(b)(i), the term “</w:t>
      </w:r>
      <w:r>
        <w:rPr>
          <w:rFonts w:ascii="Times New Roman" w:cs="Times New Roman" w:eastAsia="Times New Roman" w:hAnsi="Times New Roman"/>
          <w:sz w:val="20"/>
          <w:szCs w:val="20"/>
          <w:u w:val="single" w:color="auto"/>
          <w:color w:val="auto"/>
        </w:rPr>
        <w:t>Specified Portion</w:t>
      </w:r>
      <w:r>
        <w:rPr>
          <w:rFonts w:ascii="Times New Roman" w:cs="Times New Roman" w:eastAsia="Times New Roman" w:hAnsi="Times New Roman"/>
          <w:sz w:val="20"/>
          <w:szCs w:val="20"/>
          <w:color w:val="auto"/>
        </w:rPr>
        <w:t>” shall mean (x) one-third (1/3) if the Special Termination occurs prior to the beginning of the second fiscal year of the Performance Period, (y) two-thirds (2/3) if the Special Termination occurs on or after the beginning of the second fiscal year of the Performance Period and prior to the beginning of the third fiscal year of the Performance Period and (z) the entire amount if the Special Termination occurs on or after the beginning of the third fiscal year of the Performance Period;</w:t>
      </w:r>
    </w:p>
    <w:p>
      <w:pPr>
        <w:spacing w:after="0" w:line="206" w:lineRule="exact"/>
        <w:rPr>
          <w:rFonts w:ascii="Times New Roman" w:cs="Times New Roman" w:eastAsia="Times New Roman" w:hAnsi="Times New Roman"/>
          <w:sz w:val="20"/>
          <w:szCs w:val="20"/>
          <w:color w:val="auto"/>
        </w:rPr>
      </w:pPr>
    </w:p>
    <w:p>
      <w:pPr>
        <w:jc w:val="both"/>
        <w:ind w:left="2440" w:right="1260" w:hanging="641"/>
        <w:spacing w:after="0" w:line="226" w:lineRule="auto"/>
        <w:tabs>
          <w:tab w:leader="none" w:pos="2439" w:val="left"/>
        </w:tabs>
        <w:numPr>
          <w:ilvl w:val="4"/>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a Termination of Relationship as a result of the Participant’s Retirement with Notice (as defined below) which occurs prior to the Vesting Date, the PSUs shall remain outstanding and shall be treated as described in Section 3(b)(i) above,</w:t>
      </w:r>
    </w:p>
    <w:p>
      <w:pPr>
        <w:sectPr>
          <w:pgSz w:w="11900" w:h="16838" w:orient="portrait"/>
          <w:cols w:equalWidth="0" w:num="1">
            <w:col w:w="11160"/>
          </w:cols>
          <w:pgMar w:left="400" w:top="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Calibri" w:cs="Calibri" w:eastAsia="Calibri" w:hAnsi="Calibri"/>
          <w:sz w:val="19"/>
          <w:szCs w:val="19"/>
          <w:color w:val="auto"/>
        </w:rPr>
        <w:t>1</w:t>
      </w:r>
    </w:p>
    <w:p>
      <w:pPr>
        <w:sectPr>
          <w:pgSz w:w="11900" w:h="16838" w:orient="portrait"/>
          <w:cols w:equalWidth="0" w:num="1">
            <w:col w:w="11160"/>
          </w:cols>
          <w:pgMar w:left="400" w:top="78" w:right="339" w:bottom="1440" w:gutter="0" w:footer="0" w:header="0"/>
          <w:type w:val="continuous"/>
        </w:sectPr>
      </w:pPr>
    </w:p>
    <w:bookmarkStart w:id="142" w:name="page143"/>
    <w:bookmarkEnd w:id="142"/>
    <w:p>
      <w:pPr>
        <w:ind w:left="2440" w:right="399"/>
        <w:spacing w:after="0" w:line="222" w:lineRule="auto"/>
        <w:rPr>
          <w:sz w:val="20"/>
          <w:szCs w:val="20"/>
          <w:color w:val="auto"/>
        </w:rPr>
      </w:pPr>
      <w:r>
        <w:rPr>
          <w:rFonts w:ascii="Times New Roman" w:cs="Times New Roman" w:eastAsia="Times New Roman" w:hAnsi="Times New Roman"/>
          <w:sz w:val="20"/>
          <w:szCs w:val="20"/>
          <w:color w:val="auto"/>
        </w:rPr>
        <w:t>except that the term “Specified Portion” shall be deemed to mean (x) two-thirds (2/3) if the Retirement with Notice occurs prior to the beginning of the second fiscal year of the</w:t>
      </w:r>
    </w:p>
    <w:p>
      <w:pPr>
        <w:spacing w:after="0" w:line="2" w:lineRule="exact"/>
        <w:rPr>
          <w:sz w:val="20"/>
          <w:szCs w:val="20"/>
          <w:color w:val="auto"/>
        </w:rPr>
      </w:pPr>
    </w:p>
    <w:p>
      <w:pPr>
        <w:ind w:left="2440" w:right="119"/>
        <w:spacing w:after="0" w:line="221" w:lineRule="auto"/>
        <w:rPr>
          <w:sz w:val="20"/>
          <w:szCs w:val="20"/>
          <w:color w:val="auto"/>
        </w:rPr>
      </w:pPr>
      <w:r>
        <w:rPr>
          <w:rFonts w:ascii="Times New Roman" w:cs="Times New Roman" w:eastAsia="Times New Roman" w:hAnsi="Times New Roman"/>
          <w:sz w:val="20"/>
          <w:szCs w:val="20"/>
          <w:color w:val="auto"/>
        </w:rPr>
        <w:t>Performance Period, and (y) the entire amount if the Retirement with Notice occurs on or after the beginning of the second fiscal year of the Performance Period;</w:t>
      </w:r>
    </w:p>
    <w:p>
      <w:pPr>
        <w:spacing w:after="0" w:line="202" w:lineRule="exact"/>
        <w:rPr>
          <w:sz w:val="20"/>
          <w:szCs w:val="20"/>
          <w:color w:val="auto"/>
        </w:rPr>
      </w:pPr>
    </w:p>
    <w:p>
      <w:pPr>
        <w:ind w:left="2440" w:right="79" w:hanging="641"/>
        <w:spacing w:after="0" w:line="224" w:lineRule="auto"/>
        <w:tabs>
          <w:tab w:leader="none" w:pos="2440" w:val="left"/>
        </w:tabs>
        <w:numPr>
          <w:ilvl w:val="2"/>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Participant’s death or Delayed Retirement (as defined below), (A) which occurs prior to the Vesting Date, the PSUs shall remain outstanding and unvested through the later of the Determination Date and the date of Participant’s death or Delayed Retirement, and the installment of Earned PSUs (if any) scheduled to vest on the Vesting Date shall become vested PSUs as of the later of the Determination Date and the date of Participant’s death or Delayed Retirement and (B) which occurs after the Determination Date, the installment of Earned PSUs (if any) scheduled to vest on each remaining Vesting Date shall immediately become vested PSUs; and, in either case of (A) or (B), as applicable, Shares equal to the number of Earned PSUs scheduled to vest on the applicable Vesting Date shall be transferred, and the remaining PSUs which do not become vested pursuant to this Section shall be forfeited; and</w:t>
      </w:r>
    </w:p>
    <w:p>
      <w:pPr>
        <w:spacing w:after="0" w:line="12" w:lineRule="exact"/>
        <w:rPr>
          <w:rFonts w:ascii="Times New Roman" w:cs="Times New Roman" w:eastAsia="Times New Roman" w:hAnsi="Times New Roman"/>
          <w:sz w:val="19"/>
          <w:szCs w:val="19"/>
          <w:color w:val="auto"/>
        </w:rPr>
      </w:pPr>
    </w:p>
    <w:p>
      <w:pPr>
        <w:ind w:left="2440" w:hanging="641"/>
        <w:spacing w:after="0"/>
        <w:tabs>
          <w:tab w:leader="none" w:pos="2440" w:val="left"/>
        </w:tabs>
        <w:numPr>
          <w:ilvl w:val="2"/>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a Termination of Relationship for any reason other than as set forth in clauses (i), (ii) and</w:t>
      </w:r>
    </w:p>
    <w:p>
      <w:pPr>
        <w:spacing w:after="0" w:line="6" w:lineRule="exact"/>
        <w:rPr>
          <w:rFonts w:ascii="Times New Roman" w:cs="Times New Roman" w:eastAsia="Times New Roman" w:hAnsi="Times New Roman"/>
          <w:sz w:val="19"/>
          <w:szCs w:val="19"/>
          <w:color w:val="auto"/>
        </w:rPr>
      </w:pPr>
    </w:p>
    <w:p>
      <w:pPr>
        <w:ind w:left="2800" w:hanging="353"/>
        <w:spacing w:after="0"/>
        <w:tabs>
          <w:tab w:leader="none" w:pos="2800" w:val="left"/>
        </w:tabs>
        <w:numPr>
          <w:ilvl w:val="3"/>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above, all outstanding PSUs shall be forfeited and immediately cancelled.</w:t>
      </w:r>
    </w:p>
    <w:p>
      <w:pPr>
        <w:spacing w:after="0" w:line="153" w:lineRule="exact"/>
        <w:rPr>
          <w:rFonts w:ascii="Times New Roman" w:cs="Times New Roman" w:eastAsia="Times New Roman" w:hAnsi="Times New Roman"/>
          <w:sz w:val="20"/>
          <w:szCs w:val="20"/>
          <w:color w:val="auto"/>
        </w:rPr>
      </w:pPr>
    </w:p>
    <w:p>
      <w:pPr>
        <w:ind w:left="1380" w:right="119" w:hanging="562"/>
        <w:spacing w:after="0" w:line="217" w:lineRule="auto"/>
        <w:tabs>
          <w:tab w:leader="none" w:pos="1371"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Also notwithstanding Section 3(a) or (b) of this Award, in accordance with the terms of Section 13 of the Plan, in the event of a Termination of Relationship of the Participant by the Company or any of its Affiliates (or successors in interest) without Cause or by the Participant for Good Reason, in each case, that occurs within two years following a Change of Control, the following treatment (under clauses (i) or (ii), as applicable) will apply with respect to any then outstanding PSUs:</w:t>
      </w:r>
    </w:p>
    <w:p>
      <w:pPr>
        <w:spacing w:after="0" w:line="188" w:lineRule="exact"/>
        <w:rPr>
          <w:rFonts w:ascii="Times New Roman" w:cs="Times New Roman" w:eastAsia="Times New Roman" w:hAnsi="Times New Roman"/>
          <w:sz w:val="20"/>
          <w:szCs w:val="20"/>
          <w:color w:val="auto"/>
        </w:rPr>
      </w:pPr>
    </w:p>
    <w:p>
      <w:pPr>
        <w:ind w:left="2200" w:right="339" w:hanging="481"/>
        <w:spacing w:after="0" w:line="220" w:lineRule="auto"/>
        <w:tabs>
          <w:tab w:leader="none" w:pos="2188"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termination occurs prior to the end of the Performance Period, then such Performance Period (to the extent not completed) shall end as of such date, then the Target Number of PSUs shall become vested on the date of such Termination of Relationship, and a number of Shares equal to such number of PSUs shall be distributed to the Participant as soon as practicable following the date of such Termination of Relationship; or</w:t>
      </w:r>
    </w:p>
    <w:p>
      <w:pPr>
        <w:spacing w:after="0" w:line="174" w:lineRule="exact"/>
        <w:rPr>
          <w:rFonts w:ascii="Times New Roman" w:cs="Times New Roman" w:eastAsia="Times New Roman" w:hAnsi="Times New Roman"/>
          <w:sz w:val="20"/>
          <w:szCs w:val="20"/>
          <w:color w:val="auto"/>
        </w:rPr>
      </w:pPr>
    </w:p>
    <w:p>
      <w:pPr>
        <w:ind w:left="2200" w:right="139" w:hanging="481"/>
        <w:spacing w:after="0" w:line="220" w:lineRule="auto"/>
        <w:tabs>
          <w:tab w:leader="none" w:pos="2189"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termination occurs on or following the end of the Performance Period but prior to the Vesting Date, then the Earned PSUs (if any) shall immediately become vested on the date of such Termination of Relationship and a number of Shares equal to such number of Earned PSUs shall be distributed to the Participant as soon as practicable following the date of such Termination of Relationship;</w:t>
      </w:r>
    </w:p>
    <w:p>
      <w:pPr>
        <w:spacing w:after="0" w:line="18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Committee may determine that, in lieu of Shares and/or fractional Shares deliverable</w:t>
      </w:r>
    </w:p>
    <w:p>
      <w:pPr>
        <w:ind w:left="1380" w:right="39"/>
        <w:spacing w:after="0" w:line="221" w:lineRule="auto"/>
        <w:rPr>
          <w:sz w:val="20"/>
          <w:szCs w:val="20"/>
          <w:color w:val="auto"/>
        </w:rPr>
      </w:pPr>
      <w:r>
        <w:rPr>
          <w:rFonts w:ascii="Times New Roman" w:cs="Times New Roman" w:eastAsia="Times New Roman" w:hAnsi="Times New Roman"/>
          <w:sz w:val="20"/>
          <w:szCs w:val="20"/>
          <w:color w:val="auto"/>
        </w:rPr>
        <w:t>to the Participant under clauses (i) or (ii) above, the Participant shall receive a cash payment equal to the Fair Market Value of such Shares (or fractional Shares, as the case may be) on the Change of Control.</w:t>
      </w:r>
    </w:p>
    <w:p>
      <w:pPr>
        <w:spacing w:after="0" w:line="202" w:lineRule="exact"/>
        <w:rPr>
          <w:sz w:val="20"/>
          <w:szCs w:val="20"/>
          <w:color w:val="auto"/>
        </w:rPr>
      </w:pPr>
    </w:p>
    <w:p>
      <w:pPr>
        <w:ind w:left="1720" w:right="99" w:hanging="558"/>
        <w:spacing w:after="0" w:line="216" w:lineRule="auto"/>
        <w:tabs>
          <w:tab w:leader="none" w:pos="1709"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each vesting event of any Earned PSUs and the corresponding transfer of Shares as a result thereof, in each case in accordance with Sections 3(a), 3(b) or 3(c) of this Award, as applicable, the Earned PSUs with respect to which Shares have been transferred hereunder shall be extinguished on the relevant transfer dates. In compliance with Section 409A of the Code, in no event shall any transfer occur later than March 15 of the calendar year following the calendar year in which the applicable vesting event occurs under this Award.</w:t>
      </w:r>
    </w:p>
    <w:p>
      <w:pPr>
        <w:spacing w:after="0" w:line="189" w:lineRule="exact"/>
        <w:rPr>
          <w:rFonts w:ascii="Times New Roman" w:cs="Times New Roman" w:eastAsia="Times New Roman" w:hAnsi="Times New Roman"/>
          <w:sz w:val="20"/>
          <w:szCs w:val="20"/>
          <w:color w:val="auto"/>
        </w:rPr>
      </w:pPr>
    </w:p>
    <w:p>
      <w:pPr>
        <w:ind w:left="1720" w:right="159" w:hanging="558"/>
        <w:spacing w:after="0" w:line="216" w:lineRule="auto"/>
        <w:tabs>
          <w:tab w:leader="none" w:pos="1711"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used herein: (i) the term “Retirement with Notice” means the Participant’s Termination of Relationship due to his retirement from the Company and its Affiliates after providing the Company with at least 12 months’ prior written notice of such intended retirement (and with such notice having been delivered upon or after the Participant’s attainment of age 62) after achieving (consecutively, disregarding breaks in service, or a combination thereof) at least five (5) full years of employment with the Company and its Affiliates (which</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alibri" w:cs="Calibri" w:eastAsia="Calibri" w:hAnsi="Calibri"/>
          <w:sz w:val="20"/>
          <w:szCs w:val="20"/>
          <w:color w:val="auto"/>
        </w:rPr>
        <w:t>2</w:t>
      </w:r>
    </w:p>
    <w:p>
      <w:pPr>
        <w:sectPr>
          <w:pgSz w:w="11900" w:h="16838" w:orient="portrait"/>
          <w:cols w:equalWidth="0" w:num="1">
            <w:col w:w="10059"/>
          </w:cols>
          <w:pgMar w:left="400" w:top="1251" w:right="1440" w:bottom="1440" w:gutter="0" w:footer="0" w:header="0"/>
        </w:sectPr>
      </w:pPr>
    </w:p>
    <w:bookmarkStart w:id="143" w:name="page144"/>
    <w:bookmarkEnd w:id="143"/>
    <w:p>
      <w:pPr>
        <w:ind w:left="1720" w:right="719"/>
        <w:spacing w:after="0" w:line="234" w:lineRule="auto"/>
        <w:rPr>
          <w:sz w:val="20"/>
          <w:szCs w:val="20"/>
          <w:color w:val="auto"/>
        </w:rPr>
      </w:pPr>
      <w:r>
        <w:rPr>
          <w:rFonts w:ascii="Times New Roman" w:cs="Times New Roman" w:eastAsia="Times New Roman" w:hAnsi="Times New Roman"/>
          <w:sz w:val="19"/>
          <w:szCs w:val="19"/>
          <w:color w:val="auto"/>
        </w:rPr>
        <w:t>condition Participant has, based on previous years of service as an employee with the Company, satisfied as of the date hereof, such that Participant is eligible as of the date hereof to effect a</w:t>
      </w:r>
    </w:p>
    <w:p>
      <w:pPr>
        <w:spacing w:after="0" w:line="1" w:lineRule="exact"/>
        <w:rPr>
          <w:sz w:val="20"/>
          <w:szCs w:val="20"/>
          <w:color w:val="auto"/>
        </w:rPr>
      </w:pPr>
    </w:p>
    <w:p>
      <w:pPr>
        <w:ind w:left="1720" w:right="219"/>
        <w:spacing w:after="0" w:line="215" w:lineRule="auto"/>
        <w:rPr>
          <w:sz w:val="20"/>
          <w:szCs w:val="20"/>
          <w:color w:val="auto"/>
        </w:rPr>
      </w:pPr>
      <w:r>
        <w:rPr>
          <w:rFonts w:ascii="Times New Roman" w:cs="Times New Roman" w:eastAsia="Times New Roman" w:hAnsi="Times New Roman"/>
          <w:sz w:val="19"/>
          <w:szCs w:val="19"/>
          <w:color w:val="auto"/>
        </w:rPr>
        <w:t>“Retirement with Notice” upon providing the requisite notice), and (ii) the term “Delayed Retirement” means the Participant’s Termination of Relationship due to his retirement from the Company and its</w:t>
      </w:r>
    </w:p>
    <w:p>
      <w:pPr>
        <w:ind w:left="1720"/>
        <w:spacing w:after="0" w:line="211" w:lineRule="auto"/>
        <w:rPr>
          <w:sz w:val="20"/>
          <w:szCs w:val="20"/>
          <w:color w:val="auto"/>
        </w:rPr>
      </w:pPr>
      <w:r>
        <w:rPr>
          <w:rFonts w:ascii="Times New Roman" w:cs="Times New Roman" w:eastAsia="Times New Roman" w:hAnsi="Times New Roman"/>
          <w:sz w:val="20"/>
          <w:szCs w:val="20"/>
          <w:color w:val="auto"/>
        </w:rPr>
        <w:t>Affiliates after providing the Company with at least 6 months’ prior written notice of such intended</w:t>
      </w:r>
    </w:p>
    <w:p>
      <w:pPr>
        <w:ind w:left="1720" w:right="419"/>
        <w:spacing w:after="0" w:line="215" w:lineRule="auto"/>
        <w:rPr>
          <w:sz w:val="20"/>
          <w:szCs w:val="20"/>
          <w:color w:val="auto"/>
        </w:rPr>
      </w:pPr>
      <w:r>
        <w:rPr>
          <w:rFonts w:ascii="Times New Roman" w:cs="Times New Roman" w:eastAsia="Times New Roman" w:hAnsi="Times New Roman"/>
          <w:sz w:val="19"/>
          <w:szCs w:val="19"/>
          <w:color w:val="auto"/>
        </w:rPr>
        <w:t xml:space="preserve">retirement on or after October 7, 2024 (or such earlier date as approved by the Committee in its sole discretion);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u w:val="single" w:color="auto"/>
          <w:color w:val="auto"/>
        </w:rPr>
        <w:t>however</w:t>
      </w:r>
      <w:r>
        <w:rPr>
          <w:rFonts w:ascii="Times New Roman" w:cs="Times New Roman" w:eastAsia="Times New Roman" w:hAnsi="Times New Roman"/>
          <w:sz w:val="19"/>
          <w:szCs w:val="19"/>
          <w:color w:val="auto"/>
        </w:rPr>
        <w:t>, that if the Company involuntarily terminates the Participant without</w:t>
      </w:r>
    </w:p>
    <w:p>
      <w:pPr>
        <w:ind w:left="1720"/>
        <w:spacing w:after="0" w:line="211" w:lineRule="auto"/>
        <w:rPr>
          <w:sz w:val="20"/>
          <w:szCs w:val="20"/>
          <w:color w:val="auto"/>
        </w:rPr>
      </w:pPr>
      <w:r>
        <w:rPr>
          <w:rFonts w:ascii="Times New Roman" w:cs="Times New Roman" w:eastAsia="Times New Roman" w:hAnsi="Times New Roman"/>
          <w:sz w:val="20"/>
          <w:szCs w:val="20"/>
          <w:color w:val="auto"/>
        </w:rPr>
        <w:t>Cause or the Participant dies or incurs a Disability after the Participant delivers the notice described in</w:t>
      </w:r>
    </w:p>
    <w:p>
      <w:pPr>
        <w:ind w:left="1720" w:right="119"/>
        <w:spacing w:after="0" w:line="215" w:lineRule="auto"/>
        <w:rPr>
          <w:sz w:val="20"/>
          <w:szCs w:val="20"/>
          <w:color w:val="auto"/>
        </w:rPr>
      </w:pPr>
      <w:r>
        <w:rPr>
          <w:rFonts w:ascii="Times New Roman" w:cs="Times New Roman" w:eastAsia="Times New Roman" w:hAnsi="Times New Roman"/>
          <w:sz w:val="19"/>
          <w:szCs w:val="19"/>
          <w:color w:val="auto"/>
        </w:rPr>
        <w:t>this sentence, such termination shall not fail to qualify as a “Retirement with Notice” or “Delayed Retirement”, as applicable, by virtue of the termination occurring less than the number of months of the</w:t>
      </w:r>
    </w:p>
    <w:p>
      <w:pPr>
        <w:ind w:left="1720"/>
        <w:spacing w:after="0" w:line="211" w:lineRule="auto"/>
        <w:rPr>
          <w:sz w:val="20"/>
          <w:szCs w:val="20"/>
          <w:color w:val="auto"/>
        </w:rPr>
      </w:pPr>
      <w:r>
        <w:rPr>
          <w:rFonts w:ascii="Times New Roman" w:cs="Times New Roman" w:eastAsia="Times New Roman" w:hAnsi="Times New Roman"/>
          <w:sz w:val="20"/>
          <w:szCs w:val="20"/>
          <w:color w:val="auto"/>
        </w:rPr>
        <w:t>notice period after the notice date, such that, for purposes of this Section 3, the Participant shall not be</w:t>
      </w:r>
    </w:p>
    <w:p>
      <w:pPr>
        <w:ind w:left="1720" w:right="199"/>
        <w:spacing w:after="0" w:line="215" w:lineRule="auto"/>
        <w:rPr>
          <w:sz w:val="20"/>
          <w:szCs w:val="20"/>
          <w:color w:val="auto"/>
        </w:rPr>
      </w:pPr>
      <w:r>
        <w:rPr>
          <w:rFonts w:ascii="Times New Roman" w:cs="Times New Roman" w:eastAsia="Times New Roman" w:hAnsi="Times New Roman"/>
          <w:sz w:val="19"/>
          <w:szCs w:val="19"/>
          <w:color w:val="auto"/>
        </w:rPr>
        <w:t xml:space="preserve">treated as having had a Termination of Relationship prior to the effective date of the Retirement with Notice or Delayed Retirement, as applicable; and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u w:val="single" w:color="auto"/>
          <w:color w:val="auto"/>
        </w:rPr>
        <w:t>further</w:t>
      </w:r>
      <w:r>
        <w:rPr>
          <w:rFonts w:ascii="Times New Roman" w:cs="Times New Roman" w:eastAsia="Times New Roman" w:hAnsi="Times New Roman"/>
          <w:sz w:val="19"/>
          <w:szCs w:val="19"/>
          <w:color w:val="auto"/>
        </w:rPr>
        <w:t>, that the Committee may, in its sole</w:t>
      </w:r>
    </w:p>
    <w:p>
      <w:pPr>
        <w:ind w:left="1720" w:right="519"/>
        <w:spacing w:after="0" w:line="228" w:lineRule="auto"/>
        <w:rPr>
          <w:sz w:val="20"/>
          <w:szCs w:val="20"/>
          <w:color w:val="auto"/>
        </w:rPr>
      </w:pPr>
      <w:r>
        <w:rPr>
          <w:rFonts w:ascii="Times New Roman" w:cs="Times New Roman" w:eastAsia="Times New Roman" w:hAnsi="Times New Roman"/>
          <w:sz w:val="20"/>
          <w:szCs w:val="20"/>
          <w:color w:val="auto"/>
        </w:rPr>
        <w:t>discretion, waive any such notice, in whole or in part, as may be required for Participant to effect a Retirement with Notice or Delayed Retirement.</w:t>
      </w:r>
    </w:p>
    <w:p>
      <w:pPr>
        <w:spacing w:after="0" w:line="176" w:lineRule="exact"/>
        <w:rPr>
          <w:sz w:val="20"/>
          <w:szCs w:val="20"/>
          <w:color w:val="auto"/>
        </w:rPr>
      </w:pPr>
    </w:p>
    <w:p>
      <w:pPr>
        <w:ind w:left="1160" w:hanging="568"/>
        <w:spacing w:after="0"/>
        <w:tabs>
          <w:tab w:leader="none" w:pos="116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720" w:right="179" w:hanging="558"/>
        <w:spacing w:after="0" w:line="215" w:lineRule="auto"/>
        <w:tabs>
          <w:tab w:leader="none" w:pos="1716"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on any date while PSUs are outstanding hereunder, the Company shall pay any dividend on the Shares (other than a dividend payable in Shares), the number of PSUs (if any) held by the Participant shall be increased by a number equal to: (a) the product of (x) the number of outstanding PSUs held by the Participant as of the related dividend record date, </w:t>
      </w:r>
      <w:r>
        <w:rPr>
          <w:rFonts w:ascii="Times New Roman" w:cs="Times New Roman" w:eastAsia="Times New Roman" w:hAnsi="Times New Roman"/>
          <w:sz w:val="20"/>
          <w:szCs w:val="20"/>
          <w:u w:val="single" w:color="auto"/>
          <w:color w:val="auto"/>
        </w:rPr>
        <w:t>multiplied</w:t>
      </w:r>
      <w:r>
        <w:rPr>
          <w:rFonts w:ascii="Times New Roman" w:cs="Times New Roman" w:eastAsia="Times New Roman" w:hAnsi="Times New Roman"/>
          <w:sz w:val="20"/>
          <w:szCs w:val="20"/>
          <w:color w:val="auto"/>
        </w:rPr>
        <w:t xml:space="preserve"> by (y) a dollar amount equal to the per Share amount of any cash dividend (or, in the case of any dividend payable in whole or in part other than in cash or Shares, the per Share value of such dividend, as determined in good faith by the Committee), divided by (b) the Fair Market Value of a Share on the payment date of such dividend.</w:t>
      </w:r>
    </w:p>
    <w:p>
      <w:pPr>
        <w:spacing w:after="0" w:line="191" w:lineRule="exact"/>
        <w:rPr>
          <w:rFonts w:ascii="Times New Roman" w:cs="Times New Roman" w:eastAsia="Times New Roman" w:hAnsi="Times New Roman"/>
          <w:sz w:val="20"/>
          <w:szCs w:val="20"/>
          <w:color w:val="auto"/>
        </w:rPr>
      </w:pPr>
    </w:p>
    <w:p>
      <w:pPr>
        <w:ind w:left="1720" w:right="279" w:hanging="558"/>
        <w:spacing w:after="0" w:line="215" w:lineRule="auto"/>
        <w:tabs>
          <w:tab w:leader="none" w:pos="1709"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dividend declared on Shares that is payable in the form of Shares, the number of PSUs, if any, held by the Participant shall be increased by a number equal to the product of (I) the number of outstanding PSUs held by the Participant as of the related dividend record date, multiplied by (II) the number of Shares (including any fraction thereof) payable as a dividend on a Share. Shares shall be transferred with respect to all additional PSUs granted pursuant to this Section 4 at the same time as Shares are transferred with respect to the Earned PSUs to which such additional PSUs were attributable.</w:t>
      </w:r>
    </w:p>
    <w:p>
      <w:pPr>
        <w:spacing w:after="0" w:line="191" w:lineRule="exact"/>
        <w:rPr>
          <w:rFonts w:ascii="Times New Roman" w:cs="Times New Roman" w:eastAsia="Times New Roman" w:hAnsi="Times New Roman"/>
          <w:sz w:val="20"/>
          <w:szCs w:val="20"/>
          <w:color w:val="auto"/>
        </w:rPr>
      </w:pPr>
    </w:p>
    <w:p>
      <w:pPr>
        <w:ind w:left="1720" w:right="119" w:hanging="558"/>
        <w:spacing w:after="0" w:line="224" w:lineRule="auto"/>
        <w:tabs>
          <w:tab w:leader="none" w:pos="1709" w:val="left"/>
        </w:tabs>
        <w:numPr>
          <w:ilvl w:val="1"/>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this Section 4, the number of PSUs held by the Participant as of the applicable dividend record date shall be deemed to equal (i) zero (0), if such dividend record date occurs prior to the Determination Date or (ii) the Earned PSUs (if any) (with any additional PSUs granted pursuant to this Section 4 to be added to the Earned PSUs held by Participant), if such dividend record date occurs after the Determination Date; provided that, if any dividend on Shares was paid by the Company during the period beginning on the Date of Grant and ending on the Determination Date, on the Determination Date, an additional number of PSUs calculated in accordance with this Section 4, assuming Participant had held the number of Earned PSUs (if any) on the record date of such dividend(s), shall be immediately added to the number of Earned PSUs established as of the Determination Date.</w:t>
      </w:r>
    </w:p>
    <w:p>
      <w:pPr>
        <w:spacing w:after="0" w:line="189" w:lineRule="exact"/>
        <w:rPr>
          <w:rFonts w:ascii="Times New Roman" w:cs="Times New Roman" w:eastAsia="Times New Roman" w:hAnsi="Times New Roman"/>
          <w:sz w:val="19"/>
          <w:szCs w:val="19"/>
          <w:color w:val="auto"/>
        </w:rPr>
      </w:pPr>
    </w:p>
    <w:p>
      <w:pPr>
        <w:jc w:val="both"/>
        <w:ind w:left="1240" w:right="359" w:hanging="646"/>
        <w:spacing w:after="0" w:line="222" w:lineRule="auto"/>
        <w:tabs>
          <w:tab w:leader="none" w:pos="124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Adjustments Upon Certain Events</w:t>
      </w:r>
      <w:r>
        <w:rPr>
          <w:rFonts w:ascii="Times New Roman" w:cs="Times New Roman" w:eastAsia="Times New Roman" w:hAnsi="Times New Roman"/>
          <w:sz w:val="20"/>
          <w:szCs w:val="20"/>
          <w:color w:val="auto"/>
        </w:rPr>
        <w:t>. In the event of any event described in Section 12 of the Plan occurring after the Date of Grant, the adjustment provisions (including cash payments) as provided for under Section 12 of the Plan shall apply (without duplication of any dividend adjustments reflected pursuant to Section 4 hereof).</w:t>
      </w:r>
    </w:p>
    <w:p>
      <w:pPr>
        <w:spacing w:after="0" w:line="202" w:lineRule="exact"/>
        <w:rPr>
          <w:rFonts w:ascii="Times New Roman" w:cs="Times New Roman" w:eastAsia="Times New Roman" w:hAnsi="Times New Roman"/>
          <w:sz w:val="20"/>
          <w:szCs w:val="20"/>
          <w:color w:val="auto"/>
        </w:rPr>
      </w:pPr>
    </w:p>
    <w:p>
      <w:pPr>
        <w:ind w:left="1240" w:right="159" w:hanging="646"/>
        <w:spacing w:after="0" w:line="222" w:lineRule="auto"/>
        <w:tabs>
          <w:tab w:leader="none" w:pos="124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Restriction on Transfer</w:t>
      </w:r>
      <w:r>
        <w:rPr>
          <w:rFonts w:ascii="Times New Roman" w:cs="Times New Roman" w:eastAsia="Times New Roman" w:hAnsi="Times New Roman"/>
          <w:sz w:val="20"/>
          <w:szCs w:val="20"/>
          <w:color w:val="auto"/>
        </w:rPr>
        <w:t>. The PSUs may not be transferred, pledged, assigned, hypothecated or otherwise disposed of in any way by the Participant, except (i) if permitted by the Board or the Committee, (ii) by will or the laws of descent and distribution or (iii) pursuant to beneficiary designation procedures approved by the Company, in each case in compliance with applicable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alibri" w:cs="Calibri" w:eastAsia="Calibri" w:hAnsi="Calibri"/>
          <w:sz w:val="20"/>
          <w:szCs w:val="20"/>
          <w:color w:val="auto"/>
        </w:rPr>
        <w:t>3</w:t>
      </w:r>
    </w:p>
    <w:p>
      <w:pPr>
        <w:sectPr>
          <w:pgSz w:w="11900" w:h="16838" w:orient="portrait"/>
          <w:cols w:equalWidth="0" w:num="1">
            <w:col w:w="10059"/>
          </w:cols>
          <w:pgMar w:left="400" w:top="1251" w:right="1440" w:bottom="1440" w:gutter="0" w:footer="0" w:header="0"/>
        </w:sectPr>
      </w:pPr>
    </w:p>
    <w:bookmarkStart w:id="144" w:name="page145"/>
    <w:bookmarkEnd w:id="144"/>
    <w:p>
      <w:pPr>
        <w:jc w:val="both"/>
        <w:ind w:left="1240" w:right="279"/>
        <w:spacing w:after="0" w:line="230" w:lineRule="auto"/>
        <w:rPr>
          <w:sz w:val="20"/>
          <w:szCs w:val="20"/>
          <w:color w:val="auto"/>
        </w:rPr>
      </w:pPr>
      <w:r>
        <w:rPr>
          <w:rFonts w:ascii="Times New Roman" w:cs="Times New Roman" w:eastAsia="Times New Roman" w:hAnsi="Times New Roman"/>
          <w:sz w:val="20"/>
          <w:szCs w:val="20"/>
          <w:color w:val="auto"/>
        </w:rPr>
        <w:t>laws. The PSUs shall not be subject to execution, attachment or similar process. Any attempted assignment, transfer, pledge, hypothecation or other disposition of the PSUs contrary to the provisions of this Award or the Plan shall be null and void and without effect.</w:t>
      </w:r>
    </w:p>
    <w:p>
      <w:pPr>
        <w:spacing w:after="0" w:line="185" w:lineRule="exact"/>
        <w:rPr>
          <w:sz w:val="20"/>
          <w:szCs w:val="20"/>
          <w:color w:val="auto"/>
        </w:rPr>
      </w:pPr>
    </w:p>
    <w:p>
      <w:pPr>
        <w:jc w:val="both"/>
        <w:ind w:left="1160" w:right="399" w:hanging="567"/>
        <w:spacing w:after="0" w:line="227" w:lineRule="auto"/>
        <w:tabs>
          <w:tab w:leader="none" w:pos="1158"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Data Protection. By accepting this Award, the Participant understands that the processing (including international transfer) of personal data will take place as set out in Exhibit A attached hereto for the purposes specified therein and if required by applicable law, rule or regulation</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left="1160" w:right="279" w:hanging="567"/>
        <w:spacing w:after="0" w:line="222" w:lineRule="auto"/>
        <w:tabs>
          <w:tab w:leader="none" w:pos="1158"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Participant’s Employment</w:t>
      </w:r>
      <w:r>
        <w:rPr>
          <w:rFonts w:ascii="Times New Roman" w:cs="Times New Roman" w:eastAsia="Times New Roman" w:hAnsi="Times New Roman"/>
          <w:sz w:val="20"/>
          <w:szCs w:val="20"/>
          <w:color w:val="auto"/>
        </w:rPr>
        <w:t>. Nothing in this Award or in the PSU shall confer upon the Participant any right to continue in the employ of the Company or any of its Affiliates or interfere in any way with the right of the Company and its Affiliates, in their sole discretion, to terminate the Participant’s employment or to increase or decrease the Participant’s compensation at any time.</w:t>
      </w:r>
    </w:p>
    <w:p>
      <w:pPr>
        <w:spacing w:after="0" w:line="198" w:lineRule="exact"/>
        <w:rPr>
          <w:rFonts w:ascii="Times New Roman" w:cs="Times New Roman" w:eastAsia="Times New Roman" w:hAnsi="Times New Roman"/>
          <w:sz w:val="20"/>
          <w:szCs w:val="20"/>
          <w:color w:val="auto"/>
        </w:rPr>
      </w:pPr>
    </w:p>
    <w:p>
      <w:pPr>
        <w:ind w:left="1240" w:right="159" w:hanging="646"/>
        <w:spacing w:after="0" w:line="213" w:lineRule="auto"/>
        <w:tabs>
          <w:tab w:leader="none" w:pos="124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Acquired Rights</w:t>
      </w:r>
      <w:r>
        <w:rPr>
          <w:rFonts w:ascii="Times New Roman" w:cs="Times New Roman" w:eastAsia="Times New Roman" w:hAnsi="Times New Roman"/>
          <w:sz w:val="20"/>
          <w:szCs w:val="20"/>
          <w:color w:val="auto"/>
        </w:rPr>
        <w:t>. The Committee or the Board has the power to amend or terminate the Plan at any time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the opportunity given to the Participant to participate in the Plan and the grant of this Award is entirely at the discretion of the Committee or the Board and does not obligate the Company or any of its Affiliates to offer such participation in the future (whether on the same or different terms). The Participant’s participation in the Plan and the receipt of this Award is outside the terms of the Participant’s regular contract of employment and is therefore not to be considered part of any normal or expected compensation and that the termination of the Participant’s employment under any circumstances whatsoever will give the Participant no claim or right of action against the Company or its Affiliates in respect of any loss of rights under this Award or the Plan that may arise as a result of such termination of employment.</w:t>
      </w:r>
    </w:p>
    <w:p>
      <w:pPr>
        <w:spacing w:after="0" w:line="192" w:lineRule="exact"/>
        <w:rPr>
          <w:rFonts w:ascii="Times New Roman" w:cs="Times New Roman" w:eastAsia="Times New Roman" w:hAnsi="Times New Roman"/>
          <w:sz w:val="20"/>
          <w:szCs w:val="20"/>
          <w:color w:val="auto"/>
        </w:rPr>
      </w:pPr>
    </w:p>
    <w:p>
      <w:pPr>
        <w:ind w:left="1160" w:right="199" w:hanging="567"/>
        <w:spacing w:after="0"/>
        <w:tabs>
          <w:tab w:leader="none" w:pos="1149"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Rights of a Stockholder</w:t>
      </w:r>
      <w:r>
        <w:rPr>
          <w:rFonts w:ascii="Times New Roman" w:cs="Times New Roman" w:eastAsia="Times New Roman" w:hAnsi="Times New Roman"/>
          <w:sz w:val="20"/>
          <w:szCs w:val="20"/>
          <w:color w:val="auto"/>
        </w:rPr>
        <w:t>. The Participant shall not have any rights as a stockholder of the Company until the Shares in question have been registered in the Company’s register of stockholders.</w:t>
      </w:r>
    </w:p>
    <w:p>
      <w:pPr>
        <w:spacing w:after="0" w:line="188" w:lineRule="exact"/>
        <w:rPr>
          <w:rFonts w:ascii="Times New Roman" w:cs="Times New Roman" w:eastAsia="Times New Roman" w:hAnsi="Times New Roman"/>
          <w:sz w:val="20"/>
          <w:szCs w:val="20"/>
          <w:color w:val="auto"/>
        </w:rPr>
      </w:pPr>
    </w:p>
    <w:p>
      <w:pPr>
        <w:ind w:left="1140" w:hanging="548"/>
        <w:spacing w:after="0"/>
        <w:tabs>
          <w:tab w:leader="none" w:pos="114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w:t>
      </w:r>
    </w:p>
    <w:p>
      <w:pPr>
        <w:spacing w:after="0" w:line="40" w:lineRule="exact"/>
        <w:rPr>
          <w:rFonts w:ascii="Times New Roman" w:cs="Times New Roman" w:eastAsia="Times New Roman" w:hAnsi="Times New Roman"/>
          <w:sz w:val="20"/>
          <w:szCs w:val="20"/>
          <w:color w:val="auto"/>
        </w:rPr>
      </w:pPr>
    </w:p>
    <w:p>
      <w:pPr>
        <w:ind w:left="1900" w:right="179" w:hanging="658"/>
        <w:spacing w:after="0" w:line="212" w:lineRule="auto"/>
        <w:tabs>
          <w:tab w:leader="none" w:pos="1898"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will pay, or make provisions satisfactory to the Company for payment of any federal, state, local and other applicable taxes required to be withheld in connection with any issuance or transfer of Shares under this Award and to take such action as may be necessary in the opinion of the Company to satisfy all obligations for the payment of such taxes. If Participant has not made payment for applicable taxes, such taxes shall be paid by withholding Shares from the issuance or transfer of Shares due under this Award, rounded down to the nearest whole Share, with the balance to be paid in cash or withheld from compensation or other amount owing to the Participant from the Company or any Affiliate, and the Company and any such Affiliate is hereby authorized to withhold such amounts from any such issuance, transfer, compensation or other amount owing to the Participant.</w:t>
      </w:r>
    </w:p>
    <w:p>
      <w:pPr>
        <w:spacing w:after="0" w:line="209" w:lineRule="exact"/>
        <w:rPr>
          <w:rFonts w:ascii="Times New Roman" w:cs="Times New Roman" w:eastAsia="Times New Roman" w:hAnsi="Times New Roman"/>
          <w:sz w:val="20"/>
          <w:szCs w:val="20"/>
          <w:color w:val="auto"/>
        </w:rPr>
      </w:pPr>
    </w:p>
    <w:p>
      <w:pPr>
        <w:ind w:left="1900" w:right="199" w:hanging="658"/>
        <w:spacing w:after="0" w:line="227" w:lineRule="auto"/>
        <w:tabs>
          <w:tab w:leader="none" w:pos="1898" w:val="left"/>
        </w:tabs>
        <w:numPr>
          <w:ilvl w:val="1"/>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Participant’s employment with the Company terminates prior to the issuance or transfer of any remaining Shares due to be issued or transferred to the Participant under this Award, the payment of any applicable withholding taxes with respect to any such issuance or transfer shall be made through the withholding of Shares from such issuance or transfer, rounded down to the nearest whole Share, with the balance to be paid in cash or withheld from compensation or other amount owing to the Participant from the Company or any Affiliate, as provided in Section 11(a) above.</w:t>
      </w:r>
    </w:p>
    <w:p>
      <w:pPr>
        <w:spacing w:after="0" w:line="191" w:lineRule="exact"/>
        <w:rPr>
          <w:rFonts w:ascii="Times New Roman" w:cs="Times New Roman" w:eastAsia="Times New Roman" w:hAnsi="Times New Roman"/>
          <w:sz w:val="19"/>
          <w:szCs w:val="19"/>
          <w:color w:val="auto"/>
        </w:rPr>
      </w:pPr>
    </w:p>
    <w:p>
      <w:pPr>
        <w:ind w:left="1160" w:right="1159" w:hanging="567"/>
        <w:spacing w:after="0"/>
        <w:tabs>
          <w:tab w:leader="none" w:pos="1149"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 of the Code</w:t>
      </w:r>
      <w:r>
        <w:rPr>
          <w:rFonts w:ascii="Times New Roman" w:cs="Times New Roman" w:eastAsia="Times New Roman" w:hAnsi="Times New Roman"/>
          <w:sz w:val="20"/>
          <w:szCs w:val="20"/>
          <w:color w:val="auto"/>
        </w:rPr>
        <w:t>. The provisions of Section 14(v) of the Plan are hereby incorporated by reference and made a part hereof.</w:t>
      </w:r>
    </w:p>
    <w:p>
      <w:pPr>
        <w:spacing w:after="0" w:line="188" w:lineRule="exact"/>
        <w:rPr>
          <w:rFonts w:ascii="Times New Roman" w:cs="Times New Roman" w:eastAsia="Times New Roman" w:hAnsi="Times New Roman"/>
          <w:sz w:val="20"/>
          <w:szCs w:val="20"/>
          <w:color w:val="auto"/>
        </w:rPr>
      </w:pPr>
    </w:p>
    <w:p>
      <w:pPr>
        <w:jc w:val="both"/>
        <w:ind w:left="1160" w:right="159" w:hanging="567"/>
        <w:spacing w:after="0" w:line="230" w:lineRule="auto"/>
        <w:tabs>
          <w:tab w:leader="none" w:pos="1149"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PSUs Subject to Plan</w:t>
      </w:r>
      <w:r>
        <w:rPr>
          <w:rFonts w:ascii="Times New Roman" w:cs="Times New Roman" w:eastAsia="Times New Roman" w:hAnsi="Times New Roman"/>
          <w:sz w:val="20"/>
          <w:szCs w:val="20"/>
          <w:color w:val="auto"/>
        </w:rPr>
        <w:t>. All PSUs are subject to the Plan. In the event of a conflict between any term or provision contained herein and a term or provision of the Plan, the applicable terms and provisions of the Plan will govern and prevail.</w:t>
      </w:r>
    </w:p>
    <w:p>
      <w:pPr>
        <w:spacing w:after="0" w:line="189" w:lineRule="exact"/>
        <w:rPr>
          <w:rFonts w:ascii="Times New Roman" w:cs="Times New Roman" w:eastAsia="Times New Roman" w:hAnsi="Times New Roman"/>
          <w:sz w:val="20"/>
          <w:szCs w:val="20"/>
          <w:color w:val="auto"/>
        </w:rPr>
      </w:pPr>
    </w:p>
    <w:p>
      <w:pPr>
        <w:ind w:left="1240" w:right="319" w:hanging="646"/>
        <w:spacing w:after="0" w:line="233" w:lineRule="auto"/>
        <w:tabs>
          <w:tab w:leader="none" w:pos="1231"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claims, certifications, requests, demands and other communications hereunder shall be in writing and shall be deemed to have been duly given and delivered if</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alibri" w:cs="Calibri" w:eastAsia="Calibri" w:hAnsi="Calibri"/>
          <w:sz w:val="20"/>
          <w:szCs w:val="20"/>
          <w:color w:val="auto"/>
        </w:rPr>
        <w:t>4</w:t>
      </w:r>
    </w:p>
    <w:p>
      <w:pPr>
        <w:sectPr>
          <w:pgSz w:w="11900" w:h="16838" w:orient="portrait"/>
          <w:cols w:equalWidth="0" w:num="1">
            <w:col w:w="10059"/>
          </w:cols>
          <w:pgMar w:left="400" w:top="1251" w:right="1440" w:bottom="1440" w:gutter="0" w:footer="0" w:header="0"/>
        </w:sectPr>
      </w:pPr>
    </w:p>
    <w:bookmarkStart w:id="145" w:name="page146"/>
    <w:bookmarkEnd w:id="145"/>
    <w:p>
      <w:pPr>
        <w:ind w:left="1240" w:right="199"/>
        <w:spacing w:after="0"/>
        <w:rPr>
          <w:sz w:val="20"/>
          <w:szCs w:val="20"/>
          <w:color w:val="auto"/>
        </w:rPr>
      </w:pPr>
      <w:r>
        <w:rPr>
          <w:rFonts w:ascii="Times New Roman" w:cs="Times New Roman" w:eastAsia="Times New Roman" w:hAnsi="Times New Roman"/>
          <w:sz w:val="20"/>
          <w:szCs w:val="20"/>
          <w:color w:val="auto"/>
        </w:rPr>
        <w:t>personally delivered or if sent by nationally-recognized overnight courier, by telecopy, email or by registered or certified mail, return receipt requested and postage prepaid, addressed as follows:</w:t>
      </w:r>
    </w:p>
    <w:p>
      <w:pPr>
        <w:spacing w:after="0" w:line="200" w:lineRule="exact"/>
        <w:rPr>
          <w:sz w:val="20"/>
          <w:szCs w:val="20"/>
          <w:color w:val="auto"/>
        </w:rPr>
      </w:pPr>
    </w:p>
    <w:p>
      <w:pPr>
        <w:spacing w:after="0" w:line="24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0"/>
          <w:szCs w:val="20"/>
          <w:color w:val="auto"/>
        </w:rPr>
        <w:t>If to the Company, to:</w:t>
      </w:r>
    </w:p>
    <w:p>
      <w:pPr>
        <w:spacing w:after="0" w:line="210"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0"/>
          <w:szCs w:val="20"/>
          <w:color w:val="auto"/>
        </w:rPr>
        <w:t>Aramark</w:t>
      </w:r>
    </w:p>
    <w:p>
      <w:pPr>
        <w:ind w:left="1880"/>
        <w:spacing w:after="0" w:line="211" w:lineRule="auto"/>
        <w:rPr>
          <w:sz w:val="20"/>
          <w:szCs w:val="20"/>
          <w:color w:val="auto"/>
        </w:rPr>
      </w:pPr>
      <w:r>
        <w:rPr>
          <w:rFonts w:ascii="Times New Roman" w:cs="Times New Roman" w:eastAsia="Times New Roman" w:hAnsi="Times New Roman"/>
          <w:sz w:val="20"/>
          <w:szCs w:val="20"/>
          <w:color w:val="auto"/>
        </w:rPr>
        <w:t>2400 Market Street</w:t>
      </w:r>
    </w:p>
    <w:p>
      <w:pPr>
        <w:ind w:left="1880"/>
        <w:spacing w:after="0" w:line="197" w:lineRule="auto"/>
        <w:rPr>
          <w:sz w:val="20"/>
          <w:szCs w:val="20"/>
          <w:color w:val="auto"/>
        </w:rPr>
      </w:pPr>
      <w:r>
        <w:rPr>
          <w:rFonts w:ascii="Times New Roman" w:cs="Times New Roman" w:eastAsia="Times New Roman" w:hAnsi="Times New Roman"/>
          <w:sz w:val="20"/>
          <w:szCs w:val="20"/>
          <w:color w:val="auto"/>
        </w:rPr>
        <w:t>Philadelphia, Pennsylvania 19103 Attention:</w:t>
      </w:r>
    </w:p>
    <w:p>
      <w:pPr>
        <w:spacing w:after="0" w:line="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0"/>
          <w:szCs w:val="20"/>
          <w:color w:val="auto"/>
        </w:rPr>
        <w:t>General Counsel</w:t>
      </w:r>
    </w:p>
    <w:p>
      <w:pPr>
        <w:spacing w:after="0" w:line="19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If to the Participant, to him or her at the address set forth on the signature page hereto; or to such other address</w:t>
      </w:r>
    </w:p>
    <w:p>
      <w:pPr>
        <w:spacing w:after="0" w:line="6" w:lineRule="exact"/>
        <w:rPr>
          <w:sz w:val="20"/>
          <w:szCs w:val="20"/>
          <w:color w:val="auto"/>
        </w:rPr>
      </w:pPr>
    </w:p>
    <w:p>
      <w:pPr>
        <w:ind w:left="1240" w:right="319"/>
        <w:spacing w:after="0" w:line="215" w:lineRule="auto"/>
        <w:rPr>
          <w:sz w:val="20"/>
          <w:szCs w:val="20"/>
          <w:color w:val="auto"/>
        </w:rPr>
      </w:pPr>
      <w:r>
        <w:rPr>
          <w:rFonts w:ascii="Times New Roman" w:cs="Times New Roman" w:eastAsia="Times New Roman" w:hAnsi="Times New Roman"/>
          <w:sz w:val="19"/>
          <w:szCs w:val="19"/>
          <w:color w:val="auto"/>
        </w:rPr>
        <w:t>as the party to whom notice is to be given may have furnished to the other party in writing in accordance herewith. Any such notice or other communication shall be deemed to have been received (a) in the case of</w:t>
      </w:r>
    </w:p>
    <w:p>
      <w:pPr>
        <w:ind w:left="1240"/>
        <w:spacing w:after="0" w:line="211" w:lineRule="auto"/>
        <w:rPr>
          <w:sz w:val="20"/>
          <w:szCs w:val="20"/>
          <w:color w:val="auto"/>
        </w:rPr>
      </w:pPr>
      <w:r>
        <w:rPr>
          <w:rFonts w:ascii="Times New Roman" w:cs="Times New Roman" w:eastAsia="Times New Roman" w:hAnsi="Times New Roman"/>
          <w:sz w:val="20"/>
          <w:szCs w:val="20"/>
          <w:color w:val="auto"/>
        </w:rPr>
        <w:t>personal delivery, on the date of such delivery (or if such date is not a business day, on the next business day</w:t>
      </w:r>
    </w:p>
    <w:p>
      <w:pPr>
        <w:ind w:left="1240" w:right="139"/>
        <w:spacing w:after="0" w:line="215" w:lineRule="auto"/>
        <w:rPr>
          <w:sz w:val="20"/>
          <w:szCs w:val="20"/>
          <w:color w:val="auto"/>
        </w:rPr>
      </w:pPr>
      <w:r>
        <w:rPr>
          <w:rFonts w:ascii="Times New Roman" w:cs="Times New Roman" w:eastAsia="Times New Roman" w:hAnsi="Times New Roman"/>
          <w:sz w:val="19"/>
          <w:szCs w:val="19"/>
          <w:color w:val="auto"/>
        </w:rPr>
        <w:t>after the date of delivery), (b) in the case of nationally-recognized overnight courier, on the next business day after the date sent, (c) in the case of telecopy transmission, when received (or if not sent on a business day, on</w:t>
      </w:r>
    </w:p>
    <w:p>
      <w:pPr>
        <w:ind w:left="1240" w:right="319"/>
        <w:spacing w:after="0" w:line="228" w:lineRule="auto"/>
        <w:rPr>
          <w:sz w:val="20"/>
          <w:szCs w:val="20"/>
          <w:color w:val="auto"/>
        </w:rPr>
      </w:pPr>
      <w:r>
        <w:rPr>
          <w:rFonts w:ascii="Times New Roman" w:cs="Times New Roman" w:eastAsia="Times New Roman" w:hAnsi="Times New Roman"/>
          <w:sz w:val="20"/>
          <w:szCs w:val="20"/>
          <w:color w:val="auto"/>
        </w:rPr>
        <w:t>the next business day after the date sent), and (d) in the case of mailing, on the third business day following that on which the piece of mail containing such communication is posted.</w:t>
      </w:r>
    </w:p>
    <w:p>
      <w:pPr>
        <w:spacing w:after="0" w:line="189" w:lineRule="exact"/>
        <w:rPr>
          <w:sz w:val="20"/>
          <w:szCs w:val="20"/>
          <w:color w:val="auto"/>
        </w:rPr>
      </w:pPr>
    </w:p>
    <w:p>
      <w:pPr>
        <w:ind w:left="1160" w:right="439" w:hanging="567"/>
        <w:spacing w:after="0"/>
        <w:tabs>
          <w:tab w:leader="none" w:pos="1149"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Breach</w:t>
      </w:r>
      <w:r>
        <w:rPr>
          <w:rFonts w:ascii="Times New Roman" w:cs="Times New Roman" w:eastAsia="Times New Roman" w:hAnsi="Times New Roman"/>
          <w:sz w:val="20"/>
          <w:szCs w:val="20"/>
          <w:color w:val="auto"/>
        </w:rPr>
        <w:t>. The waiver by either party of a breach of any provision of this Award must be in writing and shall not operate or be construed as a waiver of any other or subsequent breach.</w:t>
      </w:r>
    </w:p>
    <w:p>
      <w:pPr>
        <w:spacing w:after="0" w:line="188" w:lineRule="exact"/>
        <w:rPr>
          <w:rFonts w:ascii="Times New Roman" w:cs="Times New Roman" w:eastAsia="Times New Roman" w:hAnsi="Times New Roman"/>
          <w:sz w:val="20"/>
          <w:szCs w:val="20"/>
          <w:color w:val="auto"/>
        </w:rPr>
      </w:pPr>
    </w:p>
    <w:p>
      <w:pPr>
        <w:ind w:left="1160" w:right="119" w:hanging="567"/>
        <w:spacing w:after="0" w:line="213" w:lineRule="auto"/>
        <w:tabs>
          <w:tab w:leader="none" w:pos="1149"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xml:space="preserve"> THIS AWARD WILL BE GOVERNED BY AND CONSTRUED IN ACCORDANCE WITH THE LAWS OF THE STATE OF NEW YORK, WITHOUT GIVING EFFECT TO ANY CHOICE OR CONFLICT OF LAW PROVISION OR RULE (WHETHER OF THE STATE OF NEW YORK OR ANY OTHER JURISDICTION) THAT WOULD CAUSE THE LAWS OF ANY JURISDICTION OTHER THAN THE STATE OF NEW YORK TO BE APPLIED. IN FURTHERANCE OF THE FOREGOING, THE INTERNAL LAW OF THE STATE OF NEW YORK WILL CONTROL THE INTERPRETATION AND CONSTRUCTION OF THIS AWARD, EVEN IF UNDER SUCH JURISDICTION’S CHOICE OF LAW OR CONFLICT OF LAW ANALYSIS, THE SUBSTANTIVE LAW OF SOME OTHER JURISDICTION WOULD ORDINARILY APPLY.</w:t>
      </w:r>
    </w:p>
    <w:p>
      <w:pPr>
        <w:spacing w:after="0" w:line="201" w:lineRule="exact"/>
        <w:rPr>
          <w:rFonts w:ascii="Times New Roman" w:cs="Times New Roman" w:eastAsia="Times New Roman" w:hAnsi="Times New Roman"/>
          <w:sz w:val="20"/>
          <w:szCs w:val="20"/>
          <w:color w:val="auto"/>
        </w:rPr>
      </w:pPr>
    </w:p>
    <w:p>
      <w:pPr>
        <w:ind w:left="1240" w:right="239" w:hanging="646"/>
        <w:spacing w:after="0" w:line="217" w:lineRule="auto"/>
        <w:tabs>
          <w:tab w:leader="none" w:pos="1231"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Modification of Rights; Entire Agreement</w:t>
      </w:r>
      <w:r>
        <w:rPr>
          <w:rFonts w:ascii="Times New Roman" w:cs="Times New Roman" w:eastAsia="Times New Roman" w:hAnsi="Times New Roman"/>
          <w:sz w:val="20"/>
          <w:szCs w:val="20"/>
          <w:color w:val="auto"/>
        </w:rPr>
        <w:t>. The Participant’s rights under this Award and the Plan may be modified only to the extent expressly provided under this Award or under Sections 14(a) and (b) of the Plan. This Award and the Plan (and the other writings referred to herein) constitute the entire agreement between the parties with respect to the subject matter hereof and thereof and supersede all prior written or oral negotiations, commitments, representations and agreements with respect thereto.</w:t>
      </w:r>
    </w:p>
    <w:p>
      <w:pPr>
        <w:spacing w:after="0" w:line="202" w:lineRule="exact"/>
        <w:rPr>
          <w:rFonts w:ascii="Times New Roman" w:cs="Times New Roman" w:eastAsia="Times New Roman" w:hAnsi="Times New Roman"/>
          <w:sz w:val="20"/>
          <w:szCs w:val="20"/>
          <w:color w:val="auto"/>
        </w:rPr>
      </w:pPr>
    </w:p>
    <w:p>
      <w:pPr>
        <w:ind w:left="1240" w:right="179" w:hanging="646"/>
        <w:spacing w:after="0" w:line="224" w:lineRule="auto"/>
        <w:tabs>
          <w:tab w:leader="none" w:pos="1231"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It is the desire and intent of the parties hereto that the provisions of this Award be enforced to the fullest extent permissible under the laws and public policies applied in each jurisdiction in which enforcement is sought. Accordingly, if any particular provision of this Award shall be adjudicated by a court of competent jurisdiction to be invalid, prohibited or unenforceable for any reason, such provision, as to such jurisdiction, shall be ineffective, without invalidating the remaining provisions of this Award or affecting the validity or enforceability of such provision in any other jurisdiction. Notwithstanding the foregoing, if such provision could be more narrowly drawn so as not to be invalid, prohibited or unenforceable in such jurisdiction, it shall, as to such jurisdiction, be so narrowly drawn, without invalidating the remaining provisions of this Award or affecting the validity or enforceability of such provision in any other jurisdiction.</w:t>
      </w:r>
    </w:p>
    <w:p>
      <w:pPr>
        <w:spacing w:after="0" w:line="3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Name: [see Certificate of Grant - Participant]</w:t>
      </w:r>
    </w:p>
    <w:p>
      <w:pPr>
        <w:spacing w:after="0" w:line="229" w:lineRule="exact"/>
        <w:rPr>
          <w:sz w:val="20"/>
          <w:szCs w:val="20"/>
          <w:color w:val="auto"/>
        </w:rPr>
      </w:pPr>
    </w:p>
    <w:p>
      <w:pPr>
        <w:ind w:left="1160"/>
        <w:spacing w:after="0"/>
        <w:tabs>
          <w:tab w:leader="none" w:pos="176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19"/>
          <w:szCs w:val="19"/>
          <w:color w:val="auto"/>
        </w:rPr>
        <w:t>[Acceptance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alibri" w:cs="Calibri" w:eastAsia="Calibri" w:hAnsi="Calibri"/>
          <w:sz w:val="20"/>
          <w:szCs w:val="20"/>
          <w:color w:val="auto"/>
        </w:rPr>
        <w:t>5</w:t>
      </w:r>
    </w:p>
    <w:p>
      <w:pPr>
        <w:sectPr>
          <w:pgSz w:w="11900" w:h="16838" w:orient="portrait"/>
          <w:cols w:equalWidth="0" w:num="1">
            <w:col w:w="10059"/>
          </w:cols>
          <w:pgMar w:left="400" w:top="1251" w:right="1440" w:bottom="1440" w:gutter="0" w:footer="0" w:header="0"/>
        </w:sectPr>
      </w:pPr>
    </w:p>
    <w:bookmarkStart w:id="146" w:name="page147"/>
    <w:bookmarkEnd w:id="146"/>
    <w:p>
      <w:pPr>
        <w:jc w:val="right"/>
        <w:ind w:right="5319"/>
        <w:spacing w:after="0"/>
        <w:rPr>
          <w:sz w:val="20"/>
          <w:szCs w:val="20"/>
          <w:color w:val="auto"/>
        </w:rPr>
      </w:pPr>
      <w:r>
        <w:rPr>
          <w:rFonts w:ascii="Times New Roman" w:cs="Times New Roman" w:eastAsia="Times New Roman" w:hAnsi="Times New Roman"/>
          <w:sz w:val="20"/>
          <w:szCs w:val="20"/>
          <w:color w:val="auto"/>
        </w:rPr>
        <w:t>[Note: Grant will be accepted electronically.]</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alibri" w:cs="Calibri" w:eastAsia="Calibri" w:hAnsi="Calibri"/>
          <w:sz w:val="20"/>
          <w:szCs w:val="20"/>
          <w:color w:val="auto"/>
        </w:rPr>
        <w:t>6</w:t>
      </w:r>
    </w:p>
    <w:p>
      <w:pPr>
        <w:sectPr>
          <w:pgSz w:w="11900" w:h="16838" w:orient="portrait"/>
          <w:cols w:equalWidth="0" w:num="1">
            <w:col w:w="10059"/>
          </w:cols>
          <w:pgMar w:left="400" w:top="1264" w:right="1440" w:bottom="1440" w:gutter="0" w:footer="0" w:header="0"/>
        </w:sectPr>
      </w:pPr>
    </w:p>
    <w:bookmarkStart w:id="147" w:name="page148"/>
    <w:bookmarkEnd w:id="147"/>
    <w:p>
      <w:pPr>
        <w:jc w:val="center"/>
        <w:ind w:right="-1092"/>
        <w:spacing w:after="0"/>
        <w:rPr>
          <w:sz w:val="20"/>
          <w:szCs w:val="20"/>
          <w:color w:val="auto"/>
        </w:rPr>
      </w:pPr>
      <w:r>
        <w:rPr>
          <w:rFonts w:ascii="Times New Roman" w:cs="Times New Roman" w:eastAsia="Times New Roman" w:hAnsi="Times New Roman"/>
          <w:sz w:val="20"/>
          <w:szCs w:val="20"/>
          <w:b w:val="1"/>
          <w:bCs w:val="1"/>
          <w:color w:val="auto"/>
        </w:rPr>
        <w:t>Exhibit A</w:t>
      </w:r>
    </w:p>
    <w:p>
      <w:pPr>
        <w:jc w:val="center"/>
        <w:ind w:right="-1092"/>
        <w:spacing w:after="0"/>
        <w:rPr>
          <w:sz w:val="20"/>
          <w:szCs w:val="20"/>
          <w:color w:val="auto"/>
        </w:rPr>
      </w:pPr>
      <w:r>
        <w:rPr>
          <w:rFonts w:ascii="Times New Roman" w:cs="Times New Roman" w:eastAsia="Times New Roman" w:hAnsi="Times New Roman"/>
          <w:sz w:val="20"/>
          <w:szCs w:val="20"/>
          <w:b w:val="1"/>
          <w:bCs w:val="1"/>
          <w:color w:val="auto"/>
        </w:rPr>
        <w:t>DATA PRIVACY NOTICE</w:t>
      </w:r>
    </w:p>
    <w:p>
      <w:pPr>
        <w:spacing w:after="0" w:line="221" w:lineRule="exact"/>
        <w:rPr>
          <w:sz w:val="20"/>
          <w:szCs w:val="20"/>
          <w:color w:val="auto"/>
        </w:rPr>
      </w:pPr>
    </w:p>
    <w:p>
      <w:pPr>
        <w:ind w:left="1212" w:right="259" w:hanging="645"/>
        <w:spacing w:after="0" w:line="212" w:lineRule="auto"/>
        <w:tabs>
          <w:tab w:leader="none" w:pos="1209"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By participating in the Plan or accepting any rights granted under it, the Participant understands that the Company and its Affiliates and/or agents collect, use, store and process personal data relating to the Participant to fulfill their obligations and exercise their rights under the Plan, issue certificates (if any), statements and communications relating to the Plan and generally administer and manage the Plan, including keeping records of participation levels from time to time. Any such processing will take place as described in this data privacy notice (“</w:t>
      </w:r>
      <w:r>
        <w:rPr>
          <w:rFonts w:ascii="Times New Roman" w:cs="Times New Roman" w:eastAsia="Times New Roman" w:hAnsi="Times New Roman"/>
          <w:sz w:val="20"/>
          <w:szCs w:val="20"/>
          <w:u w:val="single" w:color="auto"/>
          <w:color w:val="auto"/>
        </w:rPr>
        <w:t>Data Privacy Notice</w:t>
      </w:r>
      <w:r>
        <w:rPr>
          <w:rFonts w:ascii="Times New Roman" w:cs="Times New Roman" w:eastAsia="Times New Roman" w:hAnsi="Times New Roman"/>
          <w:sz w:val="20"/>
          <w:szCs w:val="20"/>
          <w:color w:val="auto"/>
        </w:rPr>
        <w:t>”).</w:t>
      </w:r>
    </w:p>
    <w:p>
      <w:pPr>
        <w:spacing w:after="0" w:line="205" w:lineRule="exact"/>
        <w:rPr>
          <w:rFonts w:ascii="Times New Roman" w:cs="Times New Roman" w:eastAsia="Times New Roman" w:hAnsi="Times New Roman"/>
          <w:sz w:val="22"/>
          <w:szCs w:val="22"/>
          <w:color w:val="auto"/>
        </w:rPr>
      </w:pPr>
    </w:p>
    <w:p>
      <w:pPr>
        <w:ind w:left="1212"/>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These data will include data:</w:t>
      </w:r>
    </w:p>
    <w:p>
      <w:pPr>
        <w:spacing w:after="0" w:line="215" w:lineRule="exact"/>
        <w:rPr>
          <w:rFonts w:ascii="Times New Roman" w:cs="Times New Roman" w:eastAsia="Times New Roman" w:hAnsi="Times New Roman"/>
          <w:sz w:val="22"/>
          <w:szCs w:val="22"/>
          <w:color w:val="auto"/>
        </w:rPr>
      </w:pPr>
    </w:p>
    <w:p>
      <w:pPr>
        <w:ind w:left="1212" w:right="679" w:hanging="6"/>
        <w:spacing w:after="0" w:line="229" w:lineRule="auto"/>
        <w:tabs>
          <w:tab w:leader="none" w:pos="1933" w:val="left"/>
        </w:tabs>
        <w:numPr>
          <w:ilvl w:val="3"/>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already held in the Participant's records such as the Participant's name and address, ID number, payroll number, length of service and whether the Participant works full-time or part time;</w:t>
      </w:r>
    </w:p>
    <w:p>
      <w:pPr>
        <w:spacing w:after="0" w:line="214" w:lineRule="exact"/>
        <w:rPr>
          <w:rFonts w:ascii="Times New Roman" w:cs="Times New Roman" w:eastAsia="Times New Roman" w:hAnsi="Times New Roman"/>
          <w:sz w:val="22"/>
          <w:szCs w:val="22"/>
          <w:color w:val="auto"/>
        </w:rPr>
      </w:pPr>
    </w:p>
    <w:p>
      <w:pPr>
        <w:ind w:left="1932" w:hanging="717"/>
        <w:spacing w:after="0"/>
        <w:tabs>
          <w:tab w:leader="none" w:pos="1932" w:val="left"/>
        </w:tabs>
        <w:numPr>
          <w:ilvl w:val="3"/>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collected upon the Participant accepting the rights granted under the Plan (if applicable); and</w:t>
      </w:r>
    </w:p>
    <w:p>
      <w:pPr>
        <w:spacing w:after="0" w:line="206" w:lineRule="exact"/>
        <w:rPr>
          <w:rFonts w:ascii="Times New Roman" w:cs="Times New Roman" w:eastAsia="Times New Roman" w:hAnsi="Times New Roman"/>
          <w:sz w:val="22"/>
          <w:szCs w:val="22"/>
          <w:color w:val="auto"/>
        </w:rPr>
      </w:pPr>
    </w:p>
    <w:p>
      <w:pPr>
        <w:ind w:left="1212" w:hanging="484"/>
        <w:spacing w:after="0"/>
        <w:tabs>
          <w:tab w:leader="none" w:pos="1212" w:val="left"/>
        </w:tabs>
        <w:numPr>
          <w:ilvl w:val="2"/>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subsequently collected</w:t>
      </w:r>
    </w:p>
    <w:p>
      <w:pPr>
        <w:spacing w:after="0" w:line="206" w:lineRule="exact"/>
        <w:rPr>
          <w:rFonts w:ascii="Times New Roman" w:cs="Times New Roman" w:eastAsia="Times New Roman" w:hAnsi="Times New Roman"/>
          <w:sz w:val="22"/>
          <w:szCs w:val="22"/>
          <w:color w:val="auto"/>
        </w:rPr>
      </w:pPr>
    </w:p>
    <w:p>
      <w:pPr>
        <w:ind w:left="1212" w:right="139"/>
        <w:spacing w:after="0" w:line="22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by the Company or any of its Affiliates and/or agents in relation to the Participant's continued participation in the Plan, for example, data about shares offered or received, purchased or sold under the Plan from time to time and other appropriate financial and other data about the Participant and his or her participation in the Plan (e.g., the date on which the shares were granted, termination of employment and the reasons of termination of employment or retirement of the Participant).</w:t>
      </w:r>
    </w:p>
    <w:p>
      <w:pPr>
        <w:spacing w:after="0" w:line="200" w:lineRule="exact"/>
        <w:rPr>
          <w:rFonts w:ascii="Times New Roman" w:cs="Times New Roman" w:eastAsia="Times New Roman" w:hAnsi="Times New Roman"/>
          <w:sz w:val="22"/>
          <w:szCs w:val="22"/>
          <w:color w:val="auto"/>
        </w:rPr>
      </w:pPr>
    </w:p>
    <w:p>
      <w:pPr>
        <w:spacing w:after="0" w:line="325" w:lineRule="exact"/>
        <w:rPr>
          <w:rFonts w:ascii="Times New Roman" w:cs="Times New Roman" w:eastAsia="Times New Roman" w:hAnsi="Times New Roman"/>
          <w:sz w:val="22"/>
          <w:szCs w:val="22"/>
          <w:color w:val="auto"/>
        </w:rPr>
      </w:pPr>
    </w:p>
    <w:p>
      <w:pPr>
        <w:ind w:left="1212" w:right="239" w:hanging="564"/>
        <w:spacing w:after="0" w:line="204" w:lineRule="auto"/>
        <w:tabs>
          <w:tab w:leader="none" w:pos="1209"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Personal data about the Participant as described in paragraph (a) above may be transferred not only within the country in which the Participant is based from time to time or within the European Economic Area</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(“EEA”), but also worldwide, to other Affiliates and/or agents and to the following third parties for the purposes described in paragraph (a) above:</w:t>
      </w:r>
    </w:p>
    <w:p>
      <w:pPr>
        <w:spacing w:after="0" w:line="216" w:lineRule="exact"/>
        <w:rPr>
          <w:rFonts w:ascii="Times New Roman" w:cs="Times New Roman" w:eastAsia="Times New Roman" w:hAnsi="Times New Roman"/>
          <w:sz w:val="22"/>
          <w:szCs w:val="22"/>
          <w:color w:val="auto"/>
        </w:rPr>
      </w:pPr>
    </w:p>
    <w:p>
      <w:pPr>
        <w:ind w:left="1212" w:right="639" w:firstLine="3"/>
        <w:spacing w:after="0" w:line="218" w:lineRule="auto"/>
        <w:tabs>
          <w:tab w:leader="none" w:pos="1929" w:val="left"/>
        </w:tabs>
        <w:numPr>
          <w:ilvl w:val="3"/>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Plan administrators, transfer agents, auditors, brokers, agents and contractors of, and third party service providers to, the Company or its Affiliates such as printers and mail houses engaged to print or distribute notices or communications about the Plan;</w:t>
      </w:r>
    </w:p>
    <w:p>
      <w:pPr>
        <w:spacing w:after="0" w:line="216" w:lineRule="exact"/>
        <w:rPr>
          <w:rFonts w:ascii="Times New Roman" w:cs="Times New Roman" w:eastAsia="Times New Roman" w:hAnsi="Times New Roman"/>
          <w:sz w:val="22"/>
          <w:szCs w:val="22"/>
          <w:color w:val="auto"/>
        </w:rPr>
      </w:pPr>
    </w:p>
    <w:p>
      <w:pPr>
        <w:ind w:left="1212" w:right="1199" w:firstLine="3"/>
        <w:spacing w:after="0" w:line="229" w:lineRule="auto"/>
        <w:tabs>
          <w:tab w:leader="none" w:pos="1936" w:val="left"/>
        </w:tabs>
        <w:numPr>
          <w:ilvl w:val="3"/>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regulators, tax authorities, stock or security exchanges and other supervisory, regulatory, governmental or public bodies as required by law;</w:t>
      </w:r>
    </w:p>
    <w:p>
      <w:pPr>
        <w:spacing w:after="0" w:line="172" w:lineRule="exact"/>
        <w:rPr>
          <w:rFonts w:ascii="Times New Roman" w:cs="Times New Roman" w:eastAsia="Times New Roman" w:hAnsi="Times New Roman"/>
          <w:sz w:val="22"/>
          <w:szCs w:val="22"/>
          <w:color w:val="auto"/>
        </w:rPr>
      </w:pPr>
    </w:p>
    <w:p>
      <w:pPr>
        <w:ind w:left="1932" w:hanging="717"/>
        <w:spacing w:after="0"/>
        <w:tabs>
          <w:tab w:leader="none" w:pos="1932" w:val="left"/>
        </w:tabs>
        <w:numPr>
          <w:ilvl w:val="3"/>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actual or proposed merger or acquisition partners or proposed assignees of, or those taking or</w:t>
      </w:r>
    </w:p>
    <w:p>
      <w:pPr>
        <w:ind w:left="1212" w:right="139"/>
        <w:spacing w:after="0" w:line="22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proposing to take security over, the business or assets or stock of the Company or its Affiliates and their agents and contractors;</w:t>
      </w:r>
    </w:p>
    <w:p>
      <w:pPr>
        <w:spacing w:after="0" w:line="202" w:lineRule="exact"/>
        <w:rPr>
          <w:rFonts w:ascii="Times New Roman" w:cs="Times New Roman" w:eastAsia="Times New Roman" w:hAnsi="Times New Roman"/>
          <w:sz w:val="22"/>
          <w:szCs w:val="22"/>
          <w:color w:val="auto"/>
        </w:rPr>
      </w:pPr>
    </w:p>
    <w:p>
      <w:pPr>
        <w:ind w:left="1212" w:right="1299" w:firstLine="3"/>
        <w:spacing w:after="0" w:line="223" w:lineRule="auto"/>
        <w:tabs>
          <w:tab w:leader="none" w:pos="1935" w:val="left"/>
        </w:tabs>
        <w:numPr>
          <w:ilvl w:val="3"/>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other third parties to whom the Company or its Affiliates and/or agents may need to communicate/transfer the data in connection with the administration of the Plan, under a duty of confidentiality to the Company and its Affiliates; and</w:t>
      </w:r>
    </w:p>
    <w:p>
      <w:pPr>
        <w:spacing w:after="0" w:line="201" w:lineRule="exact"/>
        <w:rPr>
          <w:rFonts w:ascii="Times New Roman" w:cs="Times New Roman" w:eastAsia="Times New Roman" w:hAnsi="Times New Roman"/>
          <w:sz w:val="22"/>
          <w:szCs w:val="22"/>
          <w:color w:val="auto"/>
        </w:rPr>
      </w:pPr>
    </w:p>
    <w:p>
      <w:pPr>
        <w:ind w:left="1212" w:right="839" w:firstLine="3"/>
        <w:spacing w:after="0" w:line="229" w:lineRule="auto"/>
        <w:tabs>
          <w:tab w:leader="none" w:pos="1941" w:val="left"/>
        </w:tabs>
        <w:numPr>
          <w:ilvl w:val="3"/>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Participant's family members, heirs, legatees and others associated with the Participant in connection with the Plan.</w:t>
      </w:r>
    </w:p>
    <w:p>
      <w:pPr>
        <w:spacing w:after="0" w:line="182" w:lineRule="exact"/>
        <w:rPr>
          <w:sz w:val="20"/>
          <w:szCs w:val="20"/>
          <w:color w:val="auto"/>
        </w:rPr>
      </w:pPr>
    </w:p>
    <w:p>
      <w:pPr>
        <w:ind w:left="1212"/>
        <w:spacing w:after="0"/>
        <w:rPr>
          <w:sz w:val="20"/>
          <w:szCs w:val="20"/>
          <w:color w:val="auto"/>
        </w:rPr>
      </w:pPr>
      <w:r>
        <w:rPr>
          <w:rFonts w:ascii="Times New Roman" w:cs="Times New Roman" w:eastAsia="Times New Roman" w:hAnsi="Times New Roman"/>
          <w:sz w:val="20"/>
          <w:szCs w:val="20"/>
          <w:color w:val="auto"/>
        </w:rPr>
        <w:t>Not all countries, where the personal data may be processed or transferred to, have an equal level of data</w:t>
      </w:r>
    </w:p>
    <w:p>
      <w:pPr>
        <w:ind w:left="1212" w:right="199"/>
        <w:spacing w:after="0" w:line="221" w:lineRule="auto"/>
        <w:rPr>
          <w:sz w:val="20"/>
          <w:szCs w:val="20"/>
          <w:color w:val="auto"/>
        </w:rPr>
      </w:pPr>
      <w:r>
        <w:rPr>
          <w:rFonts w:ascii="Times New Roman" w:cs="Times New Roman" w:eastAsia="Times New Roman" w:hAnsi="Times New Roman"/>
          <w:sz w:val="20"/>
          <w:szCs w:val="20"/>
          <w:color w:val="auto"/>
        </w:rPr>
        <w:t>protection as in Canada, the EU or EEA. Countries to which data are transferred include the United States and Bermuda. The Company, as the responsible data controller of any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17145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4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84" w:lineRule="exact"/>
        <w:rPr>
          <w:sz w:val="20"/>
          <w:szCs w:val="20"/>
          <w:color w:val="auto"/>
        </w:rPr>
      </w:pPr>
    </w:p>
    <w:p>
      <w:pPr>
        <w:ind w:left="112" w:hanging="112"/>
        <w:spacing w:after="0"/>
        <w:tabs>
          <w:tab w:leader="none" w:pos="112" w:val="left"/>
        </w:tabs>
        <w:numPr>
          <w:ilvl w:val="0"/>
          <w:numId w:val="1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European Economic Area is composed of 27 member states of the European Union plus Iceland, Liechtenstein and Norway.</w:t>
      </w:r>
    </w:p>
    <w:p>
      <w:pPr>
        <w:sectPr>
          <w:pgSz w:w="11900" w:h="16838" w:orient="portrait"/>
          <w:cols w:equalWidth="0" w:num="1">
            <w:col w:w="10131"/>
          </w:cols>
          <w:pgMar w:left="328" w:top="136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2"/>
        <w:spacing w:after="0"/>
        <w:rPr>
          <w:sz w:val="20"/>
          <w:szCs w:val="20"/>
          <w:color w:val="auto"/>
        </w:rPr>
      </w:pPr>
      <w:r>
        <w:rPr>
          <w:rFonts w:ascii="Calibri" w:cs="Calibri" w:eastAsia="Calibri" w:hAnsi="Calibri"/>
          <w:sz w:val="19"/>
          <w:szCs w:val="19"/>
          <w:color w:val="auto"/>
        </w:rPr>
        <w:t>7</w:t>
      </w:r>
    </w:p>
    <w:p>
      <w:pPr>
        <w:sectPr>
          <w:pgSz w:w="11900" w:h="16838" w:orient="portrait"/>
          <w:cols w:equalWidth="0" w:num="1">
            <w:col w:w="10131"/>
          </w:cols>
          <w:pgMar w:left="328" w:top="1367" w:right="1440" w:bottom="1440" w:gutter="0" w:footer="0" w:header="0"/>
          <w:type w:val="continuous"/>
        </w:sectPr>
      </w:pPr>
    </w:p>
    <w:bookmarkStart w:id="148" w:name="page149"/>
    <w:bookmarkEnd w:id="148"/>
    <w:p>
      <w:pPr>
        <w:ind w:left="1140" w:right="159"/>
        <w:spacing w:after="0" w:line="222" w:lineRule="auto"/>
        <w:rPr>
          <w:sz w:val="20"/>
          <w:szCs w:val="20"/>
          <w:color w:val="auto"/>
        </w:rPr>
      </w:pPr>
      <w:r>
        <w:rPr>
          <w:rFonts w:ascii="Times New Roman" w:cs="Times New Roman" w:eastAsia="Times New Roman" w:hAnsi="Times New Roman"/>
          <w:sz w:val="20"/>
          <w:szCs w:val="20"/>
          <w:color w:val="auto"/>
        </w:rPr>
        <w:t>processing for the purposes of the Plan, is located in the United States. For any transfers outside the country of origin of the personal data or with a third party, the Company will ensure that appropriate measures are in</w:t>
      </w:r>
    </w:p>
    <w:p>
      <w:pPr>
        <w:spacing w:after="0" w:line="2" w:lineRule="exact"/>
        <w:rPr>
          <w:sz w:val="20"/>
          <w:szCs w:val="20"/>
          <w:color w:val="auto"/>
        </w:rPr>
      </w:pPr>
    </w:p>
    <w:p>
      <w:pPr>
        <w:ind w:left="1140" w:right="699"/>
        <w:spacing w:after="0" w:line="221" w:lineRule="auto"/>
        <w:rPr>
          <w:sz w:val="20"/>
          <w:szCs w:val="20"/>
          <w:color w:val="auto"/>
        </w:rPr>
      </w:pPr>
      <w:r>
        <w:rPr>
          <w:rFonts w:ascii="Times New Roman" w:cs="Times New Roman" w:eastAsia="Times New Roman" w:hAnsi="Times New Roman"/>
          <w:sz w:val="20"/>
          <w:szCs w:val="20"/>
          <w:color w:val="auto"/>
        </w:rPr>
        <w:t>place to ensure an adequate level of protection for your personal data, including technical or contractual measures where necessary.</w:t>
      </w:r>
    </w:p>
    <w:p>
      <w:pPr>
        <w:spacing w:after="0" w:line="18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For European personal data, onward transfers of personal data within the United States and to Bermuda are</w:t>
      </w:r>
    </w:p>
    <w:p>
      <w:pPr>
        <w:ind w:left="1140" w:right="239"/>
        <w:spacing w:after="0" w:line="215" w:lineRule="auto"/>
        <w:rPr>
          <w:sz w:val="20"/>
          <w:szCs w:val="20"/>
          <w:color w:val="auto"/>
        </w:rPr>
      </w:pPr>
      <w:r>
        <w:rPr>
          <w:rFonts w:ascii="Times New Roman" w:cs="Times New Roman" w:eastAsia="Times New Roman" w:hAnsi="Times New Roman"/>
          <w:sz w:val="19"/>
          <w:szCs w:val="19"/>
          <w:color w:val="auto"/>
        </w:rPr>
        <w:t>generally undertaken with adequate safeguards in place to protect personal data, such as Standard Contractual Clauses issued by the European Commission, which are, where necessary, supplemented with additional</w:t>
      </w:r>
    </w:p>
    <w:p>
      <w:pPr>
        <w:ind w:left="1140"/>
        <w:spacing w:after="0"/>
        <w:rPr>
          <w:sz w:val="20"/>
          <w:szCs w:val="20"/>
          <w:color w:val="auto"/>
        </w:rPr>
      </w:pPr>
      <w:r>
        <w:rPr>
          <w:rFonts w:ascii="Times New Roman" w:cs="Times New Roman" w:eastAsia="Times New Roman" w:hAnsi="Times New Roman"/>
          <w:sz w:val="20"/>
          <w:szCs w:val="20"/>
          <w:color w:val="auto"/>
        </w:rPr>
        <w:t>measures to provide adequate protection of personal data.</w:t>
      </w:r>
    </w:p>
    <w:p>
      <w:pPr>
        <w:spacing w:after="0" w:line="194" w:lineRule="exact"/>
        <w:rPr>
          <w:sz w:val="20"/>
          <w:szCs w:val="20"/>
          <w:color w:val="auto"/>
        </w:rPr>
      </w:pPr>
    </w:p>
    <w:p>
      <w:pPr>
        <w:ind w:left="1140" w:right="179"/>
        <w:spacing w:after="0" w:line="233" w:lineRule="auto"/>
        <w:rPr>
          <w:sz w:val="20"/>
          <w:szCs w:val="20"/>
          <w:color w:val="auto"/>
        </w:rPr>
      </w:pPr>
      <w:r>
        <w:rPr>
          <w:rFonts w:ascii="Times New Roman" w:cs="Times New Roman" w:eastAsia="Times New Roman" w:hAnsi="Times New Roman"/>
          <w:sz w:val="20"/>
          <w:szCs w:val="20"/>
          <w:color w:val="auto"/>
        </w:rPr>
        <w:t>All national and international transfer of personal data is only done in order to fulfill the obligations and rights of the Company and/or its Affiliates under the Plan.</w:t>
      </w:r>
    </w:p>
    <w:p>
      <w:pPr>
        <w:spacing w:after="0" w:line="18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The Participant may access, modify, correct or delete personal data about the Participant, restrict or object to</w:t>
      </w:r>
    </w:p>
    <w:p>
      <w:pPr>
        <w:ind w:left="1140" w:right="639"/>
        <w:spacing w:after="0" w:line="215" w:lineRule="auto"/>
        <w:rPr>
          <w:sz w:val="20"/>
          <w:szCs w:val="20"/>
          <w:color w:val="auto"/>
        </w:rPr>
      </w:pPr>
      <w:r>
        <w:rPr>
          <w:rFonts w:ascii="Times New Roman" w:cs="Times New Roman" w:eastAsia="Times New Roman" w:hAnsi="Times New Roman"/>
          <w:sz w:val="19"/>
          <w:szCs w:val="19"/>
          <w:color w:val="auto"/>
        </w:rPr>
        <w:t>the processing of personal data, or opt to receive personal data in a structured, commonly used, machine readable form which provides the ability to move, copy or transfer personal data to another controller by</w:t>
      </w:r>
    </w:p>
    <w:p>
      <w:pPr>
        <w:ind w:left="1140"/>
        <w:spacing w:after="0" w:line="211" w:lineRule="auto"/>
        <w:rPr>
          <w:sz w:val="20"/>
          <w:szCs w:val="20"/>
          <w:color w:val="auto"/>
        </w:rPr>
      </w:pPr>
      <w:r>
        <w:rPr>
          <w:rFonts w:ascii="Times New Roman" w:cs="Times New Roman" w:eastAsia="Times New Roman" w:hAnsi="Times New Roman"/>
          <w:sz w:val="20"/>
          <w:szCs w:val="20"/>
          <w:color w:val="auto"/>
        </w:rPr>
        <w:t>contacting the local data protection officer in the country in which the Participant is based. Please note,</w:t>
      </w:r>
    </w:p>
    <w:p>
      <w:pPr>
        <w:ind w:left="1140" w:right="219"/>
        <w:spacing w:after="0" w:line="215" w:lineRule="auto"/>
        <w:rPr>
          <w:sz w:val="20"/>
          <w:szCs w:val="20"/>
          <w:color w:val="auto"/>
        </w:rPr>
      </w:pPr>
      <w:r>
        <w:rPr>
          <w:rFonts w:ascii="Times New Roman" w:cs="Times New Roman" w:eastAsia="Times New Roman" w:hAnsi="Times New Roman"/>
          <w:sz w:val="19"/>
          <w:szCs w:val="19"/>
          <w:color w:val="auto"/>
        </w:rPr>
        <w:t>however, that certain personal information about the Participant may be exempt from afore mentioned rights pursuant to applicable data protection laws. In addition, the Participant has the right to lodge a complaint with</w:t>
      </w:r>
    </w:p>
    <w:p>
      <w:pPr>
        <w:ind w:left="1140"/>
        <w:spacing w:after="0" w:line="222" w:lineRule="auto"/>
        <w:rPr>
          <w:sz w:val="20"/>
          <w:szCs w:val="20"/>
          <w:color w:val="auto"/>
        </w:rPr>
      </w:pPr>
      <w:r>
        <w:rPr>
          <w:rFonts w:ascii="Times New Roman" w:cs="Times New Roman" w:eastAsia="Times New Roman" w:hAnsi="Times New Roman"/>
          <w:sz w:val="19"/>
          <w:szCs w:val="19"/>
          <w:color w:val="auto"/>
        </w:rPr>
        <w:t>a competent data protection supervisory authority, in particular in the EU Member State where the Participant</w:t>
      </w:r>
    </w:p>
    <w:p>
      <w:pPr>
        <w:ind w:left="1140" w:right="159"/>
        <w:spacing w:after="0" w:line="215" w:lineRule="auto"/>
        <w:rPr>
          <w:sz w:val="20"/>
          <w:szCs w:val="20"/>
          <w:color w:val="auto"/>
        </w:rPr>
      </w:pPr>
      <w:r>
        <w:rPr>
          <w:rFonts w:ascii="Times New Roman" w:cs="Times New Roman" w:eastAsia="Times New Roman" w:hAnsi="Times New Roman"/>
          <w:sz w:val="19"/>
          <w:szCs w:val="19"/>
          <w:color w:val="auto"/>
        </w:rPr>
        <w:t>resides, works or the place of the alleged infringement. If the Participant has a complaint regarding the manner in which personal information relating to the Participant is dealt with, the Participant should contact the</w:t>
      </w:r>
    </w:p>
    <w:p>
      <w:pPr>
        <w:ind w:left="1140"/>
        <w:spacing w:after="0"/>
        <w:rPr>
          <w:sz w:val="20"/>
          <w:szCs w:val="20"/>
          <w:color w:val="auto"/>
        </w:rPr>
      </w:pPr>
      <w:r>
        <w:rPr>
          <w:rFonts w:ascii="Times New Roman" w:cs="Times New Roman" w:eastAsia="Times New Roman" w:hAnsi="Times New Roman"/>
          <w:sz w:val="20"/>
          <w:szCs w:val="20"/>
          <w:color w:val="auto"/>
        </w:rPr>
        <w:t>appropriate local data protection officer referred to above.</w:t>
      </w:r>
    </w:p>
    <w:p>
      <w:pPr>
        <w:spacing w:after="0" w:line="207" w:lineRule="exact"/>
        <w:rPr>
          <w:sz w:val="20"/>
          <w:szCs w:val="20"/>
          <w:color w:val="auto"/>
        </w:rPr>
      </w:pPr>
    </w:p>
    <w:p>
      <w:pPr>
        <w:ind w:left="1140" w:right="199" w:hanging="564"/>
        <w:spacing w:after="0" w:line="229" w:lineRule="auto"/>
        <w:tabs>
          <w:tab w:leader="none" w:pos="1135"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processing (including transfer) of data described above is essential for the administration and operation of the Plan. Therefore, it is essential that his/her personal data is processed in the manner described above.</w:t>
      </w:r>
    </w:p>
    <w:p>
      <w:pPr>
        <w:spacing w:after="0" w:line="25" w:lineRule="exact"/>
        <w:rPr>
          <w:rFonts w:ascii="Times New Roman" w:cs="Times New Roman" w:eastAsia="Times New Roman" w:hAnsi="Times New Roman"/>
          <w:sz w:val="22"/>
          <w:szCs w:val="22"/>
          <w:color w:val="auto"/>
        </w:rPr>
      </w:pPr>
    </w:p>
    <w:p>
      <w:pPr>
        <w:ind w:left="1140" w:right="399" w:hanging="564"/>
        <w:spacing w:after="0" w:line="223" w:lineRule="auto"/>
        <w:tabs>
          <w:tab w:leader="none" w:pos="1137"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Company will only retain personal data for as long as is required to satisfy the purposes as described in paragraph (a) above, except where otherwise provided or required by law (e.g. in connection with pending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alibri" w:cs="Calibri" w:eastAsia="Calibri" w:hAnsi="Calibri"/>
          <w:sz w:val="20"/>
          <w:szCs w:val="20"/>
          <w:color w:val="auto"/>
        </w:rPr>
        <w:t>8</w:t>
      </w:r>
    </w:p>
    <w:p>
      <w:pPr>
        <w:sectPr>
          <w:pgSz w:w="11900" w:h="16838" w:orient="portrait"/>
          <w:cols w:equalWidth="0" w:num="1">
            <w:col w:w="10059"/>
          </w:cols>
          <w:pgMar w:left="400" w:top="1251" w:right="1440"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20"/>
          <w:szCs w:val="20"/>
          <w:b w:val="1"/>
          <w:bCs w:val="1"/>
          <w:color w:val="auto"/>
        </w:rPr>
        <w:t>Exhibit 10.92</w:t>
      </w:r>
    </w:p>
    <w:p>
      <w:pPr>
        <w:spacing w:after="0" w:line="146" w:lineRule="exact"/>
        <w:rPr>
          <w:sz w:val="20"/>
          <w:szCs w:val="20"/>
          <w:color w:val="auto"/>
        </w:rPr>
      </w:pPr>
    </w:p>
    <w:p>
      <w:pPr>
        <w:ind w:left="5023"/>
        <w:spacing w:after="0"/>
        <w:rPr>
          <w:sz w:val="20"/>
          <w:szCs w:val="20"/>
          <w:color w:val="auto"/>
        </w:rPr>
      </w:pPr>
      <w:r>
        <w:rPr>
          <w:rFonts w:ascii="Times New Roman" w:cs="Times New Roman" w:eastAsia="Times New Roman" w:hAnsi="Times New Roman"/>
          <w:sz w:val="25"/>
          <w:szCs w:val="25"/>
          <w:b w:val="1"/>
          <w:bCs w:val="1"/>
          <w:color w:val="auto"/>
        </w:rPr>
        <w:t>Aramark</w:t>
      </w:r>
    </w:p>
    <w:p>
      <w:pPr>
        <w:spacing w:after="0" w:line="199" w:lineRule="exact"/>
        <w:rPr>
          <w:sz w:val="20"/>
          <w:szCs w:val="20"/>
          <w:color w:val="auto"/>
        </w:rPr>
      </w:pPr>
    </w:p>
    <w:p>
      <w:pPr>
        <w:ind w:left="2783"/>
        <w:spacing w:after="0"/>
        <w:rPr>
          <w:sz w:val="20"/>
          <w:szCs w:val="20"/>
          <w:color w:val="auto"/>
        </w:rPr>
      </w:pPr>
      <w:r>
        <w:rPr>
          <w:rFonts w:ascii="Times New Roman" w:cs="Times New Roman" w:eastAsia="Times New Roman" w:hAnsi="Times New Roman"/>
          <w:sz w:val="25"/>
          <w:szCs w:val="25"/>
          <w:b w:val="1"/>
          <w:bCs w:val="1"/>
          <w:color w:val="auto"/>
        </w:rPr>
        <w:t>FORM OF RESTRICTED STOCK UNIT AWARD</w:t>
      </w:r>
    </w:p>
    <w:p>
      <w:pPr>
        <w:spacing w:after="0" w:line="17" w:lineRule="exact"/>
        <w:rPr>
          <w:sz w:val="20"/>
          <w:szCs w:val="20"/>
          <w:color w:val="auto"/>
        </w:rPr>
      </w:pPr>
    </w:p>
    <w:p>
      <w:pPr>
        <w:jc w:val="center"/>
        <w:ind w:right="77"/>
        <w:spacing w:after="0"/>
        <w:rPr>
          <w:sz w:val="20"/>
          <w:szCs w:val="20"/>
          <w:color w:val="auto"/>
        </w:rPr>
      </w:pPr>
      <w:r>
        <w:rPr>
          <w:rFonts w:ascii="Times New Roman" w:cs="Times New Roman" w:eastAsia="Times New Roman" w:hAnsi="Times New Roman"/>
          <w:sz w:val="25"/>
          <w:szCs w:val="25"/>
          <w:b w:val="1"/>
          <w:bCs w:val="1"/>
          <w:color w:val="auto"/>
        </w:rPr>
        <w:t>(TIME VESTING)</w:t>
      </w:r>
    </w:p>
    <w:p>
      <w:pPr>
        <w:spacing w:after="0" w:line="198" w:lineRule="exact"/>
        <w:rPr>
          <w:sz w:val="20"/>
          <w:szCs w:val="20"/>
          <w:color w:val="auto"/>
        </w:rPr>
      </w:pPr>
    </w:p>
    <w:p>
      <w:pPr>
        <w:ind w:left="643" w:right="1180" w:hanging="642"/>
        <w:spacing w:after="0" w:line="212" w:lineRule="auto"/>
        <w:tabs>
          <w:tab w:leader="none" w:pos="643"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Grant of RSUs</w:t>
      </w:r>
      <w:r>
        <w:rPr>
          <w:rFonts w:ascii="Times New Roman" w:cs="Times New Roman" w:eastAsia="Times New Roman" w:hAnsi="Times New Roman"/>
          <w:sz w:val="20"/>
          <w:szCs w:val="20"/>
          <w:color w:val="auto"/>
        </w:rPr>
        <w:t>. Aramark (formerly known as Aramark Holdings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hereby grants the number of Restricted Stock Units (“</w:t>
      </w:r>
      <w:r>
        <w:rPr>
          <w:rFonts w:ascii="Times New Roman" w:cs="Times New Roman" w:eastAsia="Times New Roman" w:hAnsi="Times New Roman"/>
          <w:sz w:val="20"/>
          <w:szCs w:val="20"/>
          <w:u w:val="single" w:color="auto"/>
          <w:color w:val="auto"/>
        </w:rPr>
        <w:t>RSUs</w:t>
      </w:r>
      <w:r>
        <w:rPr>
          <w:rFonts w:ascii="Times New Roman" w:cs="Times New Roman" w:eastAsia="Times New Roman" w:hAnsi="Times New Roman"/>
          <w:sz w:val="20"/>
          <w:szCs w:val="20"/>
          <w:color w:val="auto"/>
        </w:rPr>
        <w:t>”) set forth on the Certificate of Grant of the Restricted Stock Units attached to this Award and made a part hereof (the “</w:t>
      </w:r>
      <w:r>
        <w:rPr>
          <w:rFonts w:ascii="Times New Roman" w:cs="Times New Roman" w:eastAsia="Times New Roman" w:hAnsi="Times New Roman"/>
          <w:sz w:val="20"/>
          <w:szCs w:val="20"/>
          <w:u w:val="single" w:color="auto"/>
          <w:color w:val="auto"/>
        </w:rPr>
        <w:t>Certificate of Grant</w:t>
      </w:r>
      <w:r>
        <w:rPr>
          <w:rFonts w:ascii="Times New Roman" w:cs="Times New Roman" w:eastAsia="Times New Roman" w:hAnsi="Times New Roman"/>
          <w:sz w:val="20"/>
          <w:szCs w:val="20"/>
          <w:color w:val="auto"/>
        </w:rPr>
        <w:t>”) to the Participant, on the terms and conditions hereinafter set forth. This grant is made pursuant to the terms of the Company Amended and Restated 2013 Stock Incentive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which Plan, as amended from time to time, is incorporated herein by reference and made a part of this Award. Each RSU represents the unfunded, unsecured right of the Participant to receive a share of Common Stock, (as specified below) of the Company (each a “</w:t>
      </w:r>
      <w:r>
        <w:rPr>
          <w:rFonts w:ascii="Times New Roman" w:cs="Times New Roman" w:eastAsia="Times New Roman" w:hAnsi="Times New Roman"/>
          <w:sz w:val="20"/>
          <w:szCs w:val="20"/>
          <w:u w:val="single" w:color="auto"/>
          <w:color w:val="auto"/>
        </w:rPr>
        <w:t>Share</w:t>
      </w:r>
      <w:r>
        <w:rPr>
          <w:rFonts w:ascii="Times New Roman" w:cs="Times New Roman" w:eastAsia="Times New Roman" w:hAnsi="Times New Roman"/>
          <w:sz w:val="20"/>
          <w:szCs w:val="20"/>
          <w:color w:val="auto"/>
        </w:rPr>
        <w:t>”), on the dates specified herein. Capitalized terms not otherwise defined herein shall have the same meanings as in the Plan and the Certificate of Grant.</w:t>
      </w:r>
    </w:p>
    <w:p>
      <w:pPr>
        <w:spacing w:after="0" w:line="203" w:lineRule="exact"/>
        <w:rPr>
          <w:rFonts w:ascii="Times New Roman" w:cs="Times New Roman" w:eastAsia="Times New Roman" w:hAnsi="Times New Roman"/>
          <w:sz w:val="22"/>
          <w:szCs w:val="22"/>
          <w:color w:val="auto"/>
        </w:rPr>
      </w:pPr>
    </w:p>
    <w:p>
      <w:pPr>
        <w:ind w:left="563" w:hanging="563"/>
        <w:spacing w:after="0"/>
        <w:tabs>
          <w:tab w:leader="none" w:pos="563"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Payment of Shares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2"/>
          <w:szCs w:val="22"/>
          <w:color w:val="auto"/>
        </w:rPr>
      </w:pPr>
    </w:p>
    <w:p>
      <w:pPr>
        <w:ind w:left="1143" w:right="1100" w:hanging="574"/>
        <w:spacing w:after="0" w:line="212" w:lineRule="auto"/>
        <w:tabs>
          <w:tab w:leader="none" w:pos="1141"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Company shall, subject to the remainder of this Award, transfer to the Participant a number of Shares of the Company equal to the number of RSUs granted to the Participant under this Award at such time as the Participant becomes vested in the right to such transfer (x) as set forth on the Certificate of Grant under “</w:t>
      </w:r>
      <w:r>
        <w:rPr>
          <w:rFonts w:ascii="Times New Roman" w:cs="Times New Roman" w:eastAsia="Times New Roman" w:hAnsi="Times New Roman"/>
          <w:sz w:val="20"/>
          <w:szCs w:val="20"/>
          <w:u w:val="single" w:color="auto"/>
          <w:color w:val="auto"/>
        </w:rPr>
        <w:t>Vesting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Date</w:t>
      </w:r>
      <w:r>
        <w:rPr>
          <w:rFonts w:ascii="Times New Roman" w:cs="Times New Roman" w:eastAsia="Times New Roman" w:hAnsi="Times New Roman"/>
          <w:sz w:val="20"/>
          <w:szCs w:val="20"/>
          <w:color w:val="auto"/>
        </w:rPr>
        <w:t>”, so long as the Participant remains employed with the Company or any of its Affiliates through such Vesting Date, or (y) as otherwise provided in Section 2(b) or (c) below (in whole Shares only with the Participant receiving a cash payment equal to the Fair Market Value of any fractional Share on or about the transfer date).</w:t>
      </w:r>
    </w:p>
    <w:p>
      <w:pPr>
        <w:spacing w:after="0" w:line="204" w:lineRule="exact"/>
        <w:rPr>
          <w:rFonts w:ascii="Times New Roman" w:cs="Times New Roman" w:eastAsia="Times New Roman" w:hAnsi="Times New Roman"/>
          <w:sz w:val="22"/>
          <w:szCs w:val="22"/>
          <w:color w:val="auto"/>
        </w:rPr>
      </w:pPr>
    </w:p>
    <w:p>
      <w:pPr>
        <w:ind w:left="1123" w:hanging="555"/>
        <w:spacing w:after="0"/>
        <w:tabs>
          <w:tab w:leader="none" w:pos="1123"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Notwithstanding Section 2(a) of this Award,</w:t>
      </w:r>
    </w:p>
    <w:p>
      <w:pPr>
        <w:spacing w:after="0" w:line="219" w:lineRule="exact"/>
        <w:rPr>
          <w:rFonts w:ascii="Times New Roman" w:cs="Times New Roman" w:eastAsia="Times New Roman" w:hAnsi="Times New Roman"/>
          <w:sz w:val="22"/>
          <w:szCs w:val="22"/>
          <w:color w:val="auto"/>
        </w:rPr>
      </w:pPr>
    </w:p>
    <w:p>
      <w:pPr>
        <w:ind w:left="1943" w:right="1340" w:hanging="646"/>
        <w:spacing w:after="0" w:line="215" w:lineRule="auto"/>
        <w:tabs>
          <w:tab w:leader="none" w:pos="1931" w:val="left"/>
        </w:tabs>
        <w:numPr>
          <w:ilvl w:val="2"/>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upon the Participant’s Disability (a “</w:t>
      </w:r>
      <w:r>
        <w:rPr>
          <w:rFonts w:ascii="Times New Roman" w:cs="Times New Roman" w:eastAsia="Times New Roman" w:hAnsi="Times New Roman"/>
          <w:sz w:val="20"/>
          <w:szCs w:val="20"/>
          <w:u w:val="single" w:color="auto"/>
          <w:color w:val="auto"/>
        </w:rPr>
        <w:t>Special Termination</w:t>
      </w:r>
      <w:r>
        <w:rPr>
          <w:rFonts w:ascii="Times New Roman" w:cs="Times New Roman" w:eastAsia="Times New Roman" w:hAnsi="Times New Roman"/>
          <w:sz w:val="20"/>
          <w:szCs w:val="20"/>
          <w:color w:val="auto"/>
        </w:rPr>
        <w:t>”), the installment of RSUs scheduled to vest on the next Vesting Date immediately following such Special Termination shall remain outstanding and become vested RSUs on such next Vesting Date, at which time the Shares equal to the number of vested RSUs shall be transferred, and the remaining RSUs which are not then vested shall be forfeited; and</w:t>
      </w:r>
    </w:p>
    <w:p>
      <w:pPr>
        <w:spacing w:after="0" w:line="204" w:lineRule="exact"/>
        <w:rPr>
          <w:rFonts w:ascii="Times New Roman" w:cs="Times New Roman" w:eastAsia="Times New Roman" w:hAnsi="Times New Roman"/>
          <w:sz w:val="22"/>
          <w:szCs w:val="22"/>
          <w:color w:val="auto"/>
        </w:rPr>
      </w:pPr>
    </w:p>
    <w:p>
      <w:pPr>
        <w:ind w:left="1943" w:right="1220" w:hanging="646"/>
        <w:spacing w:after="0" w:line="223" w:lineRule="auto"/>
        <w:tabs>
          <w:tab w:leader="none" w:pos="1937" w:val="left"/>
        </w:tabs>
        <w:numPr>
          <w:ilvl w:val="2"/>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upon Participant’s death, any previously unvested RSUs shall immediately become vested RSUs pursuant to which Shares equal to the number of RSUs which become vested in accordance with this clause (iii) shall be transferred;</w:t>
      </w:r>
    </w:p>
    <w:p>
      <w:pPr>
        <w:spacing w:after="0" w:line="201" w:lineRule="exact"/>
        <w:rPr>
          <w:rFonts w:ascii="Times New Roman" w:cs="Times New Roman" w:eastAsia="Times New Roman" w:hAnsi="Times New Roman"/>
          <w:sz w:val="22"/>
          <w:szCs w:val="22"/>
          <w:color w:val="auto"/>
        </w:rPr>
      </w:pPr>
    </w:p>
    <w:p>
      <w:pPr>
        <w:ind w:left="1943" w:right="1180" w:hanging="646"/>
        <w:spacing w:after="0" w:line="223" w:lineRule="auto"/>
        <w:tabs>
          <w:tab w:leader="none" w:pos="1943" w:val="left"/>
        </w:tabs>
        <w:numPr>
          <w:ilvl w:val="2"/>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upon a Termination of Relationship as a result of the Participant’s Retirement with Notice (as defined below), any previously unvested RSUs shall remain outstanding and become vested RSUs on the normal scheduled future Vesting Date(s) as if no Termination of Relationship had</w:t>
      </w:r>
    </w:p>
    <w:p>
      <w:pPr>
        <w:sectPr>
          <w:pgSz w:w="11900" w:h="16838" w:orient="portrait"/>
          <w:cols w:equalWidth="0" w:num="1">
            <w:col w:w="11143"/>
          </w:cols>
          <w:pgMar w:left="417" w:top="990" w:right="339" w:bottom="1440" w:gutter="0" w:footer="0" w:header="0"/>
        </w:sectPr>
      </w:pPr>
    </w:p>
    <w:bookmarkStart w:id="150" w:name="page151"/>
    <w:bookmarkEnd w:id="150"/>
    <w:p>
      <w:pPr>
        <w:ind w:left="1960" w:right="159"/>
        <w:spacing w:after="0" w:line="233" w:lineRule="auto"/>
        <w:rPr>
          <w:sz w:val="20"/>
          <w:szCs w:val="20"/>
          <w:color w:val="auto"/>
        </w:rPr>
      </w:pPr>
      <w:r>
        <w:rPr>
          <w:rFonts w:ascii="Times New Roman" w:cs="Times New Roman" w:eastAsia="Times New Roman" w:hAnsi="Times New Roman"/>
          <w:sz w:val="20"/>
          <w:szCs w:val="20"/>
          <w:color w:val="auto"/>
        </w:rPr>
        <w:t>occurred, at which time(s) the Shares equal to the number of vested RSUs at each such time shall be transferred; and</w:t>
      </w:r>
    </w:p>
    <w:p>
      <w:pPr>
        <w:spacing w:after="0" w:line="201" w:lineRule="exact"/>
        <w:rPr>
          <w:sz w:val="20"/>
          <w:szCs w:val="20"/>
          <w:color w:val="auto"/>
        </w:rPr>
      </w:pPr>
    </w:p>
    <w:p>
      <w:pPr>
        <w:ind w:left="1960" w:right="339" w:hanging="646"/>
        <w:spacing w:after="0" w:line="229" w:lineRule="auto"/>
        <w:tabs>
          <w:tab w:leader="none" w:pos="1948"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upon a Termination of Relationship for any reason other than as set forth in clauses (i), (ii), or (iii) above, all outstanding RSUs shall be forfeited and immediately cancelled.</w:t>
      </w:r>
    </w:p>
    <w:p>
      <w:pPr>
        <w:spacing w:after="0" w:line="201" w:lineRule="exact"/>
        <w:rPr>
          <w:sz w:val="20"/>
          <w:szCs w:val="20"/>
          <w:color w:val="auto"/>
        </w:rPr>
      </w:pPr>
    </w:p>
    <w:p>
      <w:pPr>
        <w:ind w:left="1320" w:right="39"/>
        <w:spacing w:after="0" w:line="227" w:lineRule="auto"/>
        <w:rPr>
          <w:sz w:val="20"/>
          <w:szCs w:val="20"/>
          <w:color w:val="auto"/>
        </w:rPr>
      </w:pPr>
      <w:r>
        <w:rPr>
          <w:rFonts w:ascii="Times New Roman" w:cs="Times New Roman" w:eastAsia="Times New Roman" w:hAnsi="Times New Roman"/>
          <w:sz w:val="19"/>
          <w:szCs w:val="19"/>
          <w:color w:val="auto"/>
        </w:rPr>
        <w:t>As used herein, the term “Retirement with Notice” means the Participant’s Termination of Relationship due to his retirement from the Company and its Affiliates after providing the Company with at least 6 months’ prior</w:t>
      </w:r>
    </w:p>
    <w:p>
      <w:pPr>
        <w:ind w:left="1320"/>
        <w:spacing w:after="0" w:line="211" w:lineRule="auto"/>
        <w:rPr>
          <w:sz w:val="20"/>
          <w:szCs w:val="20"/>
          <w:color w:val="auto"/>
        </w:rPr>
      </w:pPr>
      <w:r>
        <w:rPr>
          <w:rFonts w:ascii="Times New Roman" w:cs="Times New Roman" w:eastAsia="Times New Roman" w:hAnsi="Times New Roman"/>
          <w:sz w:val="20"/>
          <w:szCs w:val="20"/>
          <w:color w:val="auto"/>
        </w:rPr>
        <w:t>written notice of such intended retirement (and with such notice having been delivered upon or after the</w:t>
      </w:r>
    </w:p>
    <w:p>
      <w:pPr>
        <w:spacing w:after="0" w:line="1" w:lineRule="exact"/>
        <w:rPr>
          <w:sz w:val="20"/>
          <w:szCs w:val="20"/>
          <w:color w:val="auto"/>
        </w:rPr>
      </w:pPr>
    </w:p>
    <w:p>
      <w:pPr>
        <w:ind w:left="1320" w:right="99"/>
        <w:spacing w:after="0" w:line="215" w:lineRule="auto"/>
        <w:rPr>
          <w:sz w:val="20"/>
          <w:szCs w:val="20"/>
          <w:color w:val="auto"/>
        </w:rPr>
      </w:pPr>
      <w:r>
        <w:rPr>
          <w:rFonts w:ascii="Times New Roman" w:cs="Times New Roman" w:eastAsia="Times New Roman" w:hAnsi="Times New Roman"/>
          <w:sz w:val="19"/>
          <w:szCs w:val="19"/>
          <w:color w:val="auto"/>
        </w:rPr>
        <w:t>Participant’s attainment of age 62) after achieving (consecutively, disregarding breaks in service, or a combination thereof) at least five (5) full years of employment with the Company and its Affiliates following</w:t>
      </w:r>
    </w:p>
    <w:p>
      <w:pPr>
        <w:ind w:left="1320"/>
        <w:spacing w:after="0" w:line="222" w:lineRule="auto"/>
        <w:rPr>
          <w:sz w:val="20"/>
          <w:szCs w:val="20"/>
          <w:color w:val="auto"/>
        </w:rPr>
      </w:pPr>
      <w:r>
        <w:rPr>
          <w:rFonts w:ascii="Times New Roman" w:cs="Times New Roman" w:eastAsia="Times New Roman" w:hAnsi="Times New Roman"/>
          <w:sz w:val="19"/>
          <w:szCs w:val="19"/>
          <w:color w:val="auto"/>
        </w:rPr>
        <w:t xml:space="preserve">October 7, 2019 (or such earlier date as approved by the Committee in its sole discretion);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u w:val="single" w:color="auto"/>
          <w:color w:val="auto"/>
        </w:rPr>
        <w:t>however</w:t>
      </w:r>
      <w:r>
        <w:rPr>
          <w:rFonts w:ascii="Times New Roman" w:cs="Times New Roman" w:eastAsia="Times New Roman" w:hAnsi="Times New Roman"/>
          <w:sz w:val="19"/>
          <w:szCs w:val="19"/>
          <w:color w:val="auto"/>
        </w:rPr>
        <w:t>,</w:t>
      </w:r>
    </w:p>
    <w:p>
      <w:pPr>
        <w:ind w:left="1320" w:right="119"/>
        <w:spacing w:after="0" w:line="215" w:lineRule="auto"/>
        <w:rPr>
          <w:sz w:val="20"/>
          <w:szCs w:val="20"/>
          <w:color w:val="auto"/>
        </w:rPr>
      </w:pPr>
      <w:r>
        <w:rPr>
          <w:rFonts w:ascii="Times New Roman" w:cs="Times New Roman" w:eastAsia="Times New Roman" w:hAnsi="Times New Roman"/>
          <w:sz w:val="19"/>
          <w:szCs w:val="19"/>
          <w:color w:val="auto"/>
        </w:rPr>
        <w:t>that if the Company involuntarily terminates the Participant without Cause or the Participant dies or incurs a Disability after the Participant delivers the notice described in this sentence, such termination shall not fail to</w:t>
      </w:r>
    </w:p>
    <w:p>
      <w:pPr>
        <w:ind w:left="1320"/>
        <w:spacing w:after="0" w:line="211" w:lineRule="auto"/>
        <w:rPr>
          <w:sz w:val="20"/>
          <w:szCs w:val="20"/>
          <w:color w:val="auto"/>
        </w:rPr>
      </w:pPr>
      <w:r>
        <w:rPr>
          <w:rFonts w:ascii="Times New Roman" w:cs="Times New Roman" w:eastAsia="Times New Roman" w:hAnsi="Times New Roman"/>
          <w:sz w:val="20"/>
          <w:szCs w:val="20"/>
          <w:color w:val="auto"/>
        </w:rPr>
        <w:t>qualify as a “Retirement with Notice” by virtue of the termination occurring less than the number of months</w:t>
      </w:r>
    </w:p>
    <w:p>
      <w:pPr>
        <w:jc w:val="both"/>
        <w:ind w:left="1320" w:right="139"/>
        <w:spacing w:after="0" w:line="215" w:lineRule="auto"/>
        <w:rPr>
          <w:sz w:val="20"/>
          <w:szCs w:val="20"/>
          <w:color w:val="auto"/>
        </w:rPr>
      </w:pPr>
      <w:r>
        <w:rPr>
          <w:rFonts w:ascii="Times New Roman" w:cs="Times New Roman" w:eastAsia="Times New Roman" w:hAnsi="Times New Roman"/>
          <w:sz w:val="19"/>
          <w:szCs w:val="19"/>
          <w:color w:val="auto"/>
        </w:rPr>
        <w:t>of the notice period after the notice date, such that, for purposes of this Section 2, the Participant shall not be treated as having had a Termination of Relationship prior to the effective date of the Retirement with Notice;</w:t>
      </w:r>
    </w:p>
    <w:p>
      <w:pPr>
        <w:ind w:left="1320" w:right="339"/>
        <w:spacing w:after="0" w:line="228" w:lineRule="auto"/>
        <w:rPr>
          <w:sz w:val="20"/>
          <w:szCs w:val="20"/>
          <w:color w:val="auto"/>
        </w:rPr>
      </w:pPr>
      <w:r>
        <w:rPr>
          <w:rFonts w:ascii="Times New Roman" w:cs="Times New Roman" w:eastAsia="Times New Roman" w:hAnsi="Times New Roman"/>
          <w:sz w:val="20"/>
          <w:szCs w:val="20"/>
          <w:color w:val="auto"/>
        </w:rPr>
        <w:t xml:space="preserve">and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further</w:t>
      </w:r>
      <w:r>
        <w:rPr>
          <w:rFonts w:ascii="Times New Roman" w:cs="Times New Roman" w:eastAsia="Times New Roman" w:hAnsi="Times New Roman"/>
          <w:sz w:val="20"/>
          <w:szCs w:val="20"/>
          <w:color w:val="auto"/>
        </w:rPr>
        <w:t>, that the Committee may, in its sole discretion, waive any such notice, in whole or in part, as may be required for Participant to effect a Retirement with Notice.</w:t>
      </w:r>
    </w:p>
    <w:p>
      <w:pPr>
        <w:spacing w:after="0" w:line="189" w:lineRule="exact"/>
        <w:rPr>
          <w:sz w:val="20"/>
          <w:szCs w:val="20"/>
          <w:color w:val="auto"/>
        </w:rPr>
      </w:pPr>
    </w:p>
    <w:p>
      <w:pPr>
        <w:ind w:left="1320" w:right="139" w:hanging="654"/>
        <w:spacing w:after="0" w:line="212" w:lineRule="auto"/>
        <w:tabs>
          <w:tab w:leader="none" w:pos="1317"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Also notwithstanding Section 2(a) or (b) of this Award, in the event of (i) the occurrence of a Change of Control and (ii) thereafter, a Termination of Relationship of the Participant by the Company or any of its Affiliates (or successors in interest) without Cause or by the Participant for Good Reason that occurs prior to the second anniversary of the date of such Change of Control, then all then outstanding RSUs shall become vested and the number of Shares equal to all such outstanding RSUs hereunder shall be distributed to the Participant, in each case, as soon as practicable following the date of such Termination of Relationship;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Committee may determine that, in lieu of Shares and/or fractional Shares, the Participant shall receive a cash payment equal to the Fair Market Value of such Shares (or fractional Shares, as the case may be) on the Change of Control.</w:t>
      </w:r>
    </w:p>
    <w:p>
      <w:pPr>
        <w:spacing w:after="0" w:line="203" w:lineRule="exact"/>
        <w:rPr>
          <w:rFonts w:ascii="Times New Roman" w:cs="Times New Roman" w:eastAsia="Times New Roman" w:hAnsi="Times New Roman"/>
          <w:sz w:val="22"/>
          <w:szCs w:val="22"/>
          <w:color w:val="auto"/>
        </w:rPr>
      </w:pPr>
    </w:p>
    <w:p>
      <w:pPr>
        <w:ind w:left="1160" w:right="99" w:hanging="574"/>
        <w:spacing w:after="0" w:line="215" w:lineRule="auto"/>
        <w:tabs>
          <w:tab w:leader="none" w:pos="1156"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Upon each vesting event of any RSUs and the corresponding transfer of Shares as a result thereof, in each case in accordance with Sections 2(a), 2(b) or 2(c) of this Award, as applicable, the RSUs with respect to which Shares have been transferred hereunder shall be extinguished on the relevant transfer dates. In compliance with Section 409A of the Code, in no event shall any transfer occur later than March 15 of the calendar year following the calendar year in which the applicable vesting event occurs under this Award.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059"/>
          </w:cols>
          <w:pgMar w:left="400" w:top="1399" w:right="1440" w:bottom="1440" w:gutter="0" w:footer="0" w:header="0"/>
        </w:sectPr>
      </w:pPr>
    </w:p>
    <w:bookmarkStart w:id="151" w:name="page152"/>
    <w:bookmarkEnd w:id="151"/>
    <w:p>
      <w:pPr>
        <w:spacing w:after="0" w:line="216" w:lineRule="exact"/>
        <w:rPr>
          <w:sz w:val="20"/>
          <w:szCs w:val="20"/>
          <w:color w:val="auto"/>
        </w:rPr>
      </w:pPr>
    </w:p>
    <w:p>
      <w:pPr>
        <w:ind w:left="580" w:right="19" w:hanging="563"/>
        <w:spacing w:after="0" w:line="209" w:lineRule="auto"/>
        <w:tabs>
          <w:tab w:leader="none" w:pos="578"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Dividends</w:t>
      </w:r>
      <w:r>
        <w:rPr>
          <w:rFonts w:ascii="Times New Roman" w:cs="Times New Roman" w:eastAsia="Times New Roman" w:hAnsi="Times New Roman"/>
          <w:sz w:val="20"/>
          <w:szCs w:val="20"/>
          <w:color w:val="auto"/>
        </w:rPr>
        <w:t>. If on any date while RSUs are outstanding hereunder, the Company shall pay any dividend on the Shares (other than a dividend payable in Shares), the number of RSUs granted to the Participant shall, as of such dividend payment date, be increased by a number of RSUs equal to: (a) the product of (x) the number of RSUs held by the Participant as of the related dividend record date, multiplied by (y) a dollar amount equal to the per Share amount of any cash dividend (or, in the case of any dividend payable in whole or in part other than in cash or Shares, the per Share value of such dividend, as determined in good faith by the Committee), divided by (b) the Fair Market Value of a Share on the payment date of such dividend. In the case of any dividend declared on Shares that is payable in the form of Shares, the number of RSUs granted to the Participant shall be increased by a number equal to the product of (I) the aggregate number of RSUs that have been held by the Participant through the related dividend record date, multiplied by (II) the number of Shares (including any fraction thereof) payable as a dividend on a Share. Shares shall be transferred with respect to all additional RSUs granted pursuant to this Section 3 at the same time as Shares are transferred with respect to the RSUs to which such additional RSUs were attributable.</w:t>
      </w:r>
    </w:p>
    <w:p>
      <w:pPr>
        <w:spacing w:after="0" w:line="209" w:lineRule="exact"/>
        <w:rPr>
          <w:rFonts w:ascii="Times New Roman" w:cs="Times New Roman" w:eastAsia="Times New Roman" w:hAnsi="Times New Roman"/>
          <w:sz w:val="22"/>
          <w:szCs w:val="22"/>
          <w:color w:val="auto"/>
        </w:rPr>
      </w:pPr>
    </w:p>
    <w:p>
      <w:pPr>
        <w:ind w:left="660" w:right="299" w:hanging="642"/>
        <w:spacing w:after="0" w:line="218" w:lineRule="auto"/>
        <w:tabs>
          <w:tab w:leader="none" w:pos="66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Adjustments Upon Certain Events</w:t>
      </w:r>
      <w:r>
        <w:rPr>
          <w:rFonts w:ascii="Times New Roman" w:cs="Times New Roman" w:eastAsia="Times New Roman" w:hAnsi="Times New Roman"/>
          <w:sz w:val="20"/>
          <w:szCs w:val="20"/>
          <w:color w:val="auto"/>
        </w:rPr>
        <w:t>. In the event of any event described in Section 12 of the Plan occurring after the Date of Grant, the adjustment provisions (including cash payments) as provided for under Section 12 of the Plan shall apply.</w:t>
      </w:r>
    </w:p>
    <w:p>
      <w:pPr>
        <w:spacing w:after="0" w:line="216" w:lineRule="exact"/>
        <w:rPr>
          <w:rFonts w:ascii="Times New Roman" w:cs="Times New Roman" w:eastAsia="Times New Roman" w:hAnsi="Times New Roman"/>
          <w:sz w:val="22"/>
          <w:szCs w:val="22"/>
          <w:color w:val="auto"/>
        </w:rPr>
      </w:pPr>
    </w:p>
    <w:p>
      <w:pPr>
        <w:ind w:left="660" w:right="59" w:hanging="642"/>
        <w:spacing w:after="0" w:line="212" w:lineRule="auto"/>
        <w:tabs>
          <w:tab w:leader="none" w:pos="66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Restriction on Transfer</w:t>
      </w:r>
      <w:r>
        <w:rPr>
          <w:rFonts w:ascii="Times New Roman" w:cs="Times New Roman" w:eastAsia="Times New Roman" w:hAnsi="Times New Roman"/>
          <w:sz w:val="20"/>
          <w:szCs w:val="20"/>
          <w:color w:val="auto"/>
        </w:rPr>
        <w:t>. The RSUs may not be transferred, pledged, assigned, hypothecated or otherwise disposed of in any way by the Participant, except (i) if permitted by the Board or the Committee, (ii) by will or the laws of descent and distribution or (iii) pursuant to beneficiary designation procedures approved by the Company, in each case in compliance with applicable laws. The RSUs shall not be subject to execution, attachment or similar process. Any attempted assignment, transfer, pledge, hypothecation or other disposition of the RSUs contrary to the provisions of this Award or the Plan shall be null and void and without effect.</w:t>
      </w:r>
    </w:p>
    <w:p>
      <w:pPr>
        <w:spacing w:after="0" w:line="214" w:lineRule="exact"/>
        <w:rPr>
          <w:rFonts w:ascii="Times New Roman" w:cs="Times New Roman" w:eastAsia="Times New Roman" w:hAnsi="Times New Roman"/>
          <w:sz w:val="22"/>
          <w:szCs w:val="22"/>
          <w:color w:val="auto"/>
        </w:rPr>
      </w:pPr>
    </w:p>
    <w:p>
      <w:pPr>
        <w:ind w:left="580" w:right="219" w:hanging="563"/>
        <w:spacing w:after="0" w:line="220" w:lineRule="auto"/>
        <w:tabs>
          <w:tab w:leader="none" w:pos="578"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u w:val="single" w:color="auto"/>
          <w:color w:val="auto"/>
        </w:rPr>
        <w:t>Data Protection</w:t>
      </w:r>
      <w:r>
        <w:rPr>
          <w:rFonts w:ascii="Times New Roman" w:cs="Times New Roman" w:eastAsia="Times New Roman" w:hAnsi="Times New Roman"/>
          <w:sz w:val="20"/>
          <w:szCs w:val="20"/>
          <w:b w:val="1"/>
          <w:bCs w:val="1"/>
          <w:color w:val="auto"/>
        </w:rPr>
        <w:t xml:space="preserve">. By accepting this Award, the Participant understands that the processing (including international transfer) of personal data will take place as set out in </w:t>
      </w:r>
      <w:r>
        <w:rPr>
          <w:rFonts w:ascii="Times New Roman" w:cs="Times New Roman" w:eastAsia="Times New Roman" w:hAnsi="Times New Roman"/>
          <w:sz w:val="20"/>
          <w:szCs w:val="20"/>
          <w:b w:val="1"/>
          <w:bCs w:val="1"/>
          <w:u w:val="single" w:color="auto"/>
          <w:color w:val="auto"/>
        </w:rPr>
        <w:t>Exhibit A</w:t>
      </w:r>
      <w:r>
        <w:rPr>
          <w:rFonts w:ascii="Times New Roman" w:cs="Times New Roman" w:eastAsia="Times New Roman" w:hAnsi="Times New Roman"/>
          <w:sz w:val="20"/>
          <w:szCs w:val="20"/>
          <w:b w:val="1"/>
          <w:bCs w:val="1"/>
          <w:color w:val="auto"/>
        </w:rPr>
        <w:t xml:space="preserve"> attached hereto for the purposes specified therein and if required by applicable law, rule or regulation</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2"/>
          <w:szCs w:val="22"/>
          <w:color w:val="auto"/>
        </w:rPr>
      </w:pPr>
    </w:p>
    <w:p>
      <w:pPr>
        <w:ind w:left="580" w:right="239" w:hanging="563"/>
        <w:spacing w:after="0" w:line="216" w:lineRule="auto"/>
        <w:tabs>
          <w:tab w:leader="none" w:pos="578"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Participant’s Employment</w:t>
      </w:r>
      <w:r>
        <w:rPr>
          <w:rFonts w:ascii="Times New Roman" w:cs="Times New Roman" w:eastAsia="Times New Roman" w:hAnsi="Times New Roman"/>
          <w:sz w:val="20"/>
          <w:szCs w:val="20"/>
          <w:color w:val="auto"/>
        </w:rPr>
        <w:t>. Nothing in this Award or in the RSU shall confer upon the Participant any right to continue in the employ of the Company or any of its Affiliates or interfere in any way with the right of the Company and its Affiliates, in their sole discretion, to terminate the Participant’s employment or to increase or decrease the Participant’s compensation at any time.</w:t>
      </w:r>
    </w:p>
    <w:p>
      <w:pPr>
        <w:spacing w:after="0" w:line="200" w:lineRule="exact"/>
        <w:rPr>
          <w:rFonts w:ascii="Times New Roman" w:cs="Times New Roman" w:eastAsia="Times New Roman" w:hAnsi="Times New Roman"/>
          <w:sz w:val="22"/>
          <w:szCs w:val="22"/>
          <w:color w:val="auto"/>
        </w:rPr>
      </w:pPr>
    </w:p>
    <w:p>
      <w:pPr>
        <w:ind w:left="660" w:right="159" w:hanging="642"/>
        <w:spacing w:after="0" w:line="216" w:lineRule="auto"/>
        <w:tabs>
          <w:tab w:leader="none" w:pos="66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u w:val="single" w:color="auto"/>
          <w:color w:val="auto"/>
        </w:rPr>
        <w:t>No Acquired Rights</w:t>
      </w:r>
      <w:r>
        <w:rPr>
          <w:rFonts w:ascii="Times New Roman" w:cs="Times New Roman" w:eastAsia="Times New Roman" w:hAnsi="Times New Roman"/>
          <w:sz w:val="20"/>
          <w:szCs w:val="20"/>
          <w:color w:val="auto"/>
        </w:rPr>
        <w:t>. The Committee or the Board has the power to amend or terminate the Plan at any time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opportunity given to the Participant to participate in the Plan and the grant of this Award is entirely at the discretion of the Committee or the Board and does not obligate the Company or any of its Affiliates to offer such participation in the future (whether on the same or different terms). The Participant’s participation in the Plan and the receipt of this Award is outside the terms of the Participant’s regular</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059"/>
          </w:cols>
          <w:pgMar w:left="400" w:top="1440" w:right="1440" w:bottom="1440" w:gutter="0" w:footer="0" w:header="0"/>
        </w:sectPr>
      </w:pPr>
    </w:p>
    <w:bookmarkStart w:id="152" w:name="page153"/>
    <w:bookmarkEnd w:id="152"/>
    <w:p>
      <w:pPr>
        <w:spacing w:after="0" w:line="203" w:lineRule="exact"/>
        <w:rPr>
          <w:sz w:val="20"/>
          <w:szCs w:val="20"/>
          <w:color w:val="auto"/>
        </w:rPr>
      </w:pPr>
    </w:p>
    <w:p>
      <w:pPr>
        <w:ind w:left="660" w:right="260"/>
        <w:spacing w:after="0" w:line="227" w:lineRule="auto"/>
        <w:rPr>
          <w:sz w:val="20"/>
          <w:szCs w:val="20"/>
          <w:color w:val="auto"/>
        </w:rPr>
      </w:pPr>
      <w:r>
        <w:rPr>
          <w:rFonts w:ascii="Times New Roman" w:cs="Times New Roman" w:eastAsia="Times New Roman" w:hAnsi="Times New Roman"/>
          <w:sz w:val="19"/>
          <w:szCs w:val="19"/>
          <w:color w:val="auto"/>
        </w:rPr>
        <w:t>contract of employment and is therefore not to be considered part of any normal or expected compensation and that the termination of the Participant’s employment under any circumstances whatsoever will give the Participant no</w:t>
      </w:r>
    </w:p>
    <w:p>
      <w:pPr>
        <w:ind w:left="660" w:right="260"/>
        <w:spacing w:after="0" w:line="221" w:lineRule="auto"/>
        <w:rPr>
          <w:sz w:val="20"/>
          <w:szCs w:val="20"/>
          <w:color w:val="auto"/>
        </w:rPr>
      </w:pPr>
      <w:r>
        <w:rPr>
          <w:rFonts w:ascii="Times New Roman" w:cs="Times New Roman" w:eastAsia="Times New Roman" w:hAnsi="Times New Roman"/>
          <w:sz w:val="20"/>
          <w:szCs w:val="20"/>
          <w:color w:val="auto"/>
        </w:rPr>
        <w:t>claim or right of action against the Company or its Affiliates in respect of any loss of rights under this Award or the Plan that may arise as a result of such termination of employment.</w:t>
      </w:r>
    </w:p>
    <w:p>
      <w:pPr>
        <w:spacing w:after="0" w:line="216" w:lineRule="exact"/>
        <w:rPr>
          <w:sz w:val="20"/>
          <w:szCs w:val="20"/>
          <w:color w:val="auto"/>
        </w:rPr>
      </w:pPr>
    </w:p>
    <w:p>
      <w:pPr>
        <w:ind w:left="580" w:right="140" w:hanging="563"/>
        <w:spacing w:after="0" w:line="229" w:lineRule="auto"/>
        <w:tabs>
          <w:tab w:leader="none" w:pos="578"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No Rights of a Stockholder</w:t>
      </w:r>
      <w:r>
        <w:rPr>
          <w:rFonts w:ascii="Times New Roman" w:cs="Times New Roman" w:eastAsia="Times New Roman" w:hAnsi="Times New Roman"/>
          <w:sz w:val="20"/>
          <w:szCs w:val="20"/>
          <w:color w:val="auto"/>
        </w:rPr>
        <w:t>. The Participant shall not have any rights as a stockholder of the Company until the Shares in question have been registered in the Company’s register of stockholders.</w:t>
      </w:r>
    </w:p>
    <w:p>
      <w:pPr>
        <w:spacing w:after="0" w:line="200" w:lineRule="exact"/>
        <w:rPr>
          <w:rFonts w:ascii="Times New Roman" w:cs="Times New Roman" w:eastAsia="Times New Roman" w:hAnsi="Times New Roman"/>
          <w:sz w:val="22"/>
          <w:szCs w:val="22"/>
          <w:color w:val="auto"/>
        </w:rPr>
      </w:pPr>
    </w:p>
    <w:p>
      <w:pPr>
        <w:ind w:left="580" w:hanging="563"/>
        <w:spacing w:after="0"/>
        <w:tabs>
          <w:tab w:leader="none" w:pos="58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2"/>
          <w:szCs w:val="22"/>
          <w:color w:val="auto"/>
        </w:rPr>
      </w:pPr>
    </w:p>
    <w:p>
      <w:pPr>
        <w:ind w:left="1320" w:hanging="654"/>
        <w:spacing w:after="0" w:line="210" w:lineRule="auto"/>
        <w:tabs>
          <w:tab w:leader="none" w:pos="1317"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Participant will pay, or make provisions satisfactory to the Company for payment of any federal, state, local and other applicable taxes required to be withheld in connection with any issuance or transfer of Shares under this Award and to take such action as may be necessary in the opinion of the Company to satisfy all obligations for the payment of such taxes. If Participant has not made payment for applicable taxes, such taxes shall be paid by withholding Shares from the issuance or transfer of Shares due under this Award, rounded down to the nearest whole Share, with the balance to be paid in cash or withheld from compensation or other amount owing to the Participant from the Company or any Affiliate, and the Company and any such Affiliate is hereby authorized to withhold such amounts from any such issuance, transfer, compensation or other amount owing to the Participant.</w:t>
      </w:r>
    </w:p>
    <w:p>
      <w:pPr>
        <w:spacing w:after="0" w:line="220" w:lineRule="exact"/>
        <w:rPr>
          <w:rFonts w:ascii="Times New Roman" w:cs="Times New Roman" w:eastAsia="Times New Roman" w:hAnsi="Times New Roman"/>
          <w:sz w:val="22"/>
          <w:szCs w:val="22"/>
          <w:color w:val="auto"/>
        </w:rPr>
      </w:pPr>
    </w:p>
    <w:p>
      <w:pPr>
        <w:ind w:left="1320" w:right="180" w:hanging="654"/>
        <w:spacing w:after="0" w:line="212" w:lineRule="auto"/>
        <w:tabs>
          <w:tab w:leader="none" w:pos="1315"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If the Participant’s employment with the Company terminates prior to the issuance or transfer of any remaining Shares due to be issued or transferred to the Participant under this Award, the payment of any applicable withholding taxes with respect to any such issuance or transfer shall be made through the withholding of Shares from such issuance or transfer, rounded down to the nearest whole Share, with the balance to be paid in cash or withheld from compensation or other amount owing to the Participant from the Company or any Affiliate, as provided in Section 10(a) above.</w:t>
      </w:r>
    </w:p>
    <w:p>
      <w:pPr>
        <w:spacing w:after="0" w:line="218" w:lineRule="exact"/>
        <w:rPr>
          <w:rFonts w:ascii="Times New Roman" w:cs="Times New Roman" w:eastAsia="Times New Roman" w:hAnsi="Times New Roman"/>
          <w:sz w:val="22"/>
          <w:szCs w:val="22"/>
          <w:color w:val="auto"/>
        </w:rPr>
      </w:pPr>
    </w:p>
    <w:p>
      <w:pPr>
        <w:ind w:left="580" w:right="940" w:hanging="563"/>
        <w:spacing w:after="0" w:line="229" w:lineRule="auto"/>
        <w:tabs>
          <w:tab w:leader="none" w:pos="57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Section 409A of the Code</w:t>
      </w:r>
      <w:r>
        <w:rPr>
          <w:rFonts w:ascii="Times New Roman" w:cs="Times New Roman" w:eastAsia="Times New Roman" w:hAnsi="Times New Roman"/>
          <w:sz w:val="20"/>
          <w:szCs w:val="20"/>
          <w:color w:val="auto"/>
        </w:rPr>
        <w:t>. The provisions of Section 14(v) of the Plan are hereby incorporated by reference and made a part hereof.</w:t>
      </w:r>
    </w:p>
    <w:p>
      <w:pPr>
        <w:spacing w:after="0" w:line="200" w:lineRule="exact"/>
        <w:rPr>
          <w:rFonts w:ascii="Times New Roman" w:cs="Times New Roman" w:eastAsia="Times New Roman" w:hAnsi="Times New Roman"/>
          <w:sz w:val="22"/>
          <w:szCs w:val="22"/>
          <w:color w:val="auto"/>
        </w:rPr>
      </w:pPr>
    </w:p>
    <w:p>
      <w:pPr>
        <w:jc w:val="both"/>
        <w:ind w:left="580" w:right="600" w:hanging="563"/>
        <w:spacing w:after="0" w:line="223" w:lineRule="auto"/>
        <w:tabs>
          <w:tab w:leader="none" w:pos="578"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RSUs Subject to Plan</w:t>
      </w:r>
      <w:r>
        <w:rPr>
          <w:rFonts w:ascii="Times New Roman" w:cs="Times New Roman" w:eastAsia="Times New Roman" w:hAnsi="Times New Roman"/>
          <w:sz w:val="20"/>
          <w:szCs w:val="20"/>
          <w:color w:val="auto"/>
        </w:rPr>
        <w:t>. All RSUs are subject to the Plan. In the event of a conflict between any term or provision contained herein and a term or provision of the Plan, the applicable terms and provisions of the Plan will govern and prevail.</w:t>
      </w:r>
    </w:p>
    <w:p>
      <w:pPr>
        <w:spacing w:after="0" w:line="201" w:lineRule="exact"/>
        <w:rPr>
          <w:rFonts w:ascii="Times New Roman" w:cs="Times New Roman" w:eastAsia="Times New Roman" w:hAnsi="Times New Roman"/>
          <w:sz w:val="22"/>
          <w:szCs w:val="22"/>
          <w:color w:val="auto"/>
        </w:rPr>
      </w:pPr>
    </w:p>
    <w:p>
      <w:pPr>
        <w:ind w:left="660" w:right="60" w:hanging="642"/>
        <w:spacing w:after="0" w:line="216" w:lineRule="auto"/>
        <w:tabs>
          <w:tab w:leader="none" w:pos="66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claims, certifications, requests, demands and other communications hereunder shall be in writing and shall be deemed to have been duly given and delivered if personally delivered or if sent by nationally-recognized overnight courier, by telecopy, email or by registered or certified mail, return receipt requested and postage prepaid, addressed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060"/>
          </w:cols>
          <w:pgMar w:left="400" w:top="1440" w:right="1439" w:bottom="1440" w:gutter="0" w:footer="0" w:header="0"/>
        </w:sectPr>
      </w:pPr>
    </w:p>
    <w:bookmarkStart w:id="153" w:name="page154"/>
    <w:bookmarkEnd w:id="153"/>
    <w:p>
      <w:pPr>
        <w:spacing w:after="0" w:line="20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If to the Company, to:</w:t>
      </w:r>
    </w:p>
    <w:p>
      <w:pPr>
        <w:spacing w:after="0" w:line="19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Aramark</w:t>
      </w:r>
    </w:p>
    <w:p>
      <w:pPr>
        <w:ind w:left="1960"/>
        <w:spacing w:after="0" w:line="211" w:lineRule="auto"/>
        <w:rPr>
          <w:sz w:val="20"/>
          <w:szCs w:val="20"/>
          <w:color w:val="auto"/>
        </w:rPr>
      </w:pPr>
      <w:r>
        <w:rPr>
          <w:rFonts w:ascii="Times New Roman" w:cs="Times New Roman" w:eastAsia="Times New Roman" w:hAnsi="Times New Roman"/>
          <w:sz w:val="20"/>
          <w:szCs w:val="20"/>
          <w:color w:val="auto"/>
        </w:rPr>
        <w:t>2400 Market Street</w:t>
      </w:r>
    </w:p>
    <w:p>
      <w:pPr>
        <w:ind w:left="1960"/>
        <w:spacing w:after="0"/>
        <w:rPr>
          <w:sz w:val="20"/>
          <w:szCs w:val="20"/>
          <w:color w:val="auto"/>
        </w:rPr>
      </w:pPr>
      <w:r>
        <w:rPr>
          <w:rFonts w:ascii="Times New Roman" w:cs="Times New Roman" w:eastAsia="Times New Roman" w:hAnsi="Times New Roman"/>
          <w:sz w:val="20"/>
          <w:szCs w:val="20"/>
          <w:color w:val="auto"/>
        </w:rPr>
        <w:t>Philadelphia, Pennsylvania 19103 Attention: General Counsel</w:t>
      </w:r>
    </w:p>
    <w:p>
      <w:pPr>
        <w:spacing w:after="0" w:line="194" w:lineRule="exact"/>
        <w:rPr>
          <w:sz w:val="20"/>
          <w:szCs w:val="20"/>
          <w:color w:val="auto"/>
        </w:rPr>
      </w:pPr>
    </w:p>
    <w:p>
      <w:pPr>
        <w:ind w:left="660" w:right="19"/>
        <w:spacing w:after="0" w:line="234" w:lineRule="auto"/>
        <w:rPr>
          <w:sz w:val="20"/>
          <w:szCs w:val="20"/>
          <w:color w:val="auto"/>
        </w:rPr>
      </w:pPr>
      <w:r>
        <w:rPr>
          <w:rFonts w:ascii="Times New Roman" w:cs="Times New Roman" w:eastAsia="Times New Roman" w:hAnsi="Times New Roman"/>
          <w:sz w:val="19"/>
          <w:szCs w:val="19"/>
          <w:color w:val="auto"/>
        </w:rPr>
        <w:t>If to the Participant, to him or her at the address set forth on the signature page hereto; or to such other address as the party to whom notice is to be given may have furnished to the other party in writing in accordance herewith. Any such</w:t>
      </w:r>
    </w:p>
    <w:p>
      <w:pPr>
        <w:spacing w:after="0" w:line="1" w:lineRule="exact"/>
        <w:rPr>
          <w:sz w:val="20"/>
          <w:szCs w:val="20"/>
          <w:color w:val="auto"/>
        </w:rPr>
      </w:pPr>
    </w:p>
    <w:p>
      <w:pPr>
        <w:ind w:left="660" w:right="119"/>
        <w:spacing w:after="0" w:line="215" w:lineRule="auto"/>
        <w:rPr>
          <w:sz w:val="20"/>
          <w:szCs w:val="20"/>
          <w:color w:val="auto"/>
        </w:rPr>
      </w:pPr>
      <w:r>
        <w:rPr>
          <w:rFonts w:ascii="Times New Roman" w:cs="Times New Roman" w:eastAsia="Times New Roman" w:hAnsi="Times New Roman"/>
          <w:sz w:val="19"/>
          <w:szCs w:val="19"/>
          <w:color w:val="auto"/>
        </w:rPr>
        <w:t>notice or other communication shall be deemed to have been received (a) in the case of personal delivery, on the date of such delivery (or if such date is not a business day, on the next business day after the date of delivery), (b) in the</w:t>
      </w:r>
    </w:p>
    <w:p>
      <w:pPr>
        <w:ind w:left="660"/>
        <w:spacing w:after="0" w:line="222" w:lineRule="auto"/>
        <w:rPr>
          <w:sz w:val="20"/>
          <w:szCs w:val="20"/>
          <w:color w:val="auto"/>
        </w:rPr>
      </w:pPr>
      <w:r>
        <w:rPr>
          <w:rFonts w:ascii="Times New Roman" w:cs="Times New Roman" w:eastAsia="Times New Roman" w:hAnsi="Times New Roman"/>
          <w:sz w:val="19"/>
          <w:szCs w:val="19"/>
          <w:color w:val="auto"/>
        </w:rPr>
        <w:t>case of nationally-recognized overnight courier, on the next business day after the date sent, (c) in the case of telecopy</w:t>
      </w:r>
    </w:p>
    <w:p>
      <w:pPr>
        <w:ind w:left="660" w:right="179"/>
        <w:spacing w:after="0" w:line="204" w:lineRule="auto"/>
        <w:rPr>
          <w:sz w:val="20"/>
          <w:szCs w:val="20"/>
          <w:color w:val="auto"/>
        </w:rPr>
      </w:pPr>
      <w:r>
        <w:rPr>
          <w:rFonts w:ascii="Times New Roman" w:cs="Times New Roman" w:eastAsia="Times New Roman" w:hAnsi="Times New Roman"/>
          <w:sz w:val="20"/>
          <w:szCs w:val="20"/>
          <w:color w:val="auto"/>
        </w:rPr>
        <w:t>transmission, when received (or if not sent on a business day, on the next business day after the date sent), and (d) in the case of mailing, on the third business day following that on which the piece of mail containing such</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communication is posted.</w:t>
      </w:r>
    </w:p>
    <w:p>
      <w:pPr>
        <w:spacing w:after="0" w:line="207" w:lineRule="exact"/>
        <w:rPr>
          <w:sz w:val="20"/>
          <w:szCs w:val="20"/>
          <w:color w:val="auto"/>
        </w:rPr>
      </w:pPr>
    </w:p>
    <w:p>
      <w:pPr>
        <w:ind w:left="580" w:right="239" w:hanging="563"/>
        <w:spacing w:after="0" w:line="229" w:lineRule="auto"/>
        <w:tabs>
          <w:tab w:leader="none" w:pos="578"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Waiver of Breach</w:t>
      </w:r>
      <w:r>
        <w:rPr>
          <w:rFonts w:ascii="Times New Roman" w:cs="Times New Roman" w:eastAsia="Times New Roman" w:hAnsi="Times New Roman"/>
          <w:sz w:val="20"/>
          <w:szCs w:val="20"/>
          <w:color w:val="auto"/>
        </w:rPr>
        <w:t>. The waiver by either party of a breach of any provision of this Award must be in writing and shall not operate or be construed as a waiver of any other or subsequent breach.</w:t>
      </w:r>
    </w:p>
    <w:p>
      <w:pPr>
        <w:spacing w:after="0" w:line="200" w:lineRule="exact"/>
        <w:rPr>
          <w:rFonts w:ascii="Times New Roman" w:cs="Times New Roman" w:eastAsia="Times New Roman" w:hAnsi="Times New Roman"/>
          <w:sz w:val="22"/>
          <w:szCs w:val="22"/>
          <w:color w:val="auto"/>
        </w:rPr>
      </w:pPr>
    </w:p>
    <w:p>
      <w:pPr>
        <w:ind w:left="580" w:right="199" w:hanging="563"/>
        <w:spacing w:after="0" w:line="217" w:lineRule="auto"/>
        <w:tabs>
          <w:tab w:leader="none" w:pos="578"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xml:space="preserve"> THIS AWARD WILL BE GOVERNED BY AND CONSTRUED IN ACCORDANCE WITH THE LAWS OF THE STATE OF NEW YORK, WITHOUT GIVING EFFECT TO ANY CHOICE OR CONFLICT OF LAW PROVISION OR RULE (WHETHER OF THE STATE OF NEW YORK OR ANY OTHER JURISDICTION) THAT WOULD CAUSE THE LAWS OF ANY JURISDICTION OTHER THAN THE STATE OF NEW YORK TO BE APPLIED. IN FURTHERANCE OF THE FOREGOING, THE INTERNAL LAW OF THE STATE OF NEW YORK WILL CONTROL THE INTERPRETATION AND CONSTRUCTION OF THIS AWARD,</w:t>
      </w:r>
    </w:p>
    <w:p>
      <w:pPr>
        <w:spacing w:after="0" w:line="3" w:lineRule="exact"/>
        <w:rPr>
          <w:rFonts w:ascii="Times New Roman" w:cs="Times New Roman" w:eastAsia="Times New Roman" w:hAnsi="Times New Roman"/>
          <w:sz w:val="21"/>
          <w:szCs w:val="21"/>
          <w:color w:val="auto"/>
        </w:rPr>
      </w:pPr>
    </w:p>
    <w:p>
      <w:pPr>
        <w:ind w:left="580" w:right="339"/>
        <w:spacing w:after="0" w:line="22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EVEN IF UNDER SUCH JURISDICTION’S CHOICE OF LAW OR CONFLICT OF LAW ANALYSIS, THE SUBSTANTIVE LAW OF SOME OTHER JURISDICTION WOULD ORDINARILY APPLY.</w:t>
      </w:r>
    </w:p>
    <w:p>
      <w:pPr>
        <w:spacing w:after="0" w:line="202" w:lineRule="exact"/>
        <w:rPr>
          <w:rFonts w:ascii="Times New Roman" w:cs="Times New Roman" w:eastAsia="Times New Roman" w:hAnsi="Times New Roman"/>
          <w:sz w:val="21"/>
          <w:szCs w:val="21"/>
          <w:color w:val="auto"/>
        </w:rPr>
      </w:pPr>
    </w:p>
    <w:p>
      <w:pPr>
        <w:ind w:left="660" w:right="139" w:hanging="642"/>
        <w:spacing w:after="0" w:line="214" w:lineRule="auto"/>
        <w:tabs>
          <w:tab w:leader="none" w:pos="66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Modification of Rights; Entire Agreement.</w:t>
      </w:r>
      <w:r>
        <w:rPr>
          <w:rFonts w:ascii="Times New Roman" w:cs="Times New Roman" w:eastAsia="Times New Roman" w:hAnsi="Times New Roman"/>
          <w:sz w:val="20"/>
          <w:szCs w:val="20"/>
          <w:color w:val="auto"/>
        </w:rPr>
        <w:t xml:space="preserve"> The Participant’s rights under this Award and the Plan may be modified only to the extent expressly provided under this Award or under Sections 14(a) and (b) of the Plan. This Award and the Plan (and the other writings referred to herein) constitute the entire agreement between the parties with respect to the subject matter hereof and thereof and supersede all prior written or oral negotiations, commitments, representations and agreements with respect thereto. For the avoidance of doubt, this Award, the Certificate of Grant and the Plan do not supersede any "Restrictive Covenant Agreement" (as defined below) or employment agreement between the Participant and the Company or its Affiliates.</w:t>
      </w:r>
    </w:p>
    <w:p>
      <w:pPr>
        <w:spacing w:after="0" w:line="191" w:lineRule="exact"/>
        <w:rPr>
          <w:rFonts w:ascii="Times New Roman" w:cs="Times New Roman" w:eastAsia="Times New Roman" w:hAnsi="Times New Roman"/>
          <w:sz w:val="22"/>
          <w:szCs w:val="22"/>
          <w:color w:val="auto"/>
        </w:rPr>
      </w:pPr>
    </w:p>
    <w:p>
      <w:pPr>
        <w:ind w:left="660" w:right="1239" w:hanging="642"/>
        <w:spacing w:after="0" w:line="212" w:lineRule="auto"/>
        <w:tabs>
          <w:tab w:leader="none" w:pos="66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Clawback upon Breach of Restrictive Covenants</w:t>
      </w:r>
      <w:r>
        <w:rPr>
          <w:rFonts w:ascii="Times New Roman" w:cs="Times New Roman" w:eastAsia="Times New Roman" w:hAnsi="Times New Roman"/>
          <w:sz w:val="20"/>
          <w:szCs w:val="20"/>
          <w:color w:val="auto"/>
        </w:rPr>
        <w:t>. In the event the Participant breaches the Participant’s “Restrictive Covenant Agreement” (as defined below) at any time</w:t>
      </w: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during the Participant’s employment with the Company or within two years following the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059"/>
          </w:cols>
          <w:pgMar w:left="400" w:top="1440" w:right="1440" w:bottom="1440" w:gutter="0" w:footer="0" w:header="0"/>
        </w:sectPr>
      </w:pPr>
    </w:p>
    <w:bookmarkStart w:id="154" w:name="page155"/>
    <w:bookmarkEnd w:id="154"/>
    <w:p>
      <w:pPr>
        <w:spacing w:after="0" w:line="203" w:lineRule="exact"/>
        <w:rPr>
          <w:sz w:val="20"/>
          <w:szCs w:val="20"/>
          <w:color w:val="auto"/>
        </w:rPr>
      </w:pPr>
    </w:p>
    <w:p>
      <w:pPr>
        <w:ind w:left="660" w:right="39"/>
        <w:spacing w:after="0" w:line="227" w:lineRule="auto"/>
        <w:rPr>
          <w:sz w:val="20"/>
          <w:szCs w:val="20"/>
          <w:color w:val="auto"/>
        </w:rPr>
      </w:pPr>
      <w:r>
        <w:rPr>
          <w:rFonts w:ascii="Times New Roman" w:cs="Times New Roman" w:eastAsia="Times New Roman" w:hAnsi="Times New Roman"/>
          <w:sz w:val="19"/>
          <w:szCs w:val="19"/>
          <w:color w:val="auto"/>
        </w:rPr>
        <w:t>termination thereof, then without limiting any other remedies available to the Company (including, without limitation, remedies involving injunctive relief), the Participant shall immediately forfeit any remaining unvested portion of the</w:t>
      </w:r>
    </w:p>
    <w:p>
      <w:pPr>
        <w:ind w:left="660" w:right="39"/>
        <w:spacing w:after="0" w:line="215" w:lineRule="auto"/>
        <w:rPr>
          <w:sz w:val="20"/>
          <w:szCs w:val="20"/>
          <w:color w:val="auto"/>
        </w:rPr>
      </w:pPr>
      <w:r>
        <w:rPr>
          <w:rFonts w:ascii="Times New Roman" w:cs="Times New Roman" w:eastAsia="Times New Roman" w:hAnsi="Times New Roman"/>
          <w:sz w:val="19"/>
          <w:szCs w:val="19"/>
          <w:color w:val="auto"/>
        </w:rPr>
        <w:t>Award and the Participant shall be required to return to the Company all Shares previously issued in respect of the Award to the extent the Participant continues to own such Shares or, if the Participant no longer owns such Shares, the</w:t>
      </w:r>
    </w:p>
    <w:p>
      <w:pPr>
        <w:ind w:left="660"/>
        <w:spacing w:after="0" w:line="211" w:lineRule="auto"/>
        <w:rPr>
          <w:sz w:val="20"/>
          <w:szCs w:val="20"/>
          <w:color w:val="auto"/>
        </w:rPr>
      </w:pPr>
      <w:r>
        <w:rPr>
          <w:rFonts w:ascii="Times New Roman" w:cs="Times New Roman" w:eastAsia="Times New Roman" w:hAnsi="Times New Roman"/>
          <w:sz w:val="20"/>
          <w:szCs w:val="20"/>
          <w:color w:val="auto"/>
        </w:rPr>
        <w:t>Participant shall be required to repay to the Company the pre-tax cash value of such Shares calculated based on the</w:t>
      </w:r>
    </w:p>
    <w:p>
      <w:pPr>
        <w:ind w:left="660" w:right="219"/>
        <w:spacing w:after="0" w:line="215" w:lineRule="auto"/>
        <w:rPr>
          <w:sz w:val="20"/>
          <w:szCs w:val="20"/>
          <w:color w:val="auto"/>
        </w:rPr>
      </w:pPr>
      <w:r>
        <w:rPr>
          <w:rFonts w:ascii="Times New Roman" w:cs="Times New Roman" w:eastAsia="Times New Roman" w:hAnsi="Times New Roman"/>
          <w:sz w:val="19"/>
          <w:szCs w:val="19"/>
          <w:color w:val="auto"/>
        </w:rPr>
        <w:t>Fair Market Value of such Shares on the date such Shares were issued to the Participant in respect of the Award. As used herein, the “Restrictive Covenant Agreement” means any agreement between the Participant and the Company</w:t>
      </w:r>
    </w:p>
    <w:p>
      <w:pPr>
        <w:ind w:left="660"/>
        <w:spacing w:after="0" w:line="211" w:lineRule="auto"/>
        <w:rPr>
          <w:sz w:val="20"/>
          <w:szCs w:val="20"/>
          <w:color w:val="auto"/>
        </w:rPr>
      </w:pPr>
      <w:r>
        <w:rPr>
          <w:rFonts w:ascii="Times New Roman" w:cs="Times New Roman" w:eastAsia="Times New Roman" w:hAnsi="Times New Roman"/>
          <w:sz w:val="20"/>
          <w:szCs w:val="20"/>
          <w:color w:val="auto"/>
        </w:rPr>
        <w:t>or its Affiliates (including, without limitation, any agreement relating to employment and post-employment</w:t>
      </w:r>
    </w:p>
    <w:p>
      <w:pPr>
        <w:ind w:left="660" w:right="319"/>
        <w:spacing w:after="0" w:line="221" w:lineRule="auto"/>
        <w:rPr>
          <w:sz w:val="20"/>
          <w:szCs w:val="20"/>
          <w:color w:val="auto"/>
        </w:rPr>
      </w:pPr>
      <w:r>
        <w:rPr>
          <w:rFonts w:ascii="Times New Roman" w:cs="Times New Roman" w:eastAsia="Times New Roman" w:hAnsi="Times New Roman"/>
          <w:sz w:val="20"/>
          <w:szCs w:val="20"/>
          <w:color w:val="auto"/>
        </w:rPr>
        <w:t>competition) subjecting the Participant to confidentiality, non-solicitation, non-competition and/or other restrictive covenants in favor of the Company or its Affiliates.</w:t>
      </w:r>
    </w:p>
    <w:p>
      <w:pPr>
        <w:spacing w:after="0" w:line="216" w:lineRule="exact"/>
        <w:rPr>
          <w:sz w:val="20"/>
          <w:szCs w:val="20"/>
          <w:color w:val="auto"/>
        </w:rPr>
      </w:pPr>
    </w:p>
    <w:p>
      <w:pPr>
        <w:ind w:left="660" w:right="59" w:hanging="642"/>
        <w:spacing w:after="0" w:line="210" w:lineRule="auto"/>
        <w:tabs>
          <w:tab w:leader="none" w:pos="66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It is the desire and intent of the parties hereto that the provisions of this Award be enforced to the fullest extent permissible under the laws and public policies applied in each jurisdiction in which enforcement is sought. Accordingly, if any particular provision of this Award shall be adjudicated by a court of competent jurisdiction to be invalid, prohibited or unenforceable for any reason, such provision, as to such jurisdiction, shall be ineffective, without invalidating the remaining provisions of this Award or affecting the validity or enforceability of such provision in any other jurisdiction. Notwithstanding the foregoing, if such provision could be more narrowly drawn so as not to be invalid, prohibited or unenforceable in such jurisdiction, it shall, as to such jurisdiction, be so narrowly drawn, without invalidating the remaining provisions of this Award or affecting the validity or enforceability of such provision in any other jurisdiction.</w:t>
      </w:r>
    </w:p>
    <w:p>
      <w:pPr>
        <w:spacing w:after="0" w:line="342" w:lineRule="exact"/>
        <w:rPr>
          <w:sz w:val="20"/>
          <w:szCs w:val="20"/>
          <w:color w:val="auto"/>
        </w:rPr>
      </w:pPr>
    </w:p>
    <w:p>
      <w:pPr>
        <w:ind w:left="580"/>
        <w:spacing w:after="0"/>
        <w:tabs>
          <w:tab w:leader="none" w:pos="3940" w:val="left"/>
        </w:tabs>
        <w:rPr>
          <w:sz w:val="20"/>
          <w:szCs w:val="20"/>
          <w:color w:val="auto"/>
        </w:rPr>
      </w:pPr>
      <w:r>
        <w:rPr>
          <w:rFonts w:ascii="Times New Roman" w:cs="Times New Roman" w:eastAsia="Times New Roman" w:hAnsi="Times New Roman"/>
          <w:sz w:val="20"/>
          <w:szCs w:val="20"/>
          <w:color w:val="auto"/>
        </w:rPr>
        <w:t>Name: [(Per Certificate of Grant)] Date:</w:t>
        <w:tab/>
        <w:t>[Acceptance</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Date]</w:t>
      </w:r>
    </w:p>
    <w:p>
      <w:pPr>
        <w:spacing w:after="0" w:line="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[Note: Grant will be accepted electronically.]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059"/>
          </w:cols>
          <w:pgMar w:left="400" w:top="1440" w:right="1440" w:bottom="1440" w:gutter="0" w:footer="0" w:header="0"/>
        </w:sectPr>
      </w:pPr>
    </w:p>
    <w:bookmarkStart w:id="155" w:name="page156"/>
    <w:bookmarkEnd w:id="155"/>
    <w:p>
      <w:pPr>
        <w:spacing w:after="0" w:line="199"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02"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20"/>
          <w:szCs w:val="20"/>
          <w:b w:val="1"/>
          <w:bCs w:val="1"/>
          <w:color w:val="auto"/>
        </w:rPr>
        <w:t>DATA PRIVACY NOTICE</w:t>
      </w:r>
    </w:p>
    <w:p>
      <w:pPr>
        <w:spacing w:after="0" w:line="205" w:lineRule="exact"/>
        <w:rPr>
          <w:sz w:val="20"/>
          <w:szCs w:val="20"/>
          <w:color w:val="auto"/>
        </w:rPr>
      </w:pPr>
    </w:p>
    <w:p>
      <w:pPr>
        <w:ind w:left="1300" w:hanging="644"/>
        <w:spacing w:after="0"/>
        <w:tabs>
          <w:tab w:leader="none" w:pos="130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By participating in the Plan or accepting any rights granted under it, the Participant understands that the</w:t>
      </w:r>
    </w:p>
    <w:p>
      <w:pPr>
        <w:ind w:left="660"/>
        <w:spacing w:after="0" w:line="228" w:lineRule="auto"/>
        <w:rPr>
          <w:rFonts w:ascii="Times New Roman" w:cs="Times New Roman" w:eastAsia="Times New Roman" w:hAnsi="Times New Roman"/>
          <w:sz w:val="22"/>
          <w:szCs w:val="22"/>
          <w:color w:val="auto"/>
        </w:rPr>
      </w:pPr>
      <w:r>
        <w:rPr>
          <w:rFonts w:ascii="Times New Roman" w:cs="Times New Roman" w:eastAsia="Times New Roman" w:hAnsi="Times New Roman"/>
          <w:sz w:val="19"/>
          <w:szCs w:val="19"/>
          <w:color w:val="auto"/>
        </w:rPr>
        <w:t>Company and its Affiliates and/or agents collect, use, store and process personal data relating to the Participant to fulfill their obligations and exercise their rights under the Plan, issue certificates (if any), statements and communications relating to the Plan and generally administer and manage the Plan, including keeping records of participation levels from time to time. Any such processing will take place as described in this data privacy notice (“</w:t>
      </w:r>
      <w:r>
        <w:rPr>
          <w:rFonts w:ascii="Times New Roman" w:cs="Times New Roman" w:eastAsia="Times New Roman" w:hAnsi="Times New Roman"/>
          <w:sz w:val="19"/>
          <w:szCs w:val="19"/>
          <w:u w:val="single" w:color="auto"/>
          <w:color w:val="auto"/>
        </w:rPr>
        <w:t>Data Privacy Notice</w:t>
      </w:r>
      <w:r>
        <w:rPr>
          <w:rFonts w:ascii="Times New Roman" w:cs="Times New Roman" w:eastAsia="Times New Roman" w:hAnsi="Times New Roman"/>
          <w:sz w:val="19"/>
          <w:szCs w:val="19"/>
          <w:color w:val="auto"/>
        </w:rPr>
        <w:t>”).</w:t>
      </w:r>
    </w:p>
    <w:p>
      <w:pPr>
        <w:spacing w:after="0" w:line="18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These data will include data:</w:t>
      </w:r>
    </w:p>
    <w:p>
      <w:pPr>
        <w:spacing w:after="0" w:line="229" w:lineRule="exact"/>
        <w:rPr>
          <w:sz w:val="20"/>
          <w:szCs w:val="20"/>
          <w:color w:val="auto"/>
        </w:rPr>
      </w:pPr>
    </w:p>
    <w:p>
      <w:pPr>
        <w:ind w:left="1560" w:right="140" w:hanging="4"/>
        <w:spacing w:after="0" w:line="229" w:lineRule="auto"/>
        <w:tabs>
          <w:tab w:leader="none" w:pos="1953"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already held in the Participant's records such as the Participant's name and address, ID number, payroll number, length of service and whether the Participant works full-time or part time;</w:t>
      </w:r>
    </w:p>
    <w:p>
      <w:pPr>
        <w:spacing w:after="0" w:line="200" w:lineRule="exact"/>
        <w:rPr>
          <w:rFonts w:ascii="Times New Roman" w:cs="Times New Roman" w:eastAsia="Times New Roman" w:hAnsi="Times New Roman"/>
          <w:sz w:val="22"/>
          <w:szCs w:val="22"/>
          <w:color w:val="auto"/>
        </w:rPr>
      </w:pPr>
    </w:p>
    <w:p>
      <w:pPr>
        <w:ind w:left="1940" w:hanging="384"/>
        <w:spacing w:after="0"/>
        <w:tabs>
          <w:tab w:leader="none" w:pos="194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collected upon the Participant accepting the rights granted under the Plan (if applicable); and</w:t>
      </w:r>
    </w:p>
    <w:p>
      <w:pPr>
        <w:spacing w:after="0" w:line="219" w:lineRule="exact"/>
        <w:rPr>
          <w:rFonts w:ascii="Times New Roman" w:cs="Times New Roman" w:eastAsia="Times New Roman" w:hAnsi="Times New Roman"/>
          <w:sz w:val="22"/>
          <w:szCs w:val="22"/>
          <w:color w:val="auto"/>
        </w:rPr>
      </w:pPr>
    </w:p>
    <w:p>
      <w:pPr>
        <w:ind w:left="2040" w:hanging="493"/>
        <w:spacing w:after="0"/>
        <w:tabs>
          <w:tab w:leader="none" w:pos="204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subsequently collected</w:t>
      </w:r>
    </w:p>
    <w:p>
      <w:pPr>
        <w:spacing w:after="0" w:line="206" w:lineRule="exact"/>
        <w:rPr>
          <w:sz w:val="20"/>
          <w:szCs w:val="20"/>
          <w:color w:val="auto"/>
        </w:rPr>
      </w:pPr>
    </w:p>
    <w:p>
      <w:pPr>
        <w:ind w:left="1560"/>
        <w:spacing w:after="0" w:line="227" w:lineRule="auto"/>
        <w:rPr>
          <w:sz w:val="20"/>
          <w:szCs w:val="20"/>
          <w:color w:val="auto"/>
        </w:rPr>
      </w:pPr>
      <w:r>
        <w:rPr>
          <w:rFonts w:ascii="Times New Roman" w:cs="Times New Roman" w:eastAsia="Times New Roman" w:hAnsi="Times New Roman"/>
          <w:sz w:val="19"/>
          <w:szCs w:val="19"/>
          <w:color w:val="auto"/>
        </w:rPr>
        <w:t>by the Company or any of its Affiliates and/or agents in relation to the Participant's continued participation in the Plan, for example, data about shares offered or received, purchased or sold under the Plan from time to</w:t>
      </w:r>
    </w:p>
    <w:p>
      <w:pPr>
        <w:ind w:left="1560" w:right="300"/>
        <w:spacing w:after="0" w:line="204" w:lineRule="auto"/>
        <w:rPr>
          <w:sz w:val="20"/>
          <w:szCs w:val="20"/>
          <w:color w:val="auto"/>
        </w:rPr>
      </w:pPr>
      <w:r>
        <w:rPr>
          <w:rFonts w:ascii="Times New Roman" w:cs="Times New Roman" w:eastAsia="Times New Roman" w:hAnsi="Times New Roman"/>
          <w:sz w:val="20"/>
          <w:szCs w:val="20"/>
          <w:color w:val="auto"/>
        </w:rPr>
        <w:t>time and other appropriate financial and other data about the Participant and his or her participation in the Plan (e.g., the date on which the shares were granted, termination of employment and the reasons of</w:t>
      </w:r>
    </w:p>
    <w:p>
      <w:pPr>
        <w:spacing w:after="0" w:line="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0"/>
          <w:szCs w:val="20"/>
          <w:color w:val="auto"/>
        </w:rPr>
        <w:t>termination of employment or retirement of the Participant).</w:t>
      </w:r>
    </w:p>
    <w:p>
      <w:pPr>
        <w:spacing w:after="0" w:line="200" w:lineRule="exact"/>
        <w:rPr>
          <w:sz w:val="20"/>
          <w:szCs w:val="20"/>
          <w:color w:val="auto"/>
        </w:rPr>
      </w:pPr>
    </w:p>
    <w:p>
      <w:pPr>
        <w:spacing w:after="0" w:line="313" w:lineRule="exact"/>
        <w:rPr>
          <w:sz w:val="20"/>
          <w:szCs w:val="20"/>
          <w:color w:val="auto"/>
        </w:rPr>
      </w:pPr>
    </w:p>
    <w:p>
      <w:pPr>
        <w:ind w:left="580" w:right="100"/>
        <w:spacing w:after="0"/>
        <w:rPr>
          <w:sz w:val="20"/>
          <w:szCs w:val="20"/>
          <w:color w:val="auto"/>
        </w:rPr>
      </w:pPr>
      <w:r>
        <w:rPr>
          <w:rFonts w:ascii="Times New Roman" w:cs="Times New Roman" w:eastAsia="Times New Roman" w:hAnsi="Times New Roman"/>
          <w:sz w:val="22"/>
          <w:szCs w:val="22"/>
          <w:color w:val="auto"/>
        </w:rPr>
        <w:t xml:space="preserve">(c) </w:t>
      </w:r>
      <w:r>
        <w:rPr>
          <w:rFonts w:ascii="Times New Roman" w:cs="Times New Roman" w:eastAsia="Times New Roman" w:hAnsi="Times New Roman"/>
          <w:sz w:val="19"/>
          <w:szCs w:val="19"/>
          <w:color w:val="auto"/>
        </w:rPr>
        <w:t>Personal data about the Participant as described in paragraph (a) above may be transferred not only within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country in which the Participant is based from time to time or within the European Economic Area</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9"/>
          <w:szCs w:val="19"/>
          <w:color w:val="auto"/>
        </w:rPr>
        <w:t xml:space="preserve"> (“EEA”), but also worldwide, to other Affiliates and/or agents and to the following third parties for the purposes described in paragraph (a) above:</w:t>
      </w:r>
    </w:p>
    <w:p>
      <w:pPr>
        <w:spacing w:after="0" w:line="308" w:lineRule="exact"/>
        <w:rPr>
          <w:sz w:val="20"/>
          <w:szCs w:val="20"/>
          <w:color w:val="auto"/>
        </w:rPr>
      </w:pPr>
    </w:p>
    <w:p>
      <w:pPr>
        <w:ind w:left="1560" w:right="100"/>
        <w:spacing w:after="0" w:line="225" w:lineRule="auto"/>
        <w:rPr>
          <w:sz w:val="20"/>
          <w:szCs w:val="20"/>
          <w:color w:val="auto"/>
        </w:rPr>
      </w:pPr>
      <w:r>
        <w:rPr>
          <w:rFonts w:ascii="Times New Roman" w:cs="Times New Roman" w:eastAsia="Times New Roman" w:hAnsi="Times New Roman"/>
          <w:sz w:val="22"/>
          <w:szCs w:val="22"/>
          <w:color w:val="auto"/>
        </w:rPr>
        <w:t xml:space="preserve">(iv) </w:t>
      </w:r>
      <w:r>
        <w:rPr>
          <w:rFonts w:ascii="Times New Roman" w:cs="Times New Roman" w:eastAsia="Times New Roman" w:hAnsi="Times New Roman"/>
          <w:sz w:val="19"/>
          <w:szCs w:val="19"/>
          <w:color w:val="auto"/>
        </w:rPr>
        <w:t>Plan administrators, transfer agents, auditors, brokers, agents and contractors of, and third party service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providers to, the Company or its Affiliates such as printers and mail houses engaged to print or distribute notices or communications about the Plan;</w:t>
      </w:r>
    </w:p>
    <w:p>
      <w:pPr>
        <w:spacing w:after="0" w:line="185" w:lineRule="exact"/>
        <w:rPr>
          <w:sz w:val="20"/>
          <w:szCs w:val="20"/>
          <w:color w:val="auto"/>
        </w:rPr>
      </w:pPr>
    </w:p>
    <w:p>
      <w:pPr>
        <w:ind w:left="1560" w:right="140"/>
        <w:spacing w:after="0" w:line="248" w:lineRule="auto"/>
        <w:rPr>
          <w:sz w:val="20"/>
          <w:szCs w:val="20"/>
          <w:color w:val="auto"/>
        </w:rPr>
      </w:pPr>
      <w:r>
        <w:rPr>
          <w:rFonts w:ascii="Times New Roman" w:cs="Times New Roman" w:eastAsia="Times New Roman" w:hAnsi="Times New Roman"/>
          <w:sz w:val="22"/>
          <w:szCs w:val="22"/>
          <w:color w:val="auto"/>
        </w:rPr>
        <w:t xml:space="preserve">(v) </w:t>
      </w:r>
      <w:r>
        <w:rPr>
          <w:rFonts w:ascii="Times New Roman" w:cs="Times New Roman" w:eastAsia="Times New Roman" w:hAnsi="Times New Roman"/>
          <w:sz w:val="19"/>
          <w:szCs w:val="19"/>
          <w:color w:val="auto"/>
        </w:rPr>
        <w:t>regulators, tax authorities, stock or security exchanges and other supervisory, regulatory, governmental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or public bodies as required by law;</w:t>
      </w:r>
    </w:p>
    <w:p>
      <w:pPr>
        <w:spacing w:after="0" w:line="174" w:lineRule="exact"/>
        <w:rPr>
          <w:sz w:val="20"/>
          <w:szCs w:val="20"/>
          <w:color w:val="auto"/>
        </w:rPr>
      </w:pPr>
    </w:p>
    <w:p>
      <w:pPr>
        <w:ind w:left="1560" w:right="60"/>
        <w:spacing w:after="0" w:line="237" w:lineRule="auto"/>
        <w:rPr>
          <w:sz w:val="20"/>
          <w:szCs w:val="20"/>
          <w:color w:val="auto"/>
        </w:rPr>
      </w:pPr>
      <w:r>
        <w:rPr>
          <w:rFonts w:ascii="Times New Roman" w:cs="Times New Roman" w:eastAsia="Times New Roman" w:hAnsi="Times New Roman"/>
          <w:sz w:val="22"/>
          <w:szCs w:val="22"/>
          <w:color w:val="auto"/>
        </w:rPr>
        <w:t xml:space="preserve">(vi) </w:t>
      </w:r>
      <w:r>
        <w:rPr>
          <w:rFonts w:ascii="Times New Roman" w:cs="Times New Roman" w:eastAsia="Times New Roman" w:hAnsi="Times New Roman"/>
          <w:sz w:val="19"/>
          <w:szCs w:val="19"/>
          <w:color w:val="auto"/>
        </w:rPr>
        <w:t>actual or proposed merger or acquisition partners or proposed assignees of, or those taking or proposing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to take security over, the business or assets or stock of the Company or its Affiliates and their agents and contractors;</w:t>
      </w:r>
    </w:p>
    <w:p>
      <w:pPr>
        <w:spacing w:after="0" w:line="183" w:lineRule="exact"/>
        <w:rPr>
          <w:sz w:val="20"/>
          <w:szCs w:val="20"/>
          <w:color w:val="auto"/>
        </w:rPr>
      </w:pPr>
    </w:p>
    <w:p>
      <w:pPr>
        <w:ind w:left="1560" w:right="1060"/>
        <w:spacing w:after="0" w:line="225" w:lineRule="auto"/>
        <w:rPr>
          <w:sz w:val="20"/>
          <w:szCs w:val="20"/>
          <w:color w:val="auto"/>
        </w:rPr>
      </w:pPr>
      <w:r>
        <w:rPr>
          <w:rFonts w:ascii="Times New Roman" w:cs="Times New Roman" w:eastAsia="Times New Roman" w:hAnsi="Times New Roman"/>
          <w:sz w:val="22"/>
          <w:szCs w:val="22"/>
          <w:color w:val="auto"/>
        </w:rPr>
        <w:t>(vii)</w:t>
      </w:r>
      <w:r>
        <w:rPr>
          <w:rFonts w:ascii="Times New Roman" w:cs="Times New Roman" w:eastAsia="Times New Roman" w:hAnsi="Times New Roman"/>
          <w:sz w:val="19"/>
          <w:szCs w:val="19"/>
          <w:color w:val="auto"/>
        </w:rPr>
        <w:t>other third parties to whom the Company or its Affiliates and/or agents may need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communicate/transfer the data in connection with the administration of the Plan, under a duty of confidentiality to the Company and its Affiliates; and</w:t>
      </w:r>
    </w:p>
    <w:p>
      <w:pPr>
        <w:spacing w:after="0" w:line="185" w:lineRule="exact"/>
        <w:rPr>
          <w:sz w:val="20"/>
          <w:szCs w:val="20"/>
          <w:color w:val="auto"/>
        </w:rPr>
      </w:pPr>
    </w:p>
    <w:p>
      <w:pPr>
        <w:ind w:left="1560" w:right="280"/>
        <w:spacing w:after="0" w:line="227" w:lineRule="auto"/>
        <w:rPr>
          <w:sz w:val="20"/>
          <w:szCs w:val="20"/>
          <w:color w:val="auto"/>
        </w:rPr>
      </w:pPr>
      <w:r>
        <w:rPr>
          <w:rFonts w:ascii="Times New Roman" w:cs="Times New Roman" w:eastAsia="Times New Roman" w:hAnsi="Times New Roman"/>
          <w:sz w:val="22"/>
          <w:szCs w:val="22"/>
          <w:color w:val="auto"/>
        </w:rPr>
        <w:t xml:space="preserve">(viii) </w:t>
      </w:r>
      <w:r>
        <w:rPr>
          <w:rFonts w:ascii="Times New Roman" w:cs="Times New Roman" w:eastAsia="Times New Roman" w:hAnsi="Times New Roman"/>
          <w:sz w:val="19"/>
          <w:szCs w:val="19"/>
          <w:color w:val="auto"/>
        </w:rPr>
        <w:t>the Participant's family members, heirs, legatees and others associated with the Participant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connection with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17145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4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The European Economic Area is composed of 27 member states of the European Union plus Iceland, Liechtenstein and Norway.</w:t>
      </w:r>
    </w:p>
    <w:p>
      <w:pPr>
        <w:spacing w:after="0" w:line="200" w:lineRule="exact"/>
        <w:rPr>
          <w:sz w:val="20"/>
          <w:szCs w:val="20"/>
          <w:color w:val="auto"/>
        </w:rPr>
      </w:pPr>
    </w:p>
    <w:p>
      <w:pPr>
        <w:spacing w:after="0" w:line="25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220"/>
          </w:cols>
          <w:pgMar w:left="320" w:top="1440" w:right="1359" w:bottom="1440" w:gutter="0" w:footer="0" w:header="0"/>
        </w:sectPr>
      </w:pPr>
    </w:p>
    <w:bookmarkStart w:id="156" w:name="page157"/>
    <w:bookmarkEnd w:id="156"/>
    <w:p>
      <w:pPr>
        <w:ind w:left="20" w:right="120"/>
        <w:spacing w:after="0" w:line="234" w:lineRule="auto"/>
        <w:rPr>
          <w:sz w:val="20"/>
          <w:szCs w:val="20"/>
          <w:color w:val="auto"/>
        </w:rPr>
      </w:pPr>
      <w:r>
        <w:rPr>
          <w:rFonts w:ascii="Times New Roman" w:cs="Times New Roman" w:eastAsia="Times New Roman" w:hAnsi="Times New Roman"/>
          <w:sz w:val="19"/>
          <w:szCs w:val="19"/>
          <w:color w:val="auto"/>
        </w:rPr>
        <w:t>Not all countries, where the personal data may be processed or transferred to, have an equal level of data protection as in Canada, the EU or EEA. Countries to which data are transferred include the United States and Bermuda. The Company, as the</w:t>
      </w:r>
    </w:p>
    <w:p>
      <w:pPr>
        <w:spacing w:after="0" w:line="1" w:lineRule="exact"/>
        <w:rPr>
          <w:sz w:val="20"/>
          <w:szCs w:val="20"/>
          <w:color w:val="auto"/>
        </w:rPr>
      </w:pPr>
    </w:p>
    <w:p>
      <w:pPr>
        <w:ind w:left="20" w:right="60"/>
        <w:spacing w:after="0" w:line="215" w:lineRule="auto"/>
        <w:rPr>
          <w:sz w:val="20"/>
          <w:szCs w:val="20"/>
          <w:color w:val="auto"/>
        </w:rPr>
      </w:pPr>
      <w:r>
        <w:rPr>
          <w:rFonts w:ascii="Times New Roman" w:cs="Times New Roman" w:eastAsia="Times New Roman" w:hAnsi="Times New Roman"/>
          <w:sz w:val="19"/>
          <w:szCs w:val="19"/>
          <w:color w:val="auto"/>
        </w:rPr>
        <w:t>responsible data controller of any data processing for the purposes of the Plan, is located in the United States. For any transfers outside the country of origin of the personal data or with a third party, the Company will ensure that appropriate measures are</w:t>
      </w:r>
    </w:p>
    <w:p>
      <w:pPr>
        <w:ind w:left="20" w:right="360"/>
        <w:spacing w:after="0" w:line="228" w:lineRule="auto"/>
        <w:rPr>
          <w:sz w:val="20"/>
          <w:szCs w:val="20"/>
          <w:color w:val="auto"/>
        </w:rPr>
      </w:pPr>
      <w:r>
        <w:rPr>
          <w:rFonts w:ascii="Times New Roman" w:cs="Times New Roman" w:eastAsia="Times New Roman" w:hAnsi="Times New Roman"/>
          <w:sz w:val="20"/>
          <w:szCs w:val="20"/>
          <w:color w:val="auto"/>
        </w:rPr>
        <w:t>in place to ensure an adequate level of protection for your personal data, including technical or contractual measures where necessary.</w:t>
      </w:r>
    </w:p>
    <w:p>
      <w:pPr>
        <w:spacing w:after="0" w:line="1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For European personal data, onward transfers of personal data within the United States and to Bermuda are generally</w:t>
      </w:r>
    </w:p>
    <w:p>
      <w:pPr>
        <w:ind w:left="20" w:right="140"/>
        <w:spacing w:after="0" w:line="215" w:lineRule="auto"/>
        <w:rPr>
          <w:sz w:val="20"/>
          <w:szCs w:val="20"/>
          <w:color w:val="auto"/>
        </w:rPr>
      </w:pPr>
      <w:r>
        <w:rPr>
          <w:rFonts w:ascii="Times New Roman" w:cs="Times New Roman" w:eastAsia="Times New Roman" w:hAnsi="Times New Roman"/>
          <w:sz w:val="19"/>
          <w:szCs w:val="19"/>
          <w:color w:val="auto"/>
        </w:rPr>
        <w:t>undertaken with adequate safeguards in place to protect personal data, such as Standard Contractual Clauses issued by the European Commission, which are, where necessary, supplemented with additional measures to provide adequate protection of</w:t>
      </w:r>
    </w:p>
    <w:p>
      <w:pPr>
        <w:ind w:left="20"/>
        <w:spacing w:after="0"/>
        <w:rPr>
          <w:sz w:val="20"/>
          <w:szCs w:val="20"/>
          <w:color w:val="auto"/>
        </w:rPr>
      </w:pPr>
      <w:r>
        <w:rPr>
          <w:rFonts w:ascii="Times New Roman" w:cs="Times New Roman" w:eastAsia="Times New Roman" w:hAnsi="Times New Roman"/>
          <w:sz w:val="20"/>
          <w:szCs w:val="20"/>
          <w:color w:val="auto"/>
        </w:rPr>
        <w:t>personal data.</w:t>
      </w:r>
    </w:p>
    <w:p>
      <w:pPr>
        <w:spacing w:after="0" w:line="194" w:lineRule="exact"/>
        <w:rPr>
          <w:sz w:val="20"/>
          <w:szCs w:val="20"/>
          <w:color w:val="auto"/>
        </w:rPr>
      </w:pPr>
    </w:p>
    <w:p>
      <w:pPr>
        <w:ind w:left="20" w:right="40"/>
        <w:spacing w:after="0" w:line="233" w:lineRule="auto"/>
        <w:rPr>
          <w:sz w:val="20"/>
          <w:szCs w:val="20"/>
          <w:color w:val="auto"/>
        </w:rPr>
      </w:pPr>
      <w:r>
        <w:rPr>
          <w:rFonts w:ascii="Times New Roman" w:cs="Times New Roman" w:eastAsia="Times New Roman" w:hAnsi="Times New Roman"/>
          <w:sz w:val="20"/>
          <w:szCs w:val="20"/>
          <w:color w:val="auto"/>
        </w:rPr>
        <w:t>All national and international transfer of personal data is only done in order to fulfill the obligations and rights of the Company and/or its Affiliates under the Plan.</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The Participant may access, modify, correct or delete personal data about the Participant, restrict or object to the processing of</w:t>
      </w:r>
    </w:p>
    <w:p>
      <w:pPr>
        <w:spacing w:after="0" w:line="6" w:lineRule="exact"/>
        <w:rPr>
          <w:sz w:val="20"/>
          <w:szCs w:val="20"/>
          <w:color w:val="auto"/>
        </w:rPr>
      </w:pPr>
    </w:p>
    <w:p>
      <w:pPr>
        <w:ind w:left="20"/>
        <w:spacing w:after="0" w:line="215" w:lineRule="auto"/>
        <w:rPr>
          <w:sz w:val="20"/>
          <w:szCs w:val="20"/>
          <w:color w:val="auto"/>
        </w:rPr>
      </w:pPr>
      <w:r>
        <w:rPr>
          <w:rFonts w:ascii="Times New Roman" w:cs="Times New Roman" w:eastAsia="Times New Roman" w:hAnsi="Times New Roman"/>
          <w:sz w:val="19"/>
          <w:szCs w:val="19"/>
          <w:color w:val="auto"/>
        </w:rPr>
        <w:t>personal data, or opt to receive personal data in a structured, commonly used, machine readable form which provides the ability to move, copy or transfer personal data to another controller by contacting the local data protection officer in the country in</w:t>
      </w:r>
    </w:p>
    <w:p>
      <w:pPr>
        <w:ind w:left="20"/>
        <w:spacing w:after="0" w:line="211" w:lineRule="auto"/>
        <w:rPr>
          <w:sz w:val="20"/>
          <w:szCs w:val="20"/>
          <w:color w:val="auto"/>
        </w:rPr>
      </w:pPr>
      <w:r>
        <w:rPr>
          <w:rFonts w:ascii="Times New Roman" w:cs="Times New Roman" w:eastAsia="Times New Roman" w:hAnsi="Times New Roman"/>
          <w:sz w:val="20"/>
          <w:szCs w:val="20"/>
          <w:color w:val="auto"/>
        </w:rPr>
        <w:t>which the Participant is based. Please note, however, that certain personal information about the Participant may be exempt</w:t>
      </w:r>
    </w:p>
    <w:p>
      <w:pPr>
        <w:ind w:left="20" w:right="180"/>
        <w:spacing w:after="0" w:line="215" w:lineRule="auto"/>
        <w:rPr>
          <w:sz w:val="20"/>
          <w:szCs w:val="20"/>
          <w:color w:val="auto"/>
        </w:rPr>
      </w:pPr>
      <w:r>
        <w:rPr>
          <w:rFonts w:ascii="Times New Roman" w:cs="Times New Roman" w:eastAsia="Times New Roman" w:hAnsi="Times New Roman"/>
          <w:sz w:val="19"/>
          <w:szCs w:val="19"/>
          <w:color w:val="auto"/>
        </w:rPr>
        <w:t>from afore mentioned rights pursuant to applicable data protection laws. In addition, the Participant has the right to lodge a complaint with a competent data protection supervisory authority, in particular in the EU Member State where the Participant</w:t>
      </w:r>
    </w:p>
    <w:p>
      <w:pPr>
        <w:ind w:left="20"/>
        <w:spacing w:after="0" w:line="211" w:lineRule="auto"/>
        <w:rPr>
          <w:sz w:val="20"/>
          <w:szCs w:val="20"/>
          <w:color w:val="auto"/>
        </w:rPr>
      </w:pPr>
      <w:r>
        <w:rPr>
          <w:rFonts w:ascii="Times New Roman" w:cs="Times New Roman" w:eastAsia="Times New Roman" w:hAnsi="Times New Roman"/>
          <w:sz w:val="20"/>
          <w:szCs w:val="20"/>
          <w:color w:val="auto"/>
        </w:rPr>
        <w:t>resides, works or the place of the alleged infringement. If the Participant has a complaint regarding the manner in which</w:t>
      </w:r>
    </w:p>
    <w:p>
      <w:pPr>
        <w:ind w:left="20" w:right="20"/>
        <w:spacing w:after="0" w:line="221" w:lineRule="auto"/>
        <w:rPr>
          <w:sz w:val="20"/>
          <w:szCs w:val="20"/>
          <w:color w:val="auto"/>
        </w:rPr>
      </w:pPr>
      <w:r>
        <w:rPr>
          <w:rFonts w:ascii="Times New Roman" w:cs="Times New Roman" w:eastAsia="Times New Roman" w:hAnsi="Times New Roman"/>
          <w:sz w:val="20"/>
          <w:szCs w:val="20"/>
          <w:color w:val="auto"/>
        </w:rPr>
        <w:t>personal information relating to the Participant is dealt with, the Participant should contact the appropriate local data protection officer referred to above.</w:t>
      </w:r>
    </w:p>
    <w:p>
      <w:pPr>
        <w:spacing w:after="0" w:line="202" w:lineRule="exact"/>
        <w:rPr>
          <w:sz w:val="20"/>
          <w:szCs w:val="20"/>
          <w:color w:val="auto"/>
        </w:rPr>
      </w:pPr>
    </w:p>
    <w:p>
      <w:pPr>
        <w:ind w:left="580" w:right="180" w:hanging="4"/>
        <w:spacing w:after="0" w:line="229" w:lineRule="auto"/>
        <w:tabs>
          <w:tab w:leader="none" w:pos="1223"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processing (including transfer) of data described above is essential for the administration and operation of the Plan. Therefore, it is essential that his/her personal data is processed in the manner described above.</w:t>
      </w:r>
    </w:p>
    <w:p>
      <w:pPr>
        <w:spacing w:after="0" w:line="38" w:lineRule="exact"/>
        <w:rPr>
          <w:rFonts w:ascii="Times New Roman" w:cs="Times New Roman" w:eastAsia="Times New Roman" w:hAnsi="Times New Roman"/>
          <w:sz w:val="22"/>
          <w:szCs w:val="22"/>
          <w:color w:val="auto"/>
        </w:rPr>
      </w:pPr>
    </w:p>
    <w:p>
      <w:pPr>
        <w:ind w:left="580" w:right="240" w:hanging="4"/>
        <w:spacing w:after="0"/>
        <w:tabs>
          <w:tab w:leader="none" w:pos="1225"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Company will only retain personal data for as long as is required to satisfy the purposes as described in paragraph (a) above, except where otherwise provided or required by law (e.g. in connection with pending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0120"/>
          </w:cols>
          <w:pgMar w:left="400" w:top="1318" w:right="137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20"/>
          <w:szCs w:val="20"/>
          <w:b w:val="1"/>
          <w:bCs w:val="1"/>
          <w:color w:val="auto"/>
        </w:rPr>
        <w:t>Exhibit 10.93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0" w:right="200" w:firstLine="55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FORM OF NON-QUALIFIED STOCK OPTION AWARD </w:t>
      </w:r>
      <w:r>
        <w:rPr>
          <w:rFonts w:ascii="Times New Roman" w:cs="Times New Roman" w:eastAsia="Times New Roman" w:hAnsi="Times New Roman"/>
          <w:sz w:val="22"/>
          <w:szCs w:val="22"/>
          <w:color w:val="auto"/>
        </w:rPr>
        <w:t>(this “Award”) dated as of the Date of Grant set forth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Certificate of Grant to which this Award is attached (the “Grant Date”) between Aramark (formerly known as ARAMARK HOLDINGS CORPORATION), a Delaware corporation (the “Company”), and the Participant set forth on the Certificate of Grant of the Options attached to this Award and made a part hereof (the “Certificate of Grant”).</w:t>
      </w:r>
    </w:p>
    <w:p>
      <w:pPr>
        <w:spacing w:after="0" w:line="193" w:lineRule="exact"/>
        <w:rPr>
          <w:sz w:val="20"/>
          <w:szCs w:val="20"/>
          <w:color w:val="auto"/>
        </w:rPr>
      </w:pPr>
    </w:p>
    <w:p>
      <w:pPr>
        <w:ind w:left="100" w:right="1460" w:firstLine="647"/>
        <w:spacing w:after="0" w:line="212" w:lineRule="auto"/>
        <w:rPr>
          <w:sz w:val="20"/>
          <w:szCs w:val="20"/>
          <w:color w:val="auto"/>
        </w:rPr>
      </w:pPr>
      <w:r>
        <w:rPr>
          <w:rFonts w:ascii="Times New Roman" w:cs="Times New Roman" w:eastAsia="Times New Roman" w:hAnsi="Times New Roman"/>
          <w:sz w:val="22"/>
          <w:szCs w:val="22"/>
          <w:color w:val="auto"/>
        </w:rPr>
        <w:t>WHEREAS, the Company, acting through the Committee (as such term is defined in the Plan) or a subcommittee thereof, has agreed to grant to the Participant, as of the Grant Date, an option under the Company Amended and Restated 2013 Stock Incentive Plan (as may be</w:t>
      </w:r>
    </w:p>
    <w:p>
      <w:pPr>
        <w:spacing w:after="0" w:line="2" w:lineRule="exact"/>
        <w:rPr>
          <w:sz w:val="20"/>
          <w:szCs w:val="20"/>
          <w:color w:val="auto"/>
        </w:rPr>
      </w:pPr>
    </w:p>
    <w:p>
      <w:pPr>
        <w:ind w:left="100" w:right="980"/>
        <w:spacing w:after="0" w:line="225" w:lineRule="auto"/>
        <w:rPr>
          <w:sz w:val="20"/>
          <w:szCs w:val="20"/>
          <w:color w:val="auto"/>
        </w:rPr>
      </w:pPr>
      <w:r>
        <w:rPr>
          <w:rFonts w:ascii="Times New Roman" w:cs="Times New Roman" w:eastAsia="Times New Roman" w:hAnsi="Times New Roman"/>
          <w:sz w:val="22"/>
          <w:szCs w:val="22"/>
          <w:color w:val="auto"/>
        </w:rPr>
        <w:t>amended,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to purchase a number of shares of Common Stock on the terms and subject to the conditions set forth in this Award, the Certificate of Grant and the Plan.</w:t>
      </w:r>
    </w:p>
    <w:p>
      <w:pPr>
        <w:spacing w:after="0" w:line="16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NOW, THEREFORE, in consideration of the promises and agreements contained in this</w:t>
      </w:r>
    </w:p>
    <w:p>
      <w:pPr>
        <w:ind w:left="100"/>
        <w:spacing w:after="0"/>
        <w:rPr>
          <w:sz w:val="20"/>
          <w:szCs w:val="20"/>
          <w:color w:val="auto"/>
        </w:rPr>
      </w:pPr>
      <w:r>
        <w:rPr>
          <w:rFonts w:ascii="Times New Roman" w:cs="Times New Roman" w:eastAsia="Times New Roman" w:hAnsi="Times New Roman"/>
          <w:sz w:val="22"/>
          <w:szCs w:val="22"/>
          <w:color w:val="auto"/>
        </w:rPr>
        <w:t>Award:</w:t>
      </w:r>
    </w:p>
    <w:p>
      <w:pPr>
        <w:spacing w:after="0" w:line="183" w:lineRule="exact"/>
        <w:rPr>
          <w:sz w:val="20"/>
          <w:szCs w:val="20"/>
          <w:color w:val="auto"/>
        </w:rPr>
      </w:pPr>
    </w:p>
    <w:p>
      <w:pPr>
        <w:ind w:left="740"/>
        <w:spacing w:after="0"/>
        <w:tabs>
          <w:tab w:leader="none" w:pos="1800" w:val="left"/>
        </w:tabs>
        <w:rPr>
          <w:sz w:val="20"/>
          <w:szCs w:val="20"/>
          <w:color w:val="auto"/>
        </w:rPr>
      </w:pPr>
      <w:r>
        <w:rPr>
          <w:rFonts w:ascii="Times New Roman" w:cs="Times New Roman" w:eastAsia="Times New Roman" w:hAnsi="Times New Roman"/>
          <w:sz w:val="22"/>
          <w:szCs w:val="22"/>
          <w:color w:val="auto"/>
        </w:rPr>
        <w:t>Section 1.</w:t>
      </w:r>
      <w:r>
        <w:rPr>
          <w:sz w:val="20"/>
          <w:szCs w:val="20"/>
          <w:color w:val="auto"/>
        </w:rPr>
        <w:tab/>
      </w:r>
      <w:r>
        <w:rPr>
          <w:rFonts w:ascii="Times New Roman" w:cs="Times New Roman" w:eastAsia="Times New Roman" w:hAnsi="Times New Roman"/>
          <w:sz w:val="21"/>
          <w:szCs w:val="21"/>
          <w:u w:val="single" w:color="auto"/>
          <w:color w:val="auto"/>
        </w:rPr>
        <w:t>The Plan</w:t>
      </w:r>
      <w:r>
        <w:rPr>
          <w:rFonts w:ascii="Times New Roman" w:cs="Times New Roman" w:eastAsia="Times New Roman" w:hAnsi="Times New Roman"/>
          <w:sz w:val="21"/>
          <w:szCs w:val="21"/>
          <w:color w:val="auto"/>
        </w:rPr>
        <w:t>. The terms and provisions of the Plan are hereby incorporated</w:t>
      </w:r>
    </w:p>
    <w:p>
      <w:pPr>
        <w:ind w:left="100" w:right="1000"/>
        <w:spacing w:after="0" w:line="214" w:lineRule="auto"/>
        <w:rPr>
          <w:sz w:val="20"/>
          <w:szCs w:val="20"/>
          <w:color w:val="auto"/>
        </w:rPr>
      </w:pPr>
      <w:r>
        <w:rPr>
          <w:rFonts w:ascii="Times New Roman" w:cs="Times New Roman" w:eastAsia="Times New Roman" w:hAnsi="Times New Roman"/>
          <w:sz w:val="22"/>
          <w:szCs w:val="22"/>
          <w:color w:val="auto"/>
        </w:rPr>
        <w:t>into this Award as if set forth herein in their entirety. In the event of a conflict between any provision of this Award and the Plan, the provisions of the Plan shall control. A copy of the Plan has been provided to the Participant. Capitalized terms used herein and not otherwise defined herein shall have the respective meanings ascribed thereto in the Plan and the Certificate of Grant.</w:t>
      </w:r>
    </w:p>
    <w:p>
      <w:pPr>
        <w:spacing w:after="0" w:line="262" w:lineRule="exact"/>
        <w:rPr>
          <w:sz w:val="20"/>
          <w:szCs w:val="20"/>
          <w:color w:val="auto"/>
        </w:rPr>
      </w:pPr>
    </w:p>
    <w:p>
      <w:pPr>
        <w:ind w:left="100" w:right="960" w:firstLine="647"/>
        <w:spacing w:after="0" w:line="213"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Option Award; Exercise Price; Exercise of Vested Option</w:t>
      </w:r>
      <w:r>
        <w:rPr>
          <w:rFonts w:ascii="Times New Roman" w:cs="Times New Roman" w:eastAsia="Times New Roman" w:hAnsi="Times New Roman"/>
          <w:sz w:val="22"/>
          <w:szCs w:val="22"/>
          <w:color w:val="auto"/>
        </w:rPr>
        <w:t>. Effective on the Grant Date, on the terms and subject to the conditions of the Plan and this Award, the Company hereby grants to the Participant the option to purchase the number of Shares set forth on the Certificate of Grant (the “</w:t>
      </w:r>
      <w:r>
        <w:rPr>
          <w:rFonts w:ascii="Times New Roman" w:cs="Times New Roman" w:eastAsia="Times New Roman" w:hAnsi="Times New Roman"/>
          <w:sz w:val="22"/>
          <w:szCs w:val="22"/>
          <w:u w:val="single" w:color="auto"/>
          <w:color w:val="auto"/>
        </w:rPr>
        <w:t>Option</w:t>
      </w:r>
      <w:r>
        <w:rPr>
          <w:rFonts w:ascii="Times New Roman" w:cs="Times New Roman" w:eastAsia="Times New Roman" w:hAnsi="Times New Roman"/>
          <w:sz w:val="22"/>
          <w:szCs w:val="22"/>
          <w:color w:val="auto"/>
        </w:rPr>
        <w:t>”), at the Exercise Price equal to the Exercise Price as set forth on the Certificate of Grant. Upon any exercise of any portion of any Vested Options, the payment of the Exercise Price may be made, at the election of the Participant, in any manner specified under Section 7(d) of the Plan, as such section is in effect on the Grant Date. The Option is not intended to qualify for federal income tax purposes as an “incentive stock option” within the meaning of Section 422 of the Code.</w:t>
      </w:r>
    </w:p>
    <w:p>
      <w:pPr>
        <w:spacing w:after="0" w:line="197" w:lineRule="exact"/>
        <w:rPr>
          <w:sz w:val="20"/>
          <w:szCs w:val="20"/>
          <w:color w:val="auto"/>
        </w:rPr>
      </w:pPr>
    </w:p>
    <w:p>
      <w:pPr>
        <w:ind w:left="100" w:right="1040" w:firstLine="647"/>
        <w:spacing w:after="0" w:line="236" w:lineRule="auto"/>
        <w:rPr>
          <w:sz w:val="20"/>
          <w:szCs w:val="20"/>
          <w:color w:val="auto"/>
        </w:rPr>
      </w:pPr>
      <w:r>
        <w:rPr>
          <w:rFonts w:ascii="Times New Roman" w:cs="Times New Roman" w:eastAsia="Times New Roman" w:hAnsi="Times New Roman"/>
          <w:sz w:val="21"/>
          <w:szCs w:val="21"/>
          <w:color w:val="auto"/>
        </w:rPr>
        <w:t xml:space="preserve">Section 3. </w:t>
      </w: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The term of the Option (the “</w:t>
      </w:r>
      <w:r>
        <w:rPr>
          <w:rFonts w:ascii="Times New Roman" w:cs="Times New Roman" w:eastAsia="Times New Roman" w:hAnsi="Times New Roman"/>
          <w:sz w:val="21"/>
          <w:szCs w:val="21"/>
          <w:u w:val="single" w:color="auto"/>
          <w:color w:val="auto"/>
        </w:rPr>
        <w:t>Option Term</w:t>
      </w:r>
      <w:r>
        <w:rPr>
          <w:rFonts w:ascii="Times New Roman" w:cs="Times New Roman" w:eastAsia="Times New Roman" w:hAnsi="Times New Roman"/>
          <w:sz w:val="21"/>
          <w:szCs w:val="21"/>
          <w:color w:val="auto"/>
        </w:rPr>
        <w:t>”) shall commence on the Grant Date and expire on the Expiration Date set forth on the Certificate of Grant, unless the Option shall have sooner been terminated in accordance with the terms of the Plan (including, without limitation, Section 13 of the Plan) or this Award.</w:t>
      </w:r>
    </w:p>
    <w:p>
      <w:pPr>
        <w:spacing w:after="0" w:line="179" w:lineRule="exact"/>
        <w:rPr>
          <w:sz w:val="20"/>
          <w:szCs w:val="20"/>
          <w:color w:val="auto"/>
        </w:rPr>
      </w:pPr>
    </w:p>
    <w:p>
      <w:pPr>
        <w:ind w:left="100" w:right="1200" w:firstLine="647"/>
        <w:spacing w:after="0" w:line="236" w:lineRule="auto"/>
        <w:rPr>
          <w:sz w:val="20"/>
          <w:szCs w:val="20"/>
          <w:color w:val="auto"/>
        </w:rPr>
      </w:pPr>
      <w:r>
        <w:rPr>
          <w:rFonts w:ascii="Times New Roman" w:cs="Times New Roman" w:eastAsia="Times New Roman" w:hAnsi="Times New Roman"/>
          <w:sz w:val="21"/>
          <w:szCs w:val="21"/>
          <w:color w:val="auto"/>
        </w:rPr>
        <w:t xml:space="preserve">Section 4. </w:t>
      </w:r>
      <w:r>
        <w:rPr>
          <w:rFonts w:ascii="Times New Roman" w:cs="Times New Roman" w:eastAsia="Times New Roman" w:hAnsi="Times New Roman"/>
          <w:sz w:val="21"/>
          <w:szCs w:val="21"/>
          <w:u w:val="single" w:color="auto"/>
          <w:color w:val="auto"/>
        </w:rPr>
        <w:t>Vesting</w:t>
      </w:r>
      <w:r>
        <w:rPr>
          <w:rFonts w:ascii="Times New Roman" w:cs="Times New Roman" w:eastAsia="Times New Roman" w:hAnsi="Times New Roman"/>
          <w:sz w:val="21"/>
          <w:szCs w:val="21"/>
          <w:color w:val="auto"/>
        </w:rPr>
        <w:t>. Subject to the Participant’s not having a Termination of Relationship and except as otherwise set forth in Section 7 hereof, the Options shall become non- forfeitable and exercisable (any Options that shall have become non-forfeitable and exercisable pursuant to this Section 4, the “</w:t>
      </w:r>
      <w:r>
        <w:rPr>
          <w:rFonts w:ascii="Times New Roman" w:cs="Times New Roman" w:eastAsia="Times New Roman" w:hAnsi="Times New Roman"/>
          <w:sz w:val="21"/>
          <w:szCs w:val="21"/>
          <w:u w:val="single" w:color="auto"/>
          <w:color w:val="auto"/>
        </w:rPr>
        <w:t>Vested Options</w:t>
      </w:r>
      <w:r>
        <w:rPr>
          <w:rFonts w:ascii="Times New Roman" w:cs="Times New Roman" w:eastAsia="Times New Roman" w:hAnsi="Times New Roman"/>
          <w:sz w:val="21"/>
          <w:szCs w:val="21"/>
          <w:color w:val="auto"/>
        </w:rPr>
        <w:t>”) as follows:</w:t>
      </w:r>
    </w:p>
    <w:p>
      <w:pPr>
        <w:spacing w:after="0" w:line="192" w:lineRule="exact"/>
        <w:rPr>
          <w:sz w:val="20"/>
          <w:szCs w:val="20"/>
          <w:color w:val="auto"/>
        </w:rPr>
      </w:pPr>
    </w:p>
    <w:p>
      <w:pPr>
        <w:ind w:left="100" w:right="1060" w:firstLine="1293"/>
        <w:spacing w:after="0" w:line="236" w:lineRule="auto"/>
        <w:tabs>
          <w:tab w:leader="none" w:pos="1945"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such percentages as on such dates as set forth on the Certificate of Grant of this Award under “</w:t>
      </w: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 or</w:t>
      </w:r>
    </w:p>
    <w:p>
      <w:pPr>
        <w:spacing w:after="0" w:line="190" w:lineRule="exact"/>
        <w:rPr>
          <w:rFonts w:ascii="Times New Roman" w:cs="Times New Roman" w:eastAsia="Times New Roman" w:hAnsi="Times New Roman"/>
          <w:sz w:val="22"/>
          <w:szCs w:val="22"/>
          <w:color w:val="auto"/>
        </w:rPr>
      </w:pPr>
    </w:p>
    <w:p>
      <w:pPr>
        <w:ind w:left="100" w:right="1380" w:firstLine="1293"/>
        <w:spacing w:after="0" w:line="236" w:lineRule="auto"/>
        <w:tabs>
          <w:tab w:leader="none" w:pos="1944"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Participant’s Disability (a “</w:t>
      </w:r>
      <w:r>
        <w:rPr>
          <w:rFonts w:ascii="Times New Roman" w:cs="Times New Roman" w:eastAsia="Times New Roman" w:hAnsi="Times New Roman"/>
          <w:sz w:val="22"/>
          <w:szCs w:val="22"/>
          <w:u w:val="single" w:color="auto"/>
          <w:color w:val="auto"/>
        </w:rPr>
        <w:t>Special Termination</w:t>
      </w:r>
      <w:r>
        <w:rPr>
          <w:rFonts w:ascii="Times New Roman" w:cs="Times New Roman" w:eastAsia="Times New Roman" w:hAnsi="Times New Roman"/>
          <w:sz w:val="22"/>
          <w:szCs w:val="22"/>
          <w:color w:val="auto"/>
        </w:rPr>
        <w:t>”), the installment of Options scheduled to vest on the next Vesting Date immediately following such</w:t>
      </w:r>
    </w:p>
    <w:p>
      <w:pPr>
        <w:spacing w:after="0" w:line="182" w:lineRule="exact"/>
        <w:rPr>
          <w:sz w:val="20"/>
          <w:szCs w:val="20"/>
          <w:color w:val="auto"/>
        </w:rPr>
      </w:pPr>
    </w:p>
    <w:p>
      <w:pPr>
        <w:ind w:right="1280"/>
        <w:spacing w:after="0" w:line="233" w:lineRule="auto"/>
        <w:rPr>
          <w:sz w:val="20"/>
          <w:szCs w:val="20"/>
          <w:color w:val="auto"/>
        </w:rPr>
      </w:pPr>
      <w:r>
        <w:rPr>
          <w:rFonts w:ascii="Times New Roman" w:cs="Times New Roman" w:eastAsia="Times New Roman" w:hAnsi="Times New Roman"/>
          <w:sz w:val="20"/>
          <w:szCs w:val="20"/>
          <w:color w:val="auto"/>
        </w:rPr>
        <w:t>Special Termination shall immediately become Vested Options, and the remaining Options which are not then Vested Options shall be forfeited;</w:t>
      </w:r>
    </w:p>
    <w:p>
      <w:pPr>
        <w:spacing w:after="0" w:line="184" w:lineRule="exact"/>
        <w:rPr>
          <w:sz w:val="20"/>
          <w:szCs w:val="20"/>
          <w:color w:val="auto"/>
        </w:rPr>
      </w:pPr>
    </w:p>
    <w:p>
      <w:pPr>
        <w:ind w:left="1940" w:hanging="547"/>
        <w:spacing w:after="0"/>
        <w:tabs>
          <w:tab w:leader="none" w:pos="194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Participant’s death, any previously unvested Options shall immediately become</w:t>
      </w:r>
    </w:p>
    <w:p>
      <w:pPr>
        <w:ind w:left="1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Vested Options;</w:t>
      </w:r>
    </w:p>
    <w:p>
      <w:pPr>
        <w:spacing w:after="0" w:line="182" w:lineRule="exact"/>
        <w:rPr>
          <w:rFonts w:ascii="Times New Roman" w:cs="Times New Roman" w:eastAsia="Times New Roman" w:hAnsi="Times New Roman"/>
          <w:sz w:val="22"/>
          <w:szCs w:val="22"/>
          <w:color w:val="auto"/>
        </w:rPr>
      </w:pPr>
    </w:p>
    <w:p>
      <w:pPr>
        <w:ind w:left="100" w:right="1120" w:firstLine="1293"/>
        <w:spacing w:after="0" w:line="236" w:lineRule="auto"/>
        <w:tabs>
          <w:tab w:leader="none" w:pos="1944"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 Termination of Relationship as a result of the Participant’s Retirement with Notice, any previously unvested Options shall remain outstanding and become</w:t>
      </w:r>
    </w:p>
    <w:p>
      <w:pPr>
        <w:sectPr>
          <w:pgSz w:w="11900" w:h="16838" w:orient="portrait"/>
          <w:cols w:equalWidth="0" w:num="1">
            <w:col w:w="11240"/>
          </w:cols>
          <w:pgMar w:left="320" w:top="1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100" w:right="339" w:bottom="1440" w:gutter="0" w:footer="0" w:header="0"/>
          <w:type w:val="continuous"/>
        </w:sectPr>
      </w:pPr>
    </w:p>
    <w:bookmarkStart w:id="158" w:name="page159"/>
    <w:bookmarkEnd w:id="158"/>
    <w:p>
      <w:pPr>
        <w:ind w:left="20" w:right="420"/>
        <w:spacing w:after="0" w:line="236" w:lineRule="auto"/>
        <w:rPr>
          <w:sz w:val="20"/>
          <w:szCs w:val="20"/>
          <w:color w:val="auto"/>
        </w:rPr>
      </w:pPr>
      <w:r>
        <w:rPr>
          <w:rFonts w:ascii="Times New Roman" w:cs="Times New Roman" w:eastAsia="Times New Roman" w:hAnsi="Times New Roman"/>
          <w:sz w:val="22"/>
          <w:szCs w:val="22"/>
          <w:color w:val="auto"/>
        </w:rPr>
        <w:t>Vested Options on the normal scheduled future Vesting Date(s) occurring during the remainder of the full term of the Options, as if no Termination of Relationship had occurred;</w:t>
      </w:r>
    </w:p>
    <w:p>
      <w:pPr>
        <w:spacing w:after="0" w:line="178" w:lineRule="exact"/>
        <w:rPr>
          <w:sz w:val="20"/>
          <w:szCs w:val="20"/>
          <w:color w:val="auto"/>
        </w:rPr>
      </w:pPr>
    </w:p>
    <w:p>
      <w:pPr>
        <w:ind w:left="1960" w:hanging="647"/>
        <w:spacing w:after="0"/>
        <w:tabs>
          <w:tab w:leader="none" w:pos="1960"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(i) the occurrence of a Change of Control and</w:t>
      </w:r>
    </w:p>
    <w:p>
      <w:pPr>
        <w:ind w:left="20" w:right="400" w:hanging="2"/>
        <w:spacing w:after="0" w:line="225" w:lineRule="auto"/>
        <w:tabs>
          <w:tab w:leader="none" w:pos="567"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thereafter, a Termination of Relationship of the Participant by the Company or any of its Affiliates (or successors in interest) without Cause or by the Participant for Good Reason that occurs prior to the second anniversary of the Change of Control, then each outstanding Option which has not theretofore become a Vested Option pursuant to Section 4(a) shall become a Vested Option on the date of such Termination of Relationship; or</w:t>
      </w:r>
    </w:p>
    <w:p>
      <w:pPr>
        <w:spacing w:after="0" w:line="190" w:lineRule="exact"/>
        <w:rPr>
          <w:rFonts w:ascii="Times New Roman" w:cs="Times New Roman" w:eastAsia="Times New Roman" w:hAnsi="Times New Roman"/>
          <w:sz w:val="21"/>
          <w:szCs w:val="21"/>
          <w:color w:val="auto"/>
        </w:rPr>
      </w:pPr>
    </w:p>
    <w:p>
      <w:pPr>
        <w:jc w:val="both"/>
        <w:ind w:left="20" w:right="100" w:firstLine="1293"/>
        <w:spacing w:after="0" w:line="217" w:lineRule="auto"/>
        <w:tabs>
          <w:tab w:leader="none" w:pos="1868"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above with respect to a Special Termination, death, or Retirement with Notice or a Termination of Relationship as provided in Section 4(e) above, upon a Termination of Relationship for any other reason, the unvested portion of the Option (i.e. , that portion which does not constitute Vested Options) shall terminate and cease to be outstanding on the date the Termination of Relationship occurs and shall no longer be eligible to become Vested Options.</w:t>
      </w:r>
    </w:p>
    <w:p>
      <w:pPr>
        <w:spacing w:after="0" w:line="179" w:lineRule="exact"/>
        <w:rPr>
          <w:sz w:val="20"/>
          <w:szCs w:val="20"/>
          <w:color w:val="auto"/>
        </w:rPr>
      </w:pPr>
    </w:p>
    <w:p>
      <w:pPr>
        <w:ind w:left="20"/>
        <w:spacing w:after="0" w:line="209" w:lineRule="auto"/>
        <w:rPr>
          <w:sz w:val="20"/>
          <w:szCs w:val="20"/>
          <w:color w:val="auto"/>
        </w:rPr>
      </w:pPr>
      <w:r>
        <w:rPr>
          <w:rFonts w:ascii="Times New Roman" w:cs="Times New Roman" w:eastAsia="Times New Roman" w:hAnsi="Times New Roman"/>
          <w:sz w:val="22"/>
          <w:szCs w:val="22"/>
          <w:color w:val="auto"/>
        </w:rPr>
        <w:t xml:space="preserve">As used herein, the term “Retirement with Notice” means the Participant’s Termination of Relationship due to his retirement from the Company and its Affiliates after providing the Company with at least 6 months’ prior written notice of such intended retirement (and with such notice having been delivered upon or after the Participant’s attainment of age 62) after achieving (consecutively, disregarding breaks in service, or a combination thereof) at least five (5) full years of employment with the Company and its Affiliates following October 7, 2019 (or such earlier date as approved by the Committee in its sole discretion);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u w:val="single" w:color="auto"/>
          <w:color w:val="auto"/>
        </w:rPr>
        <w:t>however</w:t>
      </w:r>
      <w:r>
        <w:rPr>
          <w:rFonts w:ascii="Times New Roman" w:cs="Times New Roman" w:eastAsia="Times New Roman" w:hAnsi="Times New Roman"/>
          <w:sz w:val="22"/>
          <w:szCs w:val="22"/>
          <w:color w:val="auto"/>
        </w:rPr>
        <w:t xml:space="preserve">, that if the Company involuntarily terminates the Participant without Cause or the Participant dies or incurs a Disability after the Participant delivers the notice described in this sentence, such termination shall not fail to qualify as a “Retirement with Notice” by virtue of the termination occurring less than the number of months of the notice period after the notice date, such that, for purposes of this Section 4 and Section 7 below, the Participant shall not be treated as having had a Termination of Relationship prior to the effective date of the Retirement with Notice; and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u w:val="single" w:color="auto"/>
          <w:color w:val="auto"/>
        </w:rPr>
        <w:t>further</w:t>
      </w:r>
      <w:r>
        <w:rPr>
          <w:rFonts w:ascii="Times New Roman" w:cs="Times New Roman" w:eastAsia="Times New Roman" w:hAnsi="Times New Roman"/>
          <w:sz w:val="22"/>
          <w:szCs w:val="22"/>
          <w:color w:val="auto"/>
        </w:rPr>
        <w:t>, that the Committee may, in its sole discretion, waive any such notice, in whole or in part, as may be required for Participant to effect a Retirement with Notice.</w:t>
      </w:r>
    </w:p>
    <w:p>
      <w:pPr>
        <w:spacing w:after="0" w:line="187" w:lineRule="exact"/>
        <w:rPr>
          <w:sz w:val="20"/>
          <w:szCs w:val="20"/>
          <w:color w:val="auto"/>
        </w:rPr>
      </w:pPr>
    </w:p>
    <w:p>
      <w:pPr>
        <w:ind w:left="20" w:right="240" w:firstLine="647"/>
        <w:spacing w:after="0" w:line="212"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Restriction on Transfer</w:t>
      </w:r>
      <w:r>
        <w:rPr>
          <w:rFonts w:ascii="Times New Roman" w:cs="Times New Roman" w:eastAsia="Times New Roman" w:hAnsi="Times New Roman"/>
          <w:sz w:val="22"/>
          <w:szCs w:val="22"/>
          <w:color w:val="auto"/>
        </w:rPr>
        <w:t>. The Option may not be transferred, pledged, assigned, hypothecated or otherwise disposed of in any way by the Participant, except (i) if permitted by the Board or the Committee, (ii) by will or the laws of descent and distribution or</w:t>
      </w:r>
    </w:p>
    <w:p>
      <w:pPr>
        <w:spacing w:after="0" w:line="2" w:lineRule="exact"/>
        <w:rPr>
          <w:sz w:val="20"/>
          <w:szCs w:val="20"/>
          <w:color w:val="auto"/>
        </w:rPr>
      </w:pPr>
    </w:p>
    <w:p>
      <w:pPr>
        <w:ind w:left="20" w:right="360" w:hanging="2"/>
        <w:spacing w:after="0" w:line="218" w:lineRule="auto"/>
        <w:tabs>
          <w:tab w:leader="none" w:pos="573"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beneficiary designation procedures approved by the Company, in each case, in compliance with applicable laws. The Option shall not be subject to execution, attachment or similar process. Any attempted assignment, transfer, pledge, hypothecation or other disposition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220"/>
          </w:cols>
          <w:pgMar w:left="400" w:top="1314" w:right="1279" w:bottom="1440" w:gutter="0" w:footer="0" w:header="0"/>
        </w:sectPr>
      </w:pPr>
    </w:p>
    <w:bookmarkStart w:id="159" w:name="page160"/>
    <w:bookmarkEnd w:id="159"/>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of the Option contrary to the provisions of this Award or the Plan shall be null and void and without effect.</w:t>
      </w:r>
    </w:p>
    <w:p>
      <w:pPr>
        <w:spacing w:after="0" w:line="206" w:lineRule="exact"/>
        <w:rPr>
          <w:sz w:val="20"/>
          <w:szCs w:val="20"/>
          <w:color w:val="auto"/>
        </w:rPr>
      </w:pPr>
    </w:p>
    <w:p>
      <w:pPr>
        <w:ind w:left="20" w:right="240" w:firstLine="647"/>
        <w:spacing w:after="0" w:line="212"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Participant’s Employment</w:t>
      </w:r>
      <w:r>
        <w:rPr>
          <w:rFonts w:ascii="Times New Roman" w:cs="Times New Roman" w:eastAsia="Times New Roman" w:hAnsi="Times New Roman"/>
          <w:sz w:val="22"/>
          <w:szCs w:val="22"/>
          <w:color w:val="auto"/>
        </w:rPr>
        <w:t>. Nothing in this Award shall confer upon the Participant any right to continue in the employ of the Company or any of its Affiliates or interfere in any way with the right of the Company and its Affiliates, in their sole discretion, to</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terminate the Participant’s employment or to increase or decrease the Participant’s compensation at any time.</w:t>
      </w:r>
    </w:p>
    <w:p>
      <w:pPr>
        <w:spacing w:after="0" w:line="196" w:lineRule="exact"/>
        <w:rPr>
          <w:sz w:val="20"/>
          <w:szCs w:val="20"/>
          <w:color w:val="auto"/>
        </w:rPr>
      </w:pPr>
    </w:p>
    <w:p>
      <w:pPr>
        <w:ind w:left="20" w:right="660" w:firstLine="647"/>
        <w:spacing w:after="0" w:line="236"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The Option shall automatically terminate and shall become null and void, be unexercisable and be of no further force and effect upon the earliest of:</w:t>
      </w:r>
    </w:p>
    <w:p>
      <w:pPr>
        <w:spacing w:after="0" w:line="191" w:lineRule="exact"/>
        <w:rPr>
          <w:sz w:val="20"/>
          <w:szCs w:val="20"/>
          <w:color w:val="auto"/>
        </w:rPr>
      </w:pPr>
    </w:p>
    <w:p>
      <w:pPr>
        <w:ind w:left="1960" w:hanging="647"/>
        <w:spacing w:after="0"/>
        <w:tabs>
          <w:tab w:leader="none" w:pos="196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Expiration Date;</w:t>
      </w:r>
    </w:p>
    <w:p>
      <w:pPr>
        <w:spacing w:after="0" w:line="206" w:lineRule="exact"/>
        <w:rPr>
          <w:rFonts w:ascii="Times New Roman" w:cs="Times New Roman" w:eastAsia="Times New Roman" w:hAnsi="Times New Roman"/>
          <w:sz w:val="22"/>
          <w:szCs w:val="22"/>
          <w:color w:val="auto"/>
        </w:rPr>
      </w:pPr>
    </w:p>
    <w:p>
      <w:pPr>
        <w:ind w:left="20" w:right="260" w:firstLine="1293"/>
        <w:spacing w:after="0" w:line="225" w:lineRule="auto"/>
        <w:tabs>
          <w:tab w:leader="none" w:pos="1864"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Termination of Relationship due to a Special Termination, with respect to any Options that are vested as of the Termination of Relationship, the first anniversary of the Termination of Relationship;</w:t>
      </w:r>
    </w:p>
    <w:p>
      <w:pPr>
        <w:spacing w:after="0" w:line="188" w:lineRule="exact"/>
        <w:rPr>
          <w:rFonts w:ascii="Times New Roman" w:cs="Times New Roman" w:eastAsia="Times New Roman" w:hAnsi="Times New Roman"/>
          <w:sz w:val="22"/>
          <w:szCs w:val="22"/>
          <w:color w:val="auto"/>
        </w:rPr>
      </w:pPr>
    </w:p>
    <w:p>
      <w:pPr>
        <w:ind w:left="20" w:right="420" w:firstLine="1293"/>
        <w:spacing w:after="0" w:line="259" w:lineRule="auto"/>
        <w:tabs>
          <w:tab w:leader="none" w:pos="1865"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a Termination of Relationship </w:t>
      </w:r>
      <w:r>
        <w:rPr>
          <w:rFonts w:ascii="Times New Roman" w:cs="Times New Roman" w:eastAsia="Times New Roman" w:hAnsi="Times New Roman"/>
          <w:sz w:val="21"/>
          <w:szCs w:val="21"/>
          <w:i w:val="1"/>
          <w:iCs w:val="1"/>
          <w:u w:val="single" w:color="auto"/>
          <w:color w:val="auto"/>
        </w:rPr>
        <w:t>other than</w:t>
      </w:r>
      <w:r>
        <w:rPr>
          <w:rFonts w:ascii="Times New Roman" w:cs="Times New Roman" w:eastAsia="Times New Roman" w:hAnsi="Times New Roman"/>
          <w:sz w:val="21"/>
          <w:szCs w:val="21"/>
          <w:color w:val="auto"/>
        </w:rPr>
        <w:t xml:space="preserve"> (x) for Cause or (y) due to a Special Termination, Retirement with Notice, or death, the 90th day following the Termination of Relationship;</w:t>
      </w:r>
    </w:p>
    <w:p>
      <w:pPr>
        <w:spacing w:after="0" w:line="158" w:lineRule="exact"/>
        <w:rPr>
          <w:rFonts w:ascii="Times New Roman" w:cs="Times New Roman" w:eastAsia="Times New Roman" w:hAnsi="Times New Roman"/>
          <w:sz w:val="21"/>
          <w:szCs w:val="21"/>
          <w:color w:val="auto"/>
        </w:rPr>
      </w:pPr>
    </w:p>
    <w:p>
      <w:pPr>
        <w:ind w:left="1860" w:hanging="547"/>
        <w:spacing w:after="0"/>
        <w:tabs>
          <w:tab w:leader="none" w:pos="186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day of the Termination of Relationship in the case of a Termination of Relationship for</w:t>
      </w:r>
    </w:p>
    <w:p>
      <w:pPr>
        <w:ind w:left="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w:t>
      </w:r>
    </w:p>
    <w:p>
      <w:pPr>
        <w:spacing w:after="0" w:line="182" w:lineRule="exact"/>
        <w:rPr>
          <w:rFonts w:ascii="Times New Roman" w:cs="Times New Roman" w:eastAsia="Times New Roman" w:hAnsi="Times New Roman"/>
          <w:sz w:val="22"/>
          <w:szCs w:val="22"/>
          <w:color w:val="auto"/>
        </w:rPr>
      </w:pPr>
    </w:p>
    <w:p>
      <w:pPr>
        <w:ind w:left="20" w:right="260" w:firstLine="1293"/>
        <w:spacing w:after="0" w:line="236" w:lineRule="auto"/>
        <w:tabs>
          <w:tab w:leader="none" w:pos="1865"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Participant’s Retirement with Notice, with respect to any Options that are or become Vested Options as a result of the Termination of Relationship, the Expiration Date; and</w:t>
      </w:r>
    </w:p>
    <w:p>
      <w:pPr>
        <w:spacing w:after="0" w:line="190" w:lineRule="exact"/>
        <w:rPr>
          <w:rFonts w:ascii="Times New Roman" w:cs="Times New Roman" w:eastAsia="Times New Roman" w:hAnsi="Times New Roman"/>
          <w:sz w:val="22"/>
          <w:szCs w:val="22"/>
          <w:color w:val="auto"/>
        </w:rPr>
      </w:pPr>
    </w:p>
    <w:p>
      <w:pPr>
        <w:jc w:val="both"/>
        <w:ind w:left="20" w:right="680" w:firstLine="1293"/>
        <w:spacing w:after="0" w:line="225" w:lineRule="auto"/>
        <w:tabs>
          <w:tab w:leader="none" w:pos="1868"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Participant’s death, with respect to any Options that are or become Vested Options upon the Termination of Relationship, one year following Participant’s death (or the Expiration Date, whichever comes first).</w:t>
      </w:r>
    </w:p>
    <w:p>
      <w:pPr>
        <w:spacing w:after="0" w:line="189" w:lineRule="exact"/>
        <w:rPr>
          <w:sz w:val="20"/>
          <w:szCs w:val="20"/>
          <w:color w:val="auto"/>
        </w:rPr>
      </w:pPr>
    </w:p>
    <w:p>
      <w:pPr>
        <w:ind w:left="20" w:right="140" w:firstLine="647"/>
        <w:spacing w:after="0" w:line="227"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b w:val="1"/>
          <w:bCs w:val="1"/>
          <w:u w:val="single" w:color="auto"/>
          <w:color w:val="auto"/>
        </w:rPr>
        <w:t>Data Protection</w:t>
      </w:r>
      <w:r>
        <w:rPr>
          <w:rFonts w:ascii="Times New Roman" w:cs="Times New Roman" w:eastAsia="Times New Roman" w:hAnsi="Times New Roman"/>
          <w:sz w:val="22"/>
          <w:szCs w:val="22"/>
          <w:b w:val="1"/>
          <w:bCs w:val="1"/>
          <w:color w:val="auto"/>
        </w:rPr>
        <w:t>. By accepting this Award, the Participant understands that the processing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(including international transfer) of personal data as set out in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b w:val="1"/>
          <w:bCs w:val="1"/>
          <w:color w:val="auto"/>
        </w:rPr>
        <w:t xml:space="preserve"> attached hereto for the purposes specified therein and if required by applicable law, rule or regulation</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20" w:firstLine="647"/>
        <w:spacing w:after="0" w:line="215"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No Rights as Stockholder</w:t>
      </w:r>
      <w:r>
        <w:rPr>
          <w:rFonts w:ascii="Times New Roman" w:cs="Times New Roman" w:eastAsia="Times New Roman" w:hAnsi="Times New Roman"/>
          <w:sz w:val="22"/>
          <w:szCs w:val="22"/>
          <w:color w:val="auto"/>
        </w:rPr>
        <w:t>. The Participant shall not have any rights of a stockholder of the Company until shares of Common Stock have been issued pursuant to the exercise of the Options hereunder and until such shares have been registered in the Company’s register of stockholders (including, without limitation, the right to any payment of any dividends paid on Shares (which prohibition does not prevent the Company, in its discretion, from providing dividend equivalent payments to the Participant or reducing the exercise price in respect of the Option pursuant to the Plan)).</w:t>
      </w:r>
    </w:p>
    <w:p>
      <w:pPr>
        <w:spacing w:after="0" w:line="189" w:lineRule="exact"/>
        <w:rPr>
          <w:sz w:val="20"/>
          <w:szCs w:val="20"/>
          <w:color w:val="auto"/>
        </w:rPr>
      </w:pPr>
    </w:p>
    <w:p>
      <w:pPr>
        <w:ind w:left="20" w:right="700" w:firstLine="647"/>
        <w:spacing w:after="0" w:line="238"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b w:val="1"/>
          <w:bCs w:val="1"/>
          <w:u w:val="single" w:color="auto"/>
          <w:color w:val="auto"/>
        </w:rPr>
        <w:t>No Acquired Rights</w:t>
      </w:r>
      <w:r>
        <w:rPr>
          <w:rFonts w:ascii="Times New Roman" w:cs="Times New Roman" w:eastAsia="Times New Roman" w:hAnsi="Times New Roman"/>
          <w:sz w:val="22"/>
          <w:szCs w:val="22"/>
          <w:color w:val="auto"/>
        </w:rPr>
        <w:t>. The Committee or the Board has the power to amend or terminate the Plan at any time and the opportunity given to the Participant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180"/>
          </w:cols>
          <w:pgMar w:left="400" w:top="1440" w:right="1319" w:bottom="1440" w:gutter="0" w:footer="0" w:header="0"/>
        </w:sectPr>
      </w:pPr>
    </w:p>
    <w:bookmarkStart w:id="160" w:name="page161"/>
    <w:bookmarkEnd w:id="160"/>
    <w:p>
      <w:pPr>
        <w:spacing w:after="0" w:line="198" w:lineRule="exact"/>
        <w:rPr>
          <w:sz w:val="20"/>
          <w:szCs w:val="20"/>
          <w:color w:val="auto"/>
        </w:rPr>
      </w:pPr>
    </w:p>
    <w:p>
      <w:pPr>
        <w:ind w:left="20" w:right="300"/>
        <w:spacing w:after="0" w:line="212" w:lineRule="auto"/>
        <w:rPr>
          <w:sz w:val="20"/>
          <w:szCs w:val="20"/>
          <w:color w:val="auto"/>
        </w:rPr>
      </w:pPr>
      <w:r>
        <w:rPr>
          <w:rFonts w:ascii="Times New Roman" w:cs="Times New Roman" w:eastAsia="Times New Roman" w:hAnsi="Times New Roman"/>
          <w:sz w:val="22"/>
          <w:szCs w:val="22"/>
          <w:color w:val="auto"/>
        </w:rPr>
        <w:t>participate in the Plan and the grant of this Award is entirely at the discretion of the Committee or the Board and does not obligate the Company or any of its Affiliates to offer such participation in the future (whether on the same or different terms). The Participant’s</w:t>
      </w:r>
    </w:p>
    <w:p>
      <w:pPr>
        <w:spacing w:after="0" w:line="2" w:lineRule="exact"/>
        <w:rPr>
          <w:sz w:val="20"/>
          <w:szCs w:val="20"/>
          <w:color w:val="auto"/>
        </w:rPr>
      </w:pPr>
    </w:p>
    <w:p>
      <w:pPr>
        <w:ind w:left="20" w:right="40"/>
        <w:spacing w:after="0" w:line="212" w:lineRule="auto"/>
        <w:rPr>
          <w:sz w:val="20"/>
          <w:szCs w:val="20"/>
          <w:color w:val="auto"/>
        </w:rPr>
      </w:pPr>
      <w:r>
        <w:rPr>
          <w:rFonts w:ascii="Times New Roman" w:cs="Times New Roman" w:eastAsia="Times New Roman" w:hAnsi="Times New Roman"/>
          <w:sz w:val="22"/>
          <w:szCs w:val="22"/>
          <w:color w:val="auto"/>
        </w:rPr>
        <w:t>participation in the Plan and the receipt of this Award is outside the terms of the Participant’s regular contract of employment and is therefore not to be considered part of any normal or expected compensation and that the termination of the Participant’s employment under any circumstances whatsoever will give the Participant no claim or right of action against the Company or its Affiliates in respect of any loss of rights under this Award or the Plan that may arise as a result of such termination of employment.</w:t>
      </w:r>
    </w:p>
    <w:p>
      <w:pPr>
        <w:spacing w:after="0" w:line="182" w:lineRule="exact"/>
        <w:rPr>
          <w:sz w:val="20"/>
          <w:szCs w:val="20"/>
          <w:color w:val="auto"/>
        </w:rPr>
      </w:pPr>
    </w:p>
    <w:p>
      <w:pPr>
        <w:ind w:left="20" w:right="180" w:firstLine="647"/>
        <w:spacing w:after="0" w:line="220"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claims, certifications, requests, demands and other communications hereunder shall be in writing and shall be deemed to have been duly given and delivered if personally delivered or if sent by nationally-recognized overnight courier, by telecopy, email or by registered or certified mail, return receipt requested and postage prepaid, addressed as follows: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the Company, to it at:</w:t>
      </w:r>
    </w:p>
    <w:p>
      <w:pPr>
        <w:spacing w:after="0" w:line="2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If to the Company, to:</w:t>
      </w:r>
    </w:p>
    <w:p>
      <w:pPr>
        <w:spacing w:after="0" w:line="19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Aramark</w:t>
      </w:r>
    </w:p>
    <w:p>
      <w:pPr>
        <w:ind w:left="1960"/>
        <w:spacing w:after="0" w:line="204" w:lineRule="auto"/>
        <w:rPr>
          <w:sz w:val="20"/>
          <w:szCs w:val="20"/>
          <w:color w:val="auto"/>
        </w:rPr>
      </w:pPr>
      <w:r>
        <w:rPr>
          <w:rFonts w:ascii="Times New Roman" w:cs="Times New Roman" w:eastAsia="Times New Roman" w:hAnsi="Times New Roman"/>
          <w:sz w:val="22"/>
          <w:szCs w:val="22"/>
          <w:color w:val="auto"/>
        </w:rPr>
        <w:t>2400 Market Street</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Philadelphia, PA 19103 Attention: General Counsel</w:t>
      </w:r>
    </w:p>
    <w:p>
      <w:pPr>
        <w:spacing w:after="0" w:line="196" w:lineRule="exact"/>
        <w:rPr>
          <w:sz w:val="20"/>
          <w:szCs w:val="20"/>
          <w:color w:val="auto"/>
        </w:rPr>
      </w:pPr>
    </w:p>
    <w:p>
      <w:pPr>
        <w:ind w:left="20" w:right="80"/>
        <w:spacing w:after="0" w:line="212" w:lineRule="auto"/>
        <w:rPr>
          <w:sz w:val="20"/>
          <w:szCs w:val="20"/>
          <w:color w:val="auto"/>
        </w:rPr>
      </w:pPr>
      <w:r>
        <w:rPr>
          <w:rFonts w:ascii="Times New Roman" w:cs="Times New Roman" w:eastAsia="Times New Roman" w:hAnsi="Times New Roman"/>
          <w:sz w:val="22"/>
          <w:szCs w:val="22"/>
          <w:color w:val="auto"/>
        </w:rPr>
        <w:t>If to the Participant, to him or her at the address set forth on the signature page hereto; or to such other address as the party to whom notice is to be given may have furnished to the other party in writing in accordance herewith. Any such notice or other communication shall be deemed to have been received (a) in the case of personal delivery, on the date of such delivery (or if such date is not a business day, on the next business day after the date of delivery), (b) in the case of nationally-recognized overnight courier, on the next business day after the date sent, (c) in the case of telecopy transmission, when received (or if not sent on a business day, on the next business day after the date sent), and (d) in the case of mailing, on the third business day following that on which the piece of mail containing such communication is posted.</w:t>
      </w:r>
    </w:p>
    <w:p>
      <w:pPr>
        <w:spacing w:after="0" w:line="197" w:lineRule="exact"/>
        <w:rPr>
          <w:sz w:val="20"/>
          <w:szCs w:val="20"/>
          <w:color w:val="auto"/>
        </w:rPr>
      </w:pPr>
    </w:p>
    <w:p>
      <w:pPr>
        <w:ind w:left="20" w:firstLine="647"/>
        <w:spacing w:after="0" w:line="236"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Waiver of Breach</w:t>
      </w:r>
      <w:r>
        <w:rPr>
          <w:rFonts w:ascii="Times New Roman" w:cs="Times New Roman" w:eastAsia="Times New Roman" w:hAnsi="Times New Roman"/>
          <w:sz w:val="22"/>
          <w:szCs w:val="22"/>
          <w:color w:val="auto"/>
        </w:rPr>
        <w:t>. The waiver by either party of a breach of any provision of this Award must be in writing and shall not operate or be construed as a waiver of any other or subsequent breach.</w:t>
      </w:r>
    </w:p>
    <w:p>
      <w:pPr>
        <w:spacing w:after="0" w:line="191" w:lineRule="exact"/>
        <w:rPr>
          <w:sz w:val="20"/>
          <w:szCs w:val="20"/>
          <w:color w:val="auto"/>
        </w:rPr>
      </w:pPr>
    </w:p>
    <w:p>
      <w:pPr>
        <w:ind w:left="20" w:right="180" w:firstLine="647"/>
        <w:spacing w:after="0" w:line="213" w:lineRule="auto"/>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AWARD WILL BE GOVERNED BY AND CONSTRUED IN ACCORDANCE WITH THE LAWS OF THE STATE OF NEW YORK, WITHOUT GIVING EFFECT TO ANY CHOICE OR CONFLICT OF LAW PROVISION OR RULE (WHETHER OF THE STATE OF NEW YORK OR ANY OTHER JURISDICTION) THAT WOULD CAUSE THE LAWS OF ANY JURISDICTION OTHER THAN THE STATE OF NEW YORK TO BE APPLIED. IN FURTHERANCE OF THE FOREGOING, THE INTERNAL LAW OF THE STATE OF NEW YORK WILL CONTROL THE INTERPRETATION AND CONSTRUCTION OF THIS AWARD, EVEN IF UNDER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260"/>
          </w:cols>
          <w:pgMar w:left="400" w:top="1440" w:right="1239" w:bottom="1440" w:gutter="0" w:footer="0" w:header="0"/>
        </w:sectPr>
      </w:pPr>
    </w:p>
    <w:bookmarkStart w:id="161" w:name="page162"/>
    <w:bookmarkEnd w:id="161"/>
    <w:p>
      <w:pPr>
        <w:spacing w:after="0" w:line="198" w:lineRule="exact"/>
        <w:rPr>
          <w:sz w:val="20"/>
          <w:szCs w:val="20"/>
          <w:color w:val="auto"/>
        </w:rPr>
      </w:pPr>
    </w:p>
    <w:p>
      <w:pPr>
        <w:ind w:left="20" w:right="480"/>
        <w:spacing w:after="0" w:line="236" w:lineRule="auto"/>
        <w:rPr>
          <w:sz w:val="20"/>
          <w:szCs w:val="20"/>
          <w:color w:val="auto"/>
        </w:rPr>
      </w:pPr>
      <w:r>
        <w:rPr>
          <w:rFonts w:ascii="Times New Roman" w:cs="Times New Roman" w:eastAsia="Times New Roman" w:hAnsi="Times New Roman"/>
          <w:sz w:val="22"/>
          <w:szCs w:val="22"/>
          <w:color w:val="auto"/>
        </w:rPr>
        <w:t>JURISDICTION’S CHOICE OF LAW OR CONFLICT OF LAW ANALYSIS, THE SUBSTANTIVE LAW OF SOME OTHER JURISDICTION WOULD ORDINARILY APPLY.</w:t>
      </w:r>
    </w:p>
    <w:p>
      <w:pPr>
        <w:spacing w:after="0" w:line="177" w:lineRule="exact"/>
        <w:rPr>
          <w:sz w:val="20"/>
          <w:szCs w:val="20"/>
          <w:color w:val="auto"/>
        </w:rPr>
      </w:pPr>
    </w:p>
    <w:p>
      <w:pPr>
        <w:ind w:left="20" w:firstLine="647"/>
        <w:spacing w:after="0" w:line="236" w:lineRule="auto"/>
        <w:rPr>
          <w:sz w:val="20"/>
          <w:szCs w:val="20"/>
          <w:color w:val="auto"/>
        </w:rPr>
      </w:pPr>
      <w:r>
        <w:rPr>
          <w:rFonts w:ascii="Times New Roman" w:cs="Times New Roman" w:eastAsia="Times New Roman" w:hAnsi="Times New Roman"/>
          <w:sz w:val="21"/>
          <w:szCs w:val="21"/>
          <w:color w:val="auto"/>
        </w:rPr>
        <w:t xml:space="preserve">Section 14. </w:t>
      </w:r>
      <w:r>
        <w:rPr>
          <w:rFonts w:ascii="Times New Roman" w:cs="Times New Roman" w:eastAsia="Times New Roman" w:hAnsi="Times New Roman"/>
          <w:sz w:val="21"/>
          <w:szCs w:val="21"/>
          <w:u w:val="single" w:color="auto"/>
          <w:color w:val="auto"/>
        </w:rPr>
        <w:t>Withholding</w:t>
      </w:r>
      <w:r>
        <w:rPr>
          <w:rFonts w:ascii="Times New Roman" w:cs="Times New Roman" w:eastAsia="Times New Roman" w:hAnsi="Times New Roman"/>
          <w:sz w:val="21"/>
          <w:szCs w:val="21"/>
          <w:color w:val="auto"/>
        </w:rPr>
        <w:t>. As a condition to exercising this Option in whole or in part, the Participant will pay, or make provisions satisfactory to the Company for payment of, any Federal, state, local and other applicable taxes required to be withheld in connection with such exercise in a manner that is set forth in Section 7(d) of the Plan.</w:t>
      </w:r>
    </w:p>
    <w:p>
      <w:pPr>
        <w:spacing w:after="0" w:line="192" w:lineRule="exact"/>
        <w:rPr>
          <w:sz w:val="20"/>
          <w:szCs w:val="20"/>
          <w:color w:val="auto"/>
        </w:rPr>
      </w:pPr>
    </w:p>
    <w:p>
      <w:pPr>
        <w:jc w:val="both"/>
        <w:ind w:left="20" w:right="100" w:firstLine="647"/>
        <w:spacing w:after="0" w:line="225" w:lineRule="auto"/>
        <w:rPr>
          <w:sz w:val="20"/>
          <w:szCs w:val="20"/>
          <w:color w:val="auto"/>
        </w:rPr>
      </w:pPr>
      <w:r>
        <w:rPr>
          <w:rFonts w:ascii="Times New Roman" w:cs="Times New Roman" w:eastAsia="Times New Roman" w:hAnsi="Times New Roman"/>
          <w:sz w:val="22"/>
          <w:szCs w:val="22"/>
          <w:color w:val="auto"/>
        </w:rPr>
        <w:t xml:space="preserve">Section 15. </w:t>
      </w:r>
      <w:r>
        <w:rPr>
          <w:rFonts w:ascii="Times New Roman" w:cs="Times New Roman" w:eastAsia="Times New Roman" w:hAnsi="Times New Roman"/>
          <w:sz w:val="22"/>
          <w:szCs w:val="22"/>
          <w:u w:val="single" w:color="auto"/>
          <w:color w:val="auto"/>
        </w:rPr>
        <w:t>Adjustment to Option</w:t>
      </w:r>
      <w:r>
        <w:rPr>
          <w:rFonts w:ascii="Times New Roman" w:cs="Times New Roman" w:eastAsia="Times New Roman" w:hAnsi="Times New Roman"/>
          <w:sz w:val="22"/>
          <w:szCs w:val="22"/>
          <w:color w:val="auto"/>
        </w:rPr>
        <w:t>. In the event of any event described in Section 12 of the Plan occurring after the Grant Date, the adjustment provisions (including cash payments) as provided for under Section 12 of the Plan shall apply.</w:t>
      </w:r>
    </w:p>
    <w:p>
      <w:pPr>
        <w:spacing w:after="0" w:line="193" w:lineRule="exact"/>
        <w:rPr>
          <w:sz w:val="20"/>
          <w:szCs w:val="20"/>
          <w:color w:val="auto"/>
        </w:rPr>
      </w:pPr>
    </w:p>
    <w:p>
      <w:pPr>
        <w:ind w:left="20" w:right="220" w:firstLine="647"/>
        <w:spacing w:after="0" w:line="255" w:lineRule="auto"/>
        <w:rPr>
          <w:sz w:val="20"/>
          <w:szCs w:val="20"/>
          <w:color w:val="auto"/>
        </w:rPr>
      </w:pPr>
      <w:r>
        <w:rPr>
          <w:rFonts w:ascii="Times New Roman" w:cs="Times New Roman" w:eastAsia="Times New Roman" w:hAnsi="Times New Roman"/>
          <w:sz w:val="21"/>
          <w:szCs w:val="21"/>
          <w:color w:val="auto"/>
        </w:rPr>
        <w:t xml:space="preserve">Section 16. </w:t>
      </w:r>
      <w:r>
        <w:rPr>
          <w:rFonts w:ascii="Times New Roman" w:cs="Times New Roman" w:eastAsia="Times New Roman" w:hAnsi="Times New Roman"/>
          <w:sz w:val="21"/>
          <w:szCs w:val="21"/>
          <w:u w:val="single" w:color="auto"/>
          <w:color w:val="auto"/>
        </w:rPr>
        <w:t>Section 409A of the Code</w:t>
      </w:r>
      <w:r>
        <w:rPr>
          <w:rFonts w:ascii="Times New Roman" w:cs="Times New Roman" w:eastAsia="Times New Roman" w:hAnsi="Times New Roman"/>
          <w:sz w:val="21"/>
          <w:szCs w:val="21"/>
          <w:color w:val="auto"/>
        </w:rPr>
        <w:t>. This Option is intended to constitute a “stock right” within the meaning of Section 409A of the Code, and shall otherwise be subject to the provisions of Section 14(v) of the Plan.</w:t>
      </w:r>
    </w:p>
    <w:p>
      <w:pPr>
        <w:spacing w:after="0" w:line="162" w:lineRule="exact"/>
        <w:rPr>
          <w:sz w:val="20"/>
          <w:szCs w:val="20"/>
          <w:color w:val="auto"/>
        </w:rPr>
      </w:pPr>
    </w:p>
    <w:p>
      <w:pPr>
        <w:ind w:left="20" w:right="220" w:firstLine="647"/>
        <w:spacing w:after="0" w:line="224" w:lineRule="auto"/>
        <w:rPr>
          <w:sz w:val="20"/>
          <w:szCs w:val="20"/>
          <w:color w:val="auto"/>
        </w:rPr>
      </w:pPr>
      <w:r>
        <w:rPr>
          <w:rFonts w:ascii="Times New Roman" w:cs="Times New Roman" w:eastAsia="Times New Roman" w:hAnsi="Times New Roman"/>
          <w:sz w:val="21"/>
          <w:szCs w:val="21"/>
          <w:color w:val="auto"/>
        </w:rPr>
        <w:t xml:space="preserve">Section 17. </w:t>
      </w:r>
      <w:r>
        <w:rPr>
          <w:rFonts w:ascii="Times New Roman" w:cs="Times New Roman" w:eastAsia="Times New Roman" w:hAnsi="Times New Roman"/>
          <w:sz w:val="21"/>
          <w:szCs w:val="21"/>
          <w:u w:val="single" w:color="auto"/>
          <w:color w:val="auto"/>
        </w:rPr>
        <w:t>Modification of Rights; Entire Agreement</w:t>
      </w:r>
      <w:r>
        <w:rPr>
          <w:rFonts w:ascii="Times New Roman" w:cs="Times New Roman" w:eastAsia="Times New Roman" w:hAnsi="Times New Roman"/>
          <w:sz w:val="21"/>
          <w:szCs w:val="21"/>
          <w:color w:val="auto"/>
        </w:rPr>
        <w:t>. The Participant’s rights under this Award, the Certificate of Grant and the Plan may be modified only to the extent expressly provided under this Award or under Sections 14(a) and (b) of the Plan. This Award, the Certificate of Grant and the Plan constitute the entire agreement between the parties with respect to the subject matter hereof and thereof and supersede all prior written or oral negotiations, commitments, representations and agreements with respect thereto. For the avoidance of doubt, this Award, the Certificate of Grant and the Plan do not supersede any "Restrictive Covenant Agreement" (as defined below) or employment agreement between the Participant and the Company or its Affiliates.</w:t>
      </w:r>
    </w:p>
    <w:p>
      <w:pPr>
        <w:spacing w:after="0" w:line="191" w:lineRule="exact"/>
        <w:rPr>
          <w:sz w:val="20"/>
          <w:szCs w:val="20"/>
          <w:color w:val="auto"/>
        </w:rPr>
      </w:pPr>
    </w:p>
    <w:p>
      <w:pPr>
        <w:ind w:left="20" w:right="140" w:firstLine="647"/>
        <w:spacing w:after="0" w:line="209" w:lineRule="auto"/>
        <w:rPr>
          <w:sz w:val="20"/>
          <w:szCs w:val="20"/>
          <w:color w:val="auto"/>
        </w:rPr>
      </w:pPr>
      <w:r>
        <w:rPr>
          <w:rFonts w:ascii="Times New Roman" w:cs="Times New Roman" w:eastAsia="Times New Roman" w:hAnsi="Times New Roman"/>
          <w:sz w:val="22"/>
          <w:szCs w:val="22"/>
          <w:color w:val="auto"/>
        </w:rPr>
        <w:t xml:space="preserve">Section 18. </w:t>
      </w:r>
      <w:r>
        <w:rPr>
          <w:rFonts w:ascii="Times New Roman" w:cs="Times New Roman" w:eastAsia="Times New Roman" w:hAnsi="Times New Roman"/>
          <w:sz w:val="22"/>
          <w:szCs w:val="22"/>
          <w:u w:val="single" w:color="auto"/>
          <w:color w:val="auto"/>
        </w:rPr>
        <w:t>Clawback upon Breach of Restrictive Covenants</w:t>
      </w:r>
      <w:r>
        <w:rPr>
          <w:rFonts w:ascii="Times New Roman" w:cs="Times New Roman" w:eastAsia="Times New Roman" w:hAnsi="Times New Roman"/>
          <w:sz w:val="22"/>
          <w:szCs w:val="22"/>
          <w:color w:val="auto"/>
        </w:rPr>
        <w:t>. In the event the Participant breaches the Participant’s “Restrictive Covenant Agreement” (as defined below) at any time during the Participant’s employment with the Company or within two years following the termination thereof, then without limiting any other remedies available to the Company (including, without limitation, remedies involving injunctive relief), the Participant shall immediately forfeit any remaining unvested portion of the Option and the Participant shall be required to return to the Company all Shares previously issued in respect of the Option (net of exercise price paid) to the extent the Participant continues to own such Shares or, if the Participant no longer owns such Shares, the Participant shall be required to repay to the Company the pre-tax cash value of such Shares calculated based on the Fair Market Value of such Shares on the date such Shares were issued to the Participant in respect of the Option. As used herein, the “Restrictive Covenant Agreement” means any agreement between the Participant and the Company or its Affiliates (including, without limitation, any agreement relating to employment and post-employment competition) subjecting the Participant to confidentiality, non-solicitation, non-competition and/or other restrictive covenants in favor of the Company or its Affiliates.</w:t>
      </w:r>
    </w:p>
    <w:p>
      <w:pPr>
        <w:spacing w:after="0" w:line="187" w:lineRule="exact"/>
        <w:rPr>
          <w:sz w:val="20"/>
          <w:szCs w:val="20"/>
          <w:color w:val="auto"/>
        </w:rPr>
      </w:pPr>
    </w:p>
    <w:p>
      <w:pPr>
        <w:ind w:left="20" w:right="160" w:firstLine="647"/>
        <w:spacing w:after="0" w:line="220" w:lineRule="auto"/>
        <w:rPr>
          <w:sz w:val="20"/>
          <w:szCs w:val="20"/>
          <w:color w:val="auto"/>
        </w:rPr>
      </w:pPr>
      <w:r>
        <w:rPr>
          <w:rFonts w:ascii="Times New Roman" w:cs="Times New Roman" w:eastAsia="Times New Roman" w:hAnsi="Times New Roman"/>
          <w:sz w:val="22"/>
          <w:szCs w:val="22"/>
          <w:color w:val="auto"/>
        </w:rPr>
        <w:t xml:space="preserve">Section 19.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It is the desire and intent of the parties hereto that the provisions of this Award be enforced to the fullest extent permissible under the laws and public policies applied in each jurisdiction in which enforcement is sought. Accordingly, if any particular provision of this Award shall be adjudicated by a court of competent jurisdiction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200"/>
          </w:cols>
          <w:pgMar w:left="400" w:top="1440" w:right="1299" w:bottom="1440" w:gutter="0" w:footer="0" w:header="0"/>
        </w:sectPr>
      </w:pPr>
    </w:p>
    <w:bookmarkStart w:id="162" w:name="page163"/>
    <w:bookmarkEnd w:id="162"/>
    <w:p>
      <w:pPr>
        <w:spacing w:after="0" w:line="198" w:lineRule="exact"/>
        <w:rPr>
          <w:sz w:val="20"/>
          <w:szCs w:val="20"/>
          <w:color w:val="auto"/>
        </w:rPr>
      </w:pPr>
    </w:p>
    <w:p>
      <w:pPr>
        <w:ind w:left="20"/>
        <w:spacing w:after="0" w:line="215" w:lineRule="auto"/>
        <w:rPr>
          <w:sz w:val="20"/>
          <w:szCs w:val="20"/>
          <w:color w:val="auto"/>
        </w:rPr>
      </w:pPr>
      <w:r>
        <w:rPr>
          <w:rFonts w:ascii="Times New Roman" w:cs="Times New Roman" w:eastAsia="Times New Roman" w:hAnsi="Times New Roman"/>
          <w:sz w:val="22"/>
          <w:szCs w:val="22"/>
          <w:color w:val="auto"/>
        </w:rPr>
        <w:t>invalid, prohibited or unenforceable for any reason, such provision, as to such jurisdiction, shall be ineffective, without invalidating the remaining provisions of this Award or affecting the validity or enforceability of such provision in any other jurisdiction. Notwithstanding the foregoing, if such provision could be more narrowly drawn so as not to be invalid, prohibited or unenforceable in such jurisdiction, it shall, as to such jurisdiction, be so narrowly drawn, without invalidating the remaining provisions of this Award or affecting the validity or enforceability of such provision in any other jurisdiction.</w:t>
      </w:r>
    </w:p>
    <w:p>
      <w:pPr>
        <w:spacing w:after="0" w:line="152" w:lineRule="exact"/>
        <w:rPr>
          <w:sz w:val="20"/>
          <w:szCs w:val="20"/>
          <w:color w:val="auto"/>
        </w:rPr>
      </w:pPr>
    </w:p>
    <w:p>
      <w:pPr>
        <w:ind w:left="580"/>
        <w:spacing w:after="0"/>
        <w:tabs>
          <w:tab w:leader="none" w:pos="4260" w:val="left"/>
        </w:tabs>
        <w:rPr>
          <w:sz w:val="20"/>
          <w:szCs w:val="20"/>
          <w:color w:val="auto"/>
        </w:rPr>
      </w:pPr>
      <w:r>
        <w:rPr>
          <w:rFonts w:ascii="Times New Roman" w:cs="Times New Roman" w:eastAsia="Times New Roman" w:hAnsi="Times New Roman"/>
          <w:sz w:val="22"/>
          <w:szCs w:val="22"/>
          <w:color w:val="auto"/>
        </w:rPr>
        <w:t>Name: [(Per Certificate of Grant)] Date:</w:t>
      </w:r>
      <w:r>
        <w:rPr>
          <w:sz w:val="20"/>
          <w:szCs w:val="20"/>
          <w:color w:val="auto"/>
        </w:rPr>
        <w:tab/>
      </w:r>
      <w:r>
        <w:rPr>
          <w:rFonts w:ascii="Times New Roman" w:cs="Times New Roman" w:eastAsia="Times New Roman" w:hAnsi="Times New Roman"/>
          <w:sz w:val="21"/>
          <w:szCs w:val="21"/>
          <w:color w:val="auto"/>
        </w:rPr>
        <w:t>[Acceptance</w:t>
      </w:r>
    </w:p>
    <w:p>
      <w:pPr>
        <w:spacing w:after="0" w:line="2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Date]</w:t>
      </w:r>
    </w:p>
    <w:p>
      <w:pPr>
        <w:spacing w:after="0" w:line="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[Note: Grant will be accepted electronically.]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240"/>
          </w:cols>
          <w:pgMar w:left="400" w:top="1440" w:right="1259" w:bottom="1440" w:gutter="0" w:footer="0" w:header="0"/>
        </w:sectPr>
      </w:pPr>
    </w:p>
    <w:bookmarkStart w:id="163" w:name="page164"/>
    <w:bookmarkEnd w:id="163"/>
    <w:p>
      <w:pPr>
        <w:ind w:left="5172"/>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87" w:lineRule="exact"/>
        <w:rPr>
          <w:sz w:val="20"/>
          <w:szCs w:val="20"/>
          <w:color w:val="auto"/>
        </w:rPr>
      </w:pPr>
    </w:p>
    <w:p>
      <w:pPr>
        <w:ind w:left="2612"/>
        <w:spacing w:after="0"/>
        <w:rPr>
          <w:sz w:val="20"/>
          <w:szCs w:val="20"/>
          <w:color w:val="auto"/>
        </w:rPr>
      </w:pPr>
      <w:r>
        <w:rPr>
          <w:rFonts w:ascii="Times New Roman" w:cs="Times New Roman" w:eastAsia="Times New Roman" w:hAnsi="Times New Roman"/>
          <w:sz w:val="22"/>
          <w:szCs w:val="22"/>
          <w:b w:val="1"/>
          <w:bCs w:val="1"/>
          <w:color w:val="auto"/>
        </w:rPr>
        <w:t>DATA PRIVACY NOTICE</w:t>
      </w:r>
    </w:p>
    <w:p>
      <w:pPr>
        <w:spacing w:after="0" w:line="228" w:lineRule="exact"/>
        <w:rPr>
          <w:sz w:val="20"/>
          <w:szCs w:val="20"/>
          <w:color w:val="auto"/>
        </w:rPr>
      </w:pPr>
    </w:p>
    <w:p>
      <w:pPr>
        <w:ind w:left="652" w:right="80" w:hanging="652"/>
        <w:spacing w:after="0" w:line="215" w:lineRule="auto"/>
        <w:tabs>
          <w:tab w:leader="none" w:pos="649"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By participating in the Plan or accepting any rights granted under it, the Participant understands that the Company and its Affiliates and/or agents collect, use, store and process personal data relating to the Participant to fulfill their obligations and exercise their rights under the Plan, issue certificates (if any), statements and communications relating to the Plan and generally administer and manage the Plan, including keeping records of participation levels from time to time. Any such processing will take place as described in this data privacy notice (“</w:t>
      </w:r>
      <w:r>
        <w:rPr>
          <w:rFonts w:ascii="Times New Roman" w:cs="Times New Roman" w:eastAsia="Times New Roman" w:hAnsi="Times New Roman"/>
          <w:sz w:val="20"/>
          <w:szCs w:val="20"/>
          <w:u w:val="single" w:color="auto"/>
          <w:color w:val="auto"/>
        </w:rPr>
        <w:t>Data Privacy Notice</w:t>
      </w:r>
      <w:r>
        <w:rPr>
          <w:rFonts w:ascii="Times New Roman" w:cs="Times New Roman" w:eastAsia="Times New Roman" w:hAnsi="Times New Roman"/>
          <w:sz w:val="20"/>
          <w:szCs w:val="20"/>
          <w:color w:val="auto"/>
        </w:rPr>
        <w:t>”).</w:t>
      </w:r>
    </w:p>
    <w:p>
      <w:pPr>
        <w:spacing w:after="0" w:line="191" w:lineRule="exact"/>
        <w:rPr>
          <w:sz w:val="20"/>
          <w:szCs w:val="20"/>
          <w:color w:val="auto"/>
        </w:rPr>
      </w:pPr>
    </w:p>
    <w:p>
      <w:pPr>
        <w:ind w:left="92"/>
        <w:spacing w:after="0"/>
        <w:rPr>
          <w:sz w:val="20"/>
          <w:szCs w:val="20"/>
          <w:color w:val="auto"/>
        </w:rPr>
      </w:pPr>
      <w:r>
        <w:rPr>
          <w:rFonts w:ascii="Times New Roman" w:cs="Times New Roman" w:eastAsia="Times New Roman" w:hAnsi="Times New Roman"/>
          <w:sz w:val="20"/>
          <w:szCs w:val="20"/>
          <w:color w:val="auto"/>
        </w:rPr>
        <w:t>These data will include data:</w:t>
      </w:r>
    </w:p>
    <w:p>
      <w:pPr>
        <w:spacing w:after="0" w:line="229" w:lineRule="exact"/>
        <w:rPr>
          <w:sz w:val="20"/>
          <w:szCs w:val="20"/>
          <w:color w:val="auto"/>
        </w:rPr>
      </w:pPr>
    </w:p>
    <w:p>
      <w:pPr>
        <w:ind w:left="1552" w:right="320" w:hanging="13"/>
        <w:spacing w:after="0" w:line="229" w:lineRule="auto"/>
        <w:tabs>
          <w:tab w:leader="none" w:pos="1936"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already held in the Participant's records such as the Participant's name and address, ID number, payroll number, length of service and whether the Participant works full-time or part time;</w:t>
      </w:r>
    </w:p>
    <w:p>
      <w:pPr>
        <w:spacing w:after="0" w:line="200" w:lineRule="exact"/>
        <w:rPr>
          <w:rFonts w:ascii="Times New Roman" w:cs="Times New Roman" w:eastAsia="Times New Roman" w:hAnsi="Times New Roman"/>
          <w:sz w:val="22"/>
          <w:szCs w:val="22"/>
          <w:color w:val="auto"/>
        </w:rPr>
      </w:pPr>
    </w:p>
    <w:p>
      <w:pPr>
        <w:ind w:left="1932" w:hanging="384"/>
        <w:spacing w:after="0"/>
        <w:tabs>
          <w:tab w:leader="none" w:pos="1932"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collected upon the Participant accepting the rights granted under the Plan (if applicable); and</w:t>
      </w:r>
    </w:p>
    <w:p>
      <w:pPr>
        <w:spacing w:after="0" w:line="219" w:lineRule="exact"/>
        <w:rPr>
          <w:rFonts w:ascii="Times New Roman" w:cs="Times New Roman" w:eastAsia="Times New Roman" w:hAnsi="Times New Roman"/>
          <w:sz w:val="22"/>
          <w:szCs w:val="22"/>
          <w:color w:val="auto"/>
        </w:rPr>
      </w:pPr>
    </w:p>
    <w:p>
      <w:pPr>
        <w:ind w:left="2032" w:hanging="485"/>
        <w:spacing w:after="0"/>
        <w:tabs>
          <w:tab w:leader="none" w:pos="2032"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subsequently collected</w:t>
      </w:r>
    </w:p>
    <w:p>
      <w:pPr>
        <w:spacing w:after="0" w:line="193" w:lineRule="exact"/>
        <w:rPr>
          <w:sz w:val="20"/>
          <w:szCs w:val="20"/>
          <w:color w:val="auto"/>
        </w:rPr>
      </w:pPr>
    </w:p>
    <w:p>
      <w:pPr>
        <w:ind w:left="1552"/>
        <w:spacing w:after="0" w:line="234" w:lineRule="auto"/>
        <w:rPr>
          <w:sz w:val="20"/>
          <w:szCs w:val="20"/>
          <w:color w:val="auto"/>
        </w:rPr>
      </w:pPr>
      <w:r>
        <w:rPr>
          <w:rFonts w:ascii="Times New Roman" w:cs="Times New Roman" w:eastAsia="Times New Roman" w:hAnsi="Times New Roman"/>
          <w:sz w:val="19"/>
          <w:szCs w:val="19"/>
          <w:color w:val="auto"/>
        </w:rPr>
        <w:t>by the Company or any of its Affiliates and/or agents in relation to the Participant's continued participation in the Plan, for example, data about shares offered or received, purchased or sold under the Plan from time to time</w:t>
      </w:r>
    </w:p>
    <w:p>
      <w:pPr>
        <w:spacing w:after="0" w:line="1" w:lineRule="exact"/>
        <w:rPr>
          <w:sz w:val="20"/>
          <w:szCs w:val="20"/>
          <w:color w:val="auto"/>
        </w:rPr>
      </w:pPr>
    </w:p>
    <w:p>
      <w:pPr>
        <w:ind w:left="1552"/>
        <w:spacing w:after="0" w:line="204" w:lineRule="auto"/>
        <w:rPr>
          <w:sz w:val="20"/>
          <w:szCs w:val="20"/>
          <w:color w:val="auto"/>
        </w:rPr>
      </w:pPr>
      <w:r>
        <w:rPr>
          <w:rFonts w:ascii="Times New Roman" w:cs="Times New Roman" w:eastAsia="Times New Roman" w:hAnsi="Times New Roman"/>
          <w:sz w:val="20"/>
          <w:szCs w:val="20"/>
          <w:color w:val="auto"/>
        </w:rPr>
        <w:t>and other appropriate financial and other data about the Participant and his or her participation in the Plan (e.g., the date on which the shares were granted, termination of employment and the reasons of termination of</w:t>
      </w:r>
    </w:p>
    <w:p>
      <w:pPr>
        <w:spacing w:after="0" w:line="1" w:lineRule="exact"/>
        <w:rPr>
          <w:sz w:val="20"/>
          <w:szCs w:val="20"/>
          <w:color w:val="auto"/>
        </w:rPr>
      </w:pPr>
    </w:p>
    <w:p>
      <w:pPr>
        <w:ind w:left="1552"/>
        <w:spacing w:after="0"/>
        <w:rPr>
          <w:sz w:val="20"/>
          <w:szCs w:val="20"/>
          <w:color w:val="auto"/>
        </w:rPr>
      </w:pPr>
      <w:r>
        <w:rPr>
          <w:rFonts w:ascii="Times New Roman" w:cs="Times New Roman" w:eastAsia="Times New Roman" w:hAnsi="Times New Roman"/>
          <w:sz w:val="20"/>
          <w:szCs w:val="20"/>
          <w:color w:val="auto"/>
        </w:rPr>
        <w:t>employment or retirement of the Participant).</w:t>
      </w:r>
    </w:p>
    <w:p>
      <w:pPr>
        <w:spacing w:after="0" w:line="200" w:lineRule="exact"/>
        <w:rPr>
          <w:sz w:val="20"/>
          <w:szCs w:val="20"/>
          <w:color w:val="auto"/>
        </w:rPr>
      </w:pPr>
    </w:p>
    <w:p>
      <w:pPr>
        <w:spacing w:after="0" w:line="331" w:lineRule="exact"/>
        <w:rPr>
          <w:sz w:val="20"/>
          <w:szCs w:val="20"/>
          <w:color w:val="auto"/>
        </w:rPr>
      </w:pPr>
    </w:p>
    <w:p>
      <w:pPr>
        <w:ind w:left="572" w:right="180" w:hanging="572"/>
        <w:spacing w:after="0" w:line="216" w:lineRule="auto"/>
        <w:tabs>
          <w:tab w:leader="none" w:pos="569"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Personal data about the Participant as described in paragraph (a) above may be transferred not only within the country in which the Participant is based from time to time or within the European Economic Area</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9"/>
          <w:szCs w:val="19"/>
          <w:color w:val="auto"/>
        </w:rPr>
        <w:t xml:space="preserve"> (“EEA”), but also worldwide, to other Affiliates and/or agents and to the following third parties for the purposes described in paragraph (a) above:</w:t>
      </w:r>
    </w:p>
    <w:p>
      <w:pPr>
        <w:spacing w:after="0" w:line="201" w:lineRule="exact"/>
        <w:rPr>
          <w:rFonts w:ascii="Times New Roman" w:cs="Times New Roman" w:eastAsia="Times New Roman" w:hAnsi="Times New Roman"/>
          <w:sz w:val="21"/>
          <w:szCs w:val="21"/>
          <w:color w:val="auto"/>
        </w:rPr>
      </w:pPr>
    </w:p>
    <w:p>
      <w:pPr>
        <w:ind w:left="1552" w:right="260" w:hanging="4"/>
        <w:spacing w:after="0" w:line="223" w:lineRule="auto"/>
        <w:tabs>
          <w:tab w:leader="none" w:pos="1945"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Plan administrators, transfer agents, auditors, brokers, agents and contractors of, and third party service providers to, the Company or its Affiliates such as printers and mail houses engaged to print or distribute notices or communications about the Plan;</w:t>
      </w:r>
    </w:p>
    <w:p>
      <w:pPr>
        <w:spacing w:after="0" w:line="201" w:lineRule="exact"/>
        <w:rPr>
          <w:rFonts w:ascii="Times New Roman" w:cs="Times New Roman" w:eastAsia="Times New Roman" w:hAnsi="Times New Roman"/>
          <w:sz w:val="22"/>
          <w:szCs w:val="22"/>
          <w:color w:val="auto"/>
        </w:rPr>
      </w:pPr>
    </w:p>
    <w:p>
      <w:pPr>
        <w:ind w:left="1552" w:right="80" w:hanging="4"/>
        <w:spacing w:after="0" w:line="229" w:lineRule="auto"/>
        <w:tabs>
          <w:tab w:leader="none" w:pos="1939"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regulators, tax authorities, stock or security exchanges and other supervisory, regulatory, governmental or public bodies as required by law;</w:t>
      </w:r>
    </w:p>
    <w:p>
      <w:pPr>
        <w:spacing w:after="0" w:line="200" w:lineRule="exact"/>
        <w:rPr>
          <w:rFonts w:ascii="Times New Roman" w:cs="Times New Roman" w:eastAsia="Times New Roman" w:hAnsi="Times New Roman"/>
          <w:sz w:val="22"/>
          <w:szCs w:val="22"/>
          <w:color w:val="auto"/>
        </w:rPr>
      </w:pPr>
    </w:p>
    <w:p>
      <w:pPr>
        <w:ind w:left="1552" w:right="20" w:hanging="4"/>
        <w:spacing w:after="0" w:line="223" w:lineRule="auto"/>
        <w:tabs>
          <w:tab w:leader="none" w:pos="1945"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actual or proposed merger or acquisition partners or proposed assignees of, or those taking or proposing to take security over, the business or assets or stock of the Company or its Affiliates and their agents and contractors;</w:t>
      </w:r>
    </w:p>
    <w:p>
      <w:pPr>
        <w:spacing w:after="0" w:line="201" w:lineRule="exact"/>
        <w:rPr>
          <w:rFonts w:ascii="Times New Roman" w:cs="Times New Roman" w:eastAsia="Times New Roman" w:hAnsi="Times New Roman"/>
          <w:sz w:val="22"/>
          <w:szCs w:val="22"/>
          <w:color w:val="auto"/>
        </w:rPr>
      </w:pPr>
    </w:p>
    <w:p>
      <w:pPr>
        <w:ind w:left="1552" w:right="40" w:hanging="4"/>
        <w:spacing w:after="0" w:line="223" w:lineRule="auto"/>
        <w:tabs>
          <w:tab w:leader="none" w:pos="1937"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other third parties to whom the Company or its Affiliates and/or agents may need to communicate/transfer the data in connection with the administration of the Plan, under a duty of confidentiality to the Company and its Affiliates; and</w:t>
      </w:r>
    </w:p>
    <w:p>
      <w:pPr>
        <w:spacing w:after="0" w:line="201" w:lineRule="exact"/>
        <w:rPr>
          <w:rFonts w:ascii="Times New Roman" w:cs="Times New Roman" w:eastAsia="Times New Roman" w:hAnsi="Times New Roman"/>
          <w:sz w:val="22"/>
          <w:szCs w:val="22"/>
          <w:color w:val="auto"/>
        </w:rPr>
      </w:pPr>
    </w:p>
    <w:p>
      <w:pPr>
        <w:ind w:left="1552" w:right="440" w:hanging="4"/>
        <w:spacing w:after="0" w:line="229" w:lineRule="auto"/>
        <w:tabs>
          <w:tab w:leader="none" w:pos="2591"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Participant's family members, heirs, legatees and others associated with the Participant in connection with the Plan.</w:t>
      </w:r>
    </w:p>
    <w:p>
      <w:pPr>
        <w:spacing w:after="0" w:line="201" w:lineRule="exact"/>
        <w:rPr>
          <w:sz w:val="20"/>
          <w:szCs w:val="20"/>
          <w:color w:val="auto"/>
        </w:rPr>
      </w:pPr>
    </w:p>
    <w:p>
      <w:pPr>
        <w:ind w:left="92" w:right="40"/>
        <w:spacing w:after="0" w:line="227" w:lineRule="auto"/>
        <w:rPr>
          <w:sz w:val="20"/>
          <w:szCs w:val="20"/>
          <w:color w:val="auto"/>
        </w:rPr>
      </w:pPr>
      <w:r>
        <w:rPr>
          <w:rFonts w:ascii="Times New Roman" w:cs="Times New Roman" w:eastAsia="Times New Roman" w:hAnsi="Times New Roman"/>
          <w:sz w:val="19"/>
          <w:szCs w:val="19"/>
          <w:color w:val="auto"/>
        </w:rPr>
        <w:t>Not all countries, where the personal data may be processed or transferred to, have an equal level of data protection as in Canada, the EU or EEA. Countries to which data are transferred include the United States and Bermuda. The Company, as the responsible</w:t>
      </w:r>
    </w:p>
    <w:p>
      <w:pPr>
        <w:ind w:left="92" w:right="280"/>
        <w:spacing w:after="0" w:line="228" w:lineRule="auto"/>
        <w:rPr>
          <w:sz w:val="20"/>
          <w:szCs w:val="20"/>
          <w:color w:val="auto"/>
        </w:rPr>
      </w:pPr>
      <w:r>
        <w:rPr>
          <w:rFonts w:ascii="Times New Roman" w:cs="Times New Roman" w:eastAsia="Times New Roman" w:hAnsi="Times New Roman"/>
          <w:sz w:val="20"/>
          <w:szCs w:val="20"/>
          <w:color w:val="auto"/>
        </w:rPr>
        <w:t>data controller of any data processing for the purposes of the Plan, is located in the United States. For any transfers outside the country of origin of the personal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17145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50">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84" w:lineRule="exact"/>
        <w:rPr>
          <w:sz w:val="20"/>
          <w:szCs w:val="20"/>
          <w:color w:val="auto"/>
        </w:rPr>
      </w:pPr>
    </w:p>
    <w:p>
      <w:pPr>
        <w:ind w:left="112" w:hanging="112"/>
        <w:spacing w:after="0"/>
        <w:tabs>
          <w:tab w:leader="none" w:pos="112" w:val="left"/>
        </w:tabs>
        <w:numPr>
          <w:ilvl w:val="0"/>
          <w:numId w:val="14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European Economic Area is composed of 27 member states of the European Union plus Iceland, Liechtenstein and Norway.</w:t>
      </w:r>
    </w:p>
    <w:p>
      <w:pPr>
        <w:sectPr>
          <w:pgSz w:w="11900" w:h="16838" w:orient="portrait"/>
          <w:cols w:equalWidth="0" w:num="1">
            <w:col w:w="10372"/>
          </w:cols>
          <w:pgMar w:left="328" w:top="1391" w:right="1199" w:bottom="1440" w:gutter="0" w:footer="0" w:header="0"/>
        </w:sectPr>
      </w:pPr>
    </w:p>
    <w:bookmarkStart w:id="164" w:name="page165"/>
    <w:bookmarkEnd w:id="164"/>
    <w:p>
      <w:pPr>
        <w:ind w:left="11" w:right="80"/>
        <w:spacing w:after="0"/>
        <w:rPr>
          <w:sz w:val="20"/>
          <w:szCs w:val="20"/>
          <w:color w:val="auto"/>
        </w:rPr>
      </w:pPr>
      <w:r>
        <w:rPr>
          <w:rFonts w:ascii="Times New Roman" w:cs="Times New Roman" w:eastAsia="Times New Roman" w:hAnsi="Times New Roman"/>
          <w:sz w:val="20"/>
          <w:szCs w:val="20"/>
          <w:color w:val="auto"/>
        </w:rPr>
        <w:t>or with a third party, the Company will ensure that appropriate measures are in place to ensure an adequate level of protection for your personal data, including technical or contractual measures where necessary.</w:t>
      </w:r>
    </w:p>
    <w:p>
      <w:pPr>
        <w:spacing w:after="0" w:line="188" w:lineRule="exact"/>
        <w:rPr>
          <w:sz w:val="20"/>
          <w:szCs w:val="20"/>
          <w:color w:val="auto"/>
        </w:rPr>
      </w:pPr>
    </w:p>
    <w:p>
      <w:pPr>
        <w:ind w:left="11" w:right="140"/>
        <w:spacing w:after="0" w:line="227" w:lineRule="auto"/>
        <w:rPr>
          <w:sz w:val="20"/>
          <w:szCs w:val="20"/>
          <w:color w:val="auto"/>
        </w:rPr>
      </w:pPr>
      <w:r>
        <w:rPr>
          <w:rFonts w:ascii="Times New Roman" w:cs="Times New Roman" w:eastAsia="Times New Roman" w:hAnsi="Times New Roman"/>
          <w:sz w:val="19"/>
          <w:szCs w:val="19"/>
          <w:color w:val="auto"/>
        </w:rPr>
        <w:t>For European personal data, onward transfers of personal data within the United States and to Bermuda are generally undertaken with adequate safeguards in place to protect personal data, such as Standard Contractual Clauses issued by the European</w:t>
      </w:r>
    </w:p>
    <w:p>
      <w:pPr>
        <w:ind w:left="11"/>
        <w:spacing w:after="0"/>
        <w:rPr>
          <w:sz w:val="20"/>
          <w:szCs w:val="20"/>
          <w:color w:val="auto"/>
        </w:rPr>
      </w:pPr>
      <w:r>
        <w:rPr>
          <w:rFonts w:ascii="Times New Roman" w:cs="Times New Roman" w:eastAsia="Times New Roman" w:hAnsi="Times New Roman"/>
          <w:sz w:val="19"/>
          <w:szCs w:val="19"/>
          <w:color w:val="auto"/>
        </w:rPr>
        <w:t>Commission, which are, where necessary, supplemented with additional measures to provide adequate protection of personal data.</w:t>
      </w:r>
    </w:p>
    <w:p>
      <w:pPr>
        <w:spacing w:after="0" w:line="205" w:lineRule="exact"/>
        <w:rPr>
          <w:sz w:val="20"/>
          <w:szCs w:val="20"/>
          <w:color w:val="auto"/>
        </w:rPr>
      </w:pPr>
    </w:p>
    <w:p>
      <w:pPr>
        <w:ind w:left="11" w:right="260"/>
        <w:spacing w:after="0" w:line="233" w:lineRule="auto"/>
        <w:rPr>
          <w:sz w:val="20"/>
          <w:szCs w:val="20"/>
          <w:color w:val="auto"/>
        </w:rPr>
      </w:pPr>
      <w:r>
        <w:rPr>
          <w:rFonts w:ascii="Times New Roman" w:cs="Times New Roman" w:eastAsia="Times New Roman" w:hAnsi="Times New Roman"/>
          <w:sz w:val="20"/>
          <w:szCs w:val="20"/>
          <w:color w:val="auto"/>
        </w:rPr>
        <w:t>All national and international transfer of personal data is only done in order to fulfill the obligations and rights of the Company and/or its Affiliates under the Plan.</w:t>
      </w:r>
    </w:p>
    <w:p>
      <w:pPr>
        <w:spacing w:after="0" w:line="182" w:lineRule="exact"/>
        <w:rPr>
          <w:sz w:val="20"/>
          <w:szCs w:val="20"/>
          <w:color w:val="auto"/>
        </w:rPr>
      </w:pPr>
    </w:p>
    <w:p>
      <w:pPr>
        <w:ind w:left="11"/>
        <w:spacing w:after="0"/>
        <w:rPr>
          <w:sz w:val="20"/>
          <w:szCs w:val="20"/>
          <w:color w:val="auto"/>
        </w:rPr>
      </w:pPr>
      <w:r>
        <w:rPr>
          <w:rFonts w:ascii="Times New Roman" w:cs="Times New Roman" w:eastAsia="Times New Roman" w:hAnsi="Times New Roman"/>
          <w:sz w:val="20"/>
          <w:szCs w:val="20"/>
          <w:color w:val="auto"/>
        </w:rPr>
        <w:t>The Participant may access, modify, correct or delete personal data about the Participant, restrict or object to the processing of</w:t>
      </w:r>
    </w:p>
    <w:p>
      <w:pPr>
        <w:ind w:left="11"/>
        <w:spacing w:after="0" w:line="215" w:lineRule="auto"/>
        <w:rPr>
          <w:sz w:val="20"/>
          <w:szCs w:val="20"/>
          <w:color w:val="auto"/>
        </w:rPr>
      </w:pPr>
      <w:r>
        <w:rPr>
          <w:rFonts w:ascii="Times New Roman" w:cs="Times New Roman" w:eastAsia="Times New Roman" w:hAnsi="Times New Roman"/>
          <w:sz w:val="19"/>
          <w:szCs w:val="19"/>
          <w:color w:val="auto"/>
        </w:rPr>
        <w:t>personal data, or opt to receive personal data in a structured, commonly used, machine readable form which provides the ability to move, copy or transfer personal data to another controller by contacting the local data protection officer in the country in which</w:t>
      </w:r>
    </w:p>
    <w:p>
      <w:pPr>
        <w:ind w:left="11"/>
        <w:spacing w:after="0" w:line="211" w:lineRule="auto"/>
        <w:rPr>
          <w:sz w:val="20"/>
          <w:szCs w:val="20"/>
          <w:color w:val="auto"/>
        </w:rPr>
      </w:pPr>
      <w:r>
        <w:rPr>
          <w:rFonts w:ascii="Times New Roman" w:cs="Times New Roman" w:eastAsia="Times New Roman" w:hAnsi="Times New Roman"/>
          <w:sz w:val="20"/>
          <w:szCs w:val="20"/>
          <w:color w:val="auto"/>
        </w:rPr>
        <w:t>the Participant is based. Please note, however, that certain personal information about the Participant may be exempt from afore</w:t>
      </w:r>
    </w:p>
    <w:p>
      <w:pPr>
        <w:ind w:left="11" w:right="100"/>
        <w:spacing w:after="0" w:line="215" w:lineRule="auto"/>
        <w:rPr>
          <w:sz w:val="20"/>
          <w:szCs w:val="20"/>
          <w:color w:val="auto"/>
        </w:rPr>
      </w:pPr>
      <w:r>
        <w:rPr>
          <w:rFonts w:ascii="Times New Roman" w:cs="Times New Roman" w:eastAsia="Times New Roman" w:hAnsi="Times New Roman"/>
          <w:sz w:val="19"/>
          <w:szCs w:val="19"/>
          <w:color w:val="auto"/>
        </w:rPr>
        <w:t>mentioned rights pursuant to applicable data protection laws. In addition, the Participant has the right to lodge a complaint with a competent data protection supervisory authority, in particular in the EU Member State where the Participant resides, works or the</w:t>
      </w:r>
    </w:p>
    <w:p>
      <w:pPr>
        <w:ind w:left="11" w:right="160"/>
        <w:spacing w:after="0" w:line="233" w:lineRule="auto"/>
        <w:rPr>
          <w:sz w:val="20"/>
          <w:szCs w:val="20"/>
          <w:color w:val="auto"/>
        </w:rPr>
      </w:pPr>
      <w:r>
        <w:rPr>
          <w:rFonts w:ascii="Times New Roman" w:cs="Times New Roman" w:eastAsia="Times New Roman" w:hAnsi="Times New Roman"/>
          <w:sz w:val="19"/>
          <w:szCs w:val="19"/>
          <w:color w:val="auto"/>
        </w:rPr>
        <w:t>place of the alleged infringement. If the Participant has a complaint regarding the manner in which personal information relating to the Participant is dealt with, the Participant should contact the appropriate local data protection officer referred to above.</w:t>
      </w:r>
    </w:p>
    <w:p>
      <w:pPr>
        <w:spacing w:after="0" w:line="202" w:lineRule="exact"/>
        <w:rPr>
          <w:sz w:val="20"/>
          <w:szCs w:val="20"/>
          <w:color w:val="auto"/>
        </w:rPr>
      </w:pPr>
    </w:p>
    <w:p>
      <w:pPr>
        <w:ind w:left="571" w:right="300" w:hanging="571"/>
        <w:spacing w:after="0" w:line="229" w:lineRule="auto"/>
        <w:tabs>
          <w:tab w:leader="none" w:pos="566"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processing (including transfer) of data described above is essential for the administration and operation of the Plan. Therefore, it is essential that his/her personal data is processed in the manner described above.</w:t>
      </w:r>
    </w:p>
    <w:p>
      <w:pPr>
        <w:spacing w:after="0" w:line="38" w:lineRule="exact"/>
        <w:rPr>
          <w:rFonts w:ascii="Times New Roman" w:cs="Times New Roman" w:eastAsia="Times New Roman" w:hAnsi="Times New Roman"/>
          <w:sz w:val="22"/>
          <w:szCs w:val="22"/>
          <w:color w:val="auto"/>
        </w:rPr>
      </w:pPr>
    </w:p>
    <w:p>
      <w:pPr>
        <w:ind w:left="571" w:right="140" w:hanging="571"/>
        <w:spacing w:after="0" w:line="229" w:lineRule="auto"/>
        <w:tabs>
          <w:tab w:leader="none" w:pos="568"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Company will only retain personal data for as long as is required to satisfy the purposes as described in paragraph (a) above, except where otherwise provided or required by law (e.g. in connection with pending litigation).</w:t>
      </w:r>
    </w:p>
    <w:p>
      <w:pPr>
        <w:sectPr>
          <w:pgSz w:w="11900" w:h="16838" w:orient="portrait"/>
          <w:cols w:equalWidth="0" w:num="1">
            <w:col w:w="10331"/>
          </w:cols>
          <w:pgMar w:left="409" w:top="1318" w:right="1159" w:bottom="1440" w:gutter="0" w:footer="0" w:header="0"/>
        </w:sectPr>
      </w:pPr>
    </w:p>
    <w:bookmarkStart w:id="165" w:name="page166"/>
    <w:bookmarkEnd w:id="165"/>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10.94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Schedule I</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Performance Condition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Performance Period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Fiscal Years [ ] ([ ] through [ ])</w:t>
      </w:r>
    </w:p>
    <w:p>
      <w:pPr>
        <w:spacing w:after="0" w:line="183" w:lineRule="exact"/>
        <w:rPr>
          <w:sz w:val="20"/>
          <w:szCs w:val="20"/>
          <w:color w:val="auto"/>
        </w:rPr>
      </w:pPr>
    </w:p>
    <w:p>
      <w:pPr>
        <w:ind w:right="20" w:firstLine="648"/>
        <w:spacing w:after="0" w:line="219" w:lineRule="auto"/>
        <w:rPr>
          <w:sz w:val="20"/>
          <w:szCs w:val="20"/>
          <w:color w:val="auto"/>
        </w:rPr>
      </w:pPr>
      <w:r>
        <w:rPr>
          <w:rFonts w:ascii="Times New Roman" w:cs="Times New Roman" w:eastAsia="Times New Roman" w:hAnsi="Times New Roman"/>
          <w:sz w:val="21"/>
          <w:szCs w:val="21"/>
          <w:color w:val="auto"/>
        </w:rPr>
        <w:t>A number of PSUs equal to a percentage of the Target Number of PSUs set forth on the Certificate of Grant will become Earned PSUs on the Determination Date (and will become deliverable to you upon the Vesting Date or such other date as set forth in the Award) based on the level of achievement of actual Adjusted Revenue Growth, actual Cumulative Adjusted EPS, actual [ ] ROIC and actual Relative TSR Percentile during the Performance Period as set forth in the tables below with [ ]% of the Target Number of PSUs to be determined by achievement of actual Adjusted Revenue Growth, [ ]% to be determined by Cumulative Adjusted EPS, [ ]% to be determined by achievement of actual [ ] ROIC and 40% to be determined by achievement of actual Relative TSR Percentile. Achievement of actual Adjusted Revenue Growth, actual Cumulative Adjusted EPS, and actual [ ] ROIC and actual Relative TSR Percentile in between the performance levels set forth in the tables below will be pro-rated based on linear interpolation. The total number of Earned PSUs hereunder, if any, will be the sum of (i) the applicable percentage of the Target Number of PSUs earned based on actual Adjusted Revenue Growth, (ii) the applicable percentage of the Target Number of PSUs earned based on actual Cumulative Adjusted Earnings Per Share, (iii) the applicable percentage of the Target Number of PSUs earned based on actual [ ] Return on Invested Capital and (iv) the applicable percentage of the Target Number of PSUs earned based on actual Relative TSR Percentile, in each case, as set forth on the tables below: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Compound Annual Target - Adjusted Revenue Growth</w:t>
      </w:r>
      <w:r>
        <w:rPr>
          <w:rFonts w:ascii="Times New Roman" w:cs="Times New Roman" w:eastAsia="Times New Roman" w:hAnsi="Times New Roman"/>
          <w:sz w:val="22"/>
          <w:szCs w:val="22"/>
          <w:color w:val="auto"/>
        </w:rPr>
        <w:t>: [ ]%</w:t>
      </w:r>
    </w:p>
    <w:p>
      <w:pPr>
        <w:spacing w:after="0" w:line="366"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640" w:type="dxa"/>
            <w:vAlign w:val="bottom"/>
            <w:tcBorders>
              <w:top w:val="single" w:sz="8" w:color="auto"/>
              <w:left w:val="single" w:sz="8" w:color="auto"/>
              <w:right w:val="single" w:sz="8" w:color="auto"/>
            </w:tcBorders>
            <w:gridSpan w:val="2"/>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7"/>
              </w:rPr>
              <w:t>Actual Annual Adjusted</w:t>
            </w:r>
          </w:p>
        </w:tc>
        <w:tc>
          <w:tcPr>
            <w:tcW w:w="5620" w:type="dxa"/>
            <w:vAlign w:val="bottom"/>
            <w:tcBorders>
              <w:top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8"/>
              </w:rPr>
              <w:t>Percentage of [ ]% of</w:t>
            </w:r>
          </w:p>
        </w:tc>
      </w:tr>
      <w:tr>
        <w:trPr>
          <w:trHeight w:val="216"/>
        </w:trPr>
        <w:tc>
          <w:tcPr>
            <w:tcW w:w="5640" w:type="dxa"/>
            <w:vAlign w:val="bottom"/>
            <w:tcBorders>
              <w:left w:val="single" w:sz="8" w:color="auto"/>
              <w:right w:val="single" w:sz="8" w:color="auto"/>
            </w:tcBorders>
            <w:gridSpan w:val="2"/>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7"/>
              </w:rPr>
              <w:t>Revenue Growth</w:t>
            </w:r>
          </w:p>
        </w:tc>
        <w:tc>
          <w:tcPr>
            <w:tcW w:w="562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8"/>
              </w:rPr>
              <w:t>Target Number of PSUs Earned</w:t>
            </w:r>
          </w:p>
        </w:tc>
      </w:tr>
      <w:tr>
        <w:trPr>
          <w:trHeight w:val="283"/>
        </w:trPr>
        <w:tc>
          <w:tcPr>
            <w:tcW w:w="56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Performance Level</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(Adjusted Revenue Component)</w:t>
            </w:r>
          </w:p>
        </w:tc>
      </w:tr>
      <w:tr>
        <w:trPr>
          <w:trHeight w:val="263"/>
        </w:trPr>
        <w:tc>
          <w:tcPr>
            <w:tcW w:w="56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7"/>
              </w:rPr>
              <w:t>less than [ ]%</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0%</w:t>
            </w:r>
          </w:p>
        </w:tc>
      </w:tr>
      <w:tr>
        <w:trPr>
          <w:trHeight w:val="264"/>
        </w:trPr>
        <w:tc>
          <w:tcPr>
            <w:tcW w:w="4620" w:type="dxa"/>
            <w:vAlign w:val="bottom"/>
            <w:tcBorders>
              <w:left w:val="single" w:sz="8" w:color="auto"/>
              <w:bottom w:val="single" w:sz="8" w:color="auto"/>
            </w:tcBorders>
          </w:tcPr>
          <w:p>
            <w:pPr>
              <w:jc w:val="center"/>
              <w:ind w:left="932"/>
              <w:spacing w:after="0"/>
              <w:rPr>
                <w:sz w:val="20"/>
                <w:szCs w:val="20"/>
                <w:color w:val="auto"/>
              </w:rPr>
            </w:pPr>
            <w:r>
              <w:rPr>
                <w:rFonts w:ascii="Times New Roman" w:cs="Times New Roman" w:eastAsia="Times New Roman" w:hAnsi="Times New Roman"/>
                <w:sz w:val="22"/>
                <w:szCs w:val="22"/>
                <w:color w:val="auto"/>
                <w:w w:val="98"/>
              </w:rPr>
              <w:t>[ ]%</w:t>
            </w:r>
          </w:p>
        </w:tc>
        <w:tc>
          <w:tcPr>
            <w:tcW w:w="1020" w:type="dxa"/>
            <w:vAlign w:val="bottom"/>
            <w:tcBorders>
              <w:bottom w:val="single" w:sz="8" w:color="auto"/>
              <w:right w:val="single" w:sz="8" w:color="auto"/>
            </w:tcBorders>
          </w:tcPr>
          <w:p>
            <w:pPr>
              <w:spacing w:after="0"/>
              <w:rPr>
                <w:sz w:val="22"/>
                <w:szCs w:val="22"/>
                <w:color w:val="auto"/>
              </w:rPr>
            </w:pP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50%</w:t>
            </w:r>
          </w:p>
        </w:tc>
      </w:tr>
      <w:tr>
        <w:trPr>
          <w:trHeight w:val="263"/>
        </w:trPr>
        <w:tc>
          <w:tcPr>
            <w:tcW w:w="4620" w:type="dxa"/>
            <w:vAlign w:val="bottom"/>
            <w:tcBorders>
              <w:left w:val="single" w:sz="8" w:color="auto"/>
              <w:bottom w:val="single" w:sz="8" w:color="auto"/>
            </w:tcBorders>
          </w:tcPr>
          <w:p>
            <w:pPr>
              <w:jc w:val="center"/>
              <w:ind w:left="932"/>
              <w:spacing w:after="0"/>
              <w:rPr>
                <w:sz w:val="20"/>
                <w:szCs w:val="20"/>
                <w:color w:val="auto"/>
              </w:rPr>
            </w:pPr>
            <w:r>
              <w:rPr>
                <w:rFonts w:ascii="Times New Roman" w:cs="Times New Roman" w:eastAsia="Times New Roman" w:hAnsi="Times New Roman"/>
                <w:sz w:val="22"/>
                <w:szCs w:val="22"/>
                <w:color w:val="auto"/>
                <w:w w:val="98"/>
              </w:rPr>
              <w:t>[ ]%</w:t>
            </w:r>
          </w:p>
        </w:tc>
        <w:tc>
          <w:tcPr>
            <w:tcW w:w="1020" w:type="dxa"/>
            <w:vAlign w:val="bottom"/>
            <w:tcBorders>
              <w:bottom w:val="single" w:sz="8" w:color="auto"/>
              <w:right w:val="single" w:sz="8" w:color="auto"/>
            </w:tcBorders>
          </w:tcPr>
          <w:p>
            <w:pPr>
              <w:spacing w:after="0"/>
              <w:rPr>
                <w:sz w:val="22"/>
                <w:szCs w:val="22"/>
                <w:color w:val="auto"/>
              </w:rPr>
            </w:pP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100%</w:t>
            </w:r>
          </w:p>
        </w:tc>
      </w:tr>
      <w:tr>
        <w:trPr>
          <w:trHeight w:val="263"/>
        </w:trPr>
        <w:tc>
          <w:tcPr>
            <w:tcW w:w="56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7"/>
              </w:rPr>
              <w:t>[ ]% or greater</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200%</w:t>
            </w:r>
          </w:p>
        </w:tc>
      </w:tr>
      <w:tr>
        <w:trPr>
          <w:trHeight w:val="520"/>
        </w:trPr>
        <w:tc>
          <w:tcPr>
            <w:tcW w:w="56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Cumulative Target - Adjusted Earnings Per Share</w:t>
            </w:r>
            <w:r>
              <w:rPr>
                <w:rFonts w:ascii="Times New Roman" w:cs="Times New Roman" w:eastAsia="Times New Roman" w:hAnsi="Times New Roman"/>
                <w:sz w:val="22"/>
                <w:szCs w:val="22"/>
                <w:color w:val="auto"/>
              </w:rPr>
              <w:t>: $[ ]</w:t>
            </w:r>
          </w:p>
        </w:tc>
        <w:tc>
          <w:tcPr>
            <w:tcW w:w="5620" w:type="dxa"/>
            <w:vAlign w:val="bottom"/>
          </w:tcPr>
          <w:p>
            <w:pPr>
              <w:spacing w:after="0"/>
              <w:rPr>
                <w:sz w:val="24"/>
                <w:szCs w:val="24"/>
                <w:color w:val="auto"/>
              </w:rPr>
            </w:pPr>
          </w:p>
        </w:tc>
      </w:tr>
      <w:tr>
        <w:trPr>
          <w:trHeight w:val="20"/>
        </w:trPr>
        <w:tc>
          <w:tcPr>
            <w:tcW w:w="4620" w:type="dxa"/>
            <w:vAlign w:val="bottom"/>
            <w:tcBorders>
              <w:left w:val="single" w:sz="8" w:color="auto"/>
            </w:tcBorders>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r>
    </w:tbl>
    <w:p>
      <w:pPr>
        <w:spacing w:after="0" w:line="37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6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Actual Adjusted Earnings per Share</w:t>
            </w:r>
          </w:p>
        </w:tc>
        <w:tc>
          <w:tcPr>
            <w:tcW w:w="5620" w:type="dxa"/>
            <w:vAlign w:val="bottom"/>
            <w:tcBorders>
              <w:top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8"/>
              </w:rPr>
              <w:t>Percentage of [ ]% of</w:t>
            </w:r>
          </w:p>
        </w:tc>
        <w:tc>
          <w:tcPr>
            <w:tcW w:w="0" w:type="dxa"/>
            <w:vAlign w:val="bottom"/>
          </w:tcPr>
          <w:p>
            <w:pPr>
              <w:spacing w:after="0"/>
              <w:rPr>
                <w:sz w:val="1"/>
                <w:szCs w:val="1"/>
                <w:color w:val="auto"/>
              </w:rPr>
            </w:pPr>
          </w:p>
        </w:tc>
      </w:tr>
      <w:tr>
        <w:trPr>
          <w:trHeight w:val="216"/>
        </w:trPr>
        <w:tc>
          <w:tcPr>
            <w:tcW w:w="5640" w:type="dxa"/>
            <w:vAlign w:val="bottom"/>
            <w:tcBorders>
              <w:left w:val="single" w:sz="8" w:color="auto"/>
              <w:right w:val="single" w:sz="8" w:color="auto"/>
            </w:tcBorders>
            <w:vMerge w:val="continue"/>
          </w:tcPr>
          <w:p>
            <w:pPr>
              <w:spacing w:after="0"/>
              <w:rPr>
                <w:sz w:val="18"/>
                <w:szCs w:val="18"/>
                <w:color w:val="auto"/>
              </w:rPr>
            </w:pPr>
          </w:p>
        </w:tc>
        <w:tc>
          <w:tcPr>
            <w:tcW w:w="562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8"/>
              </w:rPr>
              <w:t>Target Number of PSUs Earned</w:t>
            </w:r>
          </w:p>
        </w:tc>
        <w:tc>
          <w:tcPr>
            <w:tcW w:w="0" w:type="dxa"/>
            <w:vAlign w:val="bottom"/>
          </w:tcPr>
          <w:p>
            <w:pPr>
              <w:spacing w:after="0"/>
              <w:rPr>
                <w:sz w:val="1"/>
                <w:szCs w:val="1"/>
                <w:color w:val="auto"/>
              </w:rPr>
            </w:pPr>
          </w:p>
        </w:tc>
      </w:tr>
      <w:tr>
        <w:trPr>
          <w:trHeight w:val="283"/>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Performance Level</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(Adjusted Earnings per Share Component),</w:t>
            </w:r>
          </w:p>
        </w:tc>
        <w:tc>
          <w:tcPr>
            <w:tcW w:w="0" w:type="dxa"/>
            <w:vAlign w:val="bottom"/>
          </w:tcPr>
          <w:p>
            <w:pPr>
              <w:spacing w:after="0"/>
              <w:rPr>
                <w:sz w:val="1"/>
                <w:szCs w:val="1"/>
                <w:color w:val="auto"/>
              </w:rPr>
            </w:pPr>
          </w:p>
        </w:tc>
      </w:tr>
      <w:tr>
        <w:trPr>
          <w:trHeight w:val="264"/>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less than $[ ]</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0%</w:t>
            </w:r>
          </w:p>
        </w:tc>
        <w:tc>
          <w:tcPr>
            <w:tcW w:w="0" w:type="dxa"/>
            <w:vAlign w:val="bottom"/>
          </w:tcPr>
          <w:p>
            <w:pPr>
              <w:spacing w:after="0"/>
              <w:rPr>
                <w:sz w:val="1"/>
                <w:szCs w:val="1"/>
                <w:color w:val="auto"/>
              </w:rPr>
            </w:pPr>
          </w:p>
        </w:tc>
      </w:tr>
      <w:tr>
        <w:trPr>
          <w:trHeight w:val="263"/>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 ]</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50%</w:t>
            </w:r>
          </w:p>
        </w:tc>
        <w:tc>
          <w:tcPr>
            <w:tcW w:w="0" w:type="dxa"/>
            <w:vAlign w:val="bottom"/>
          </w:tcPr>
          <w:p>
            <w:pPr>
              <w:spacing w:after="0"/>
              <w:rPr>
                <w:sz w:val="1"/>
                <w:szCs w:val="1"/>
                <w:color w:val="auto"/>
              </w:rPr>
            </w:pPr>
          </w:p>
        </w:tc>
      </w:tr>
      <w:tr>
        <w:trPr>
          <w:trHeight w:val="263"/>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 ]</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100%</w:t>
            </w:r>
          </w:p>
        </w:tc>
        <w:tc>
          <w:tcPr>
            <w:tcW w:w="0" w:type="dxa"/>
            <w:vAlign w:val="bottom"/>
          </w:tcPr>
          <w:p>
            <w:pPr>
              <w:spacing w:after="0"/>
              <w:rPr>
                <w:sz w:val="1"/>
                <w:szCs w:val="1"/>
                <w:color w:val="auto"/>
              </w:rPr>
            </w:pPr>
          </w:p>
        </w:tc>
      </w:tr>
      <w:tr>
        <w:trPr>
          <w:trHeight w:val="264"/>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 ] or greater</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200%</w:t>
            </w: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 ] Target – Return on Invested Capital</w:t>
      </w:r>
      <w:r>
        <w:rPr>
          <w:rFonts w:ascii="Times New Roman" w:cs="Times New Roman" w:eastAsia="Times New Roman" w:hAnsi="Times New Roman"/>
          <w:sz w:val="22"/>
          <w:szCs w:val="22"/>
          <w:color w:val="auto"/>
        </w:rPr>
        <w:t>: [ ]%</w:t>
      </w:r>
    </w:p>
    <w:p>
      <w:pPr>
        <w:sectPr>
          <w:pgSz w:w="11900" w:h="16838" w:orient="portrait"/>
          <w:cols w:equalWidth="0" w:num="1">
            <w:col w:w="11260"/>
          </w:cols>
          <w:pgMar w:left="320" w:top="104" w:right="319" w:bottom="1440" w:gutter="0" w:footer="0" w:header="0"/>
        </w:sectPr>
      </w:pPr>
    </w:p>
    <w:bookmarkStart w:id="166" w:name="page167"/>
    <w:bookmarkEnd w:id="166"/>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640" w:type="dxa"/>
            <w:vAlign w:val="bottom"/>
            <w:tcBorders>
              <w:top w:val="single" w:sz="8" w:color="auto"/>
              <w:left w:val="single" w:sz="8" w:color="auto"/>
              <w:right w:val="single" w:sz="8" w:color="auto"/>
            </w:tcBorders>
            <w:gridSpan w:val="2"/>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7"/>
              </w:rPr>
              <w:t>Actual ROIC During Last Fiscal Year of the Performance</w:t>
            </w:r>
          </w:p>
        </w:tc>
        <w:tc>
          <w:tcPr>
            <w:tcW w:w="5620" w:type="dxa"/>
            <w:vAlign w:val="bottom"/>
            <w:tcBorders>
              <w:top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8"/>
              </w:rPr>
              <w:t>Percentage of [ ]% of</w:t>
            </w:r>
          </w:p>
        </w:tc>
      </w:tr>
      <w:tr>
        <w:trPr>
          <w:trHeight w:val="216"/>
        </w:trPr>
        <w:tc>
          <w:tcPr>
            <w:tcW w:w="5640" w:type="dxa"/>
            <w:vAlign w:val="bottom"/>
            <w:tcBorders>
              <w:left w:val="single" w:sz="8" w:color="auto"/>
              <w:right w:val="single" w:sz="8" w:color="auto"/>
            </w:tcBorders>
            <w:gridSpan w:val="2"/>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6"/>
              </w:rPr>
              <w:t>Period</w:t>
            </w:r>
          </w:p>
        </w:tc>
        <w:tc>
          <w:tcPr>
            <w:tcW w:w="562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8"/>
              </w:rPr>
              <w:t>Target Number of PSUs Earned</w:t>
            </w:r>
          </w:p>
        </w:tc>
      </w:tr>
      <w:tr>
        <w:trPr>
          <w:trHeight w:val="283"/>
        </w:trPr>
        <w:tc>
          <w:tcPr>
            <w:tcW w:w="2940" w:type="dxa"/>
            <w:vAlign w:val="bottom"/>
            <w:tcBorders>
              <w:left w:val="single" w:sz="8" w:color="auto"/>
              <w:bottom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(ROIC Component)</w:t>
            </w:r>
          </w:p>
        </w:tc>
      </w:tr>
      <w:tr>
        <w:trPr>
          <w:trHeight w:val="264"/>
        </w:trPr>
        <w:tc>
          <w:tcPr>
            <w:tcW w:w="56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7"/>
              </w:rPr>
              <w:t>less than [ ]%</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0%</w:t>
            </w:r>
          </w:p>
        </w:tc>
      </w:tr>
      <w:tr>
        <w:trPr>
          <w:trHeight w:val="263"/>
        </w:trPr>
        <w:tc>
          <w:tcPr>
            <w:tcW w:w="56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8"/>
              </w:rPr>
              <w:t>[ ]%</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50%</w:t>
            </w:r>
          </w:p>
        </w:tc>
      </w:tr>
      <w:tr>
        <w:trPr>
          <w:trHeight w:val="263"/>
        </w:trPr>
        <w:tc>
          <w:tcPr>
            <w:tcW w:w="56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8"/>
              </w:rPr>
              <w:t>[ ]%</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100%</w:t>
            </w:r>
          </w:p>
        </w:tc>
      </w:tr>
      <w:tr>
        <w:trPr>
          <w:trHeight w:val="263"/>
        </w:trPr>
        <w:tc>
          <w:tcPr>
            <w:tcW w:w="56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7"/>
              </w:rPr>
              <w:t>[ ]% or greater</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200%</w:t>
            </w:r>
          </w:p>
        </w:tc>
      </w:tr>
      <w:tr>
        <w:trPr>
          <w:trHeight w:val="520"/>
        </w:trPr>
        <w:tc>
          <w:tcPr>
            <w:tcW w:w="56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 xml:space="preserve">Relative TSR Percentile Target: [ ] </w:t>
            </w:r>
            <w:r>
              <w:rPr>
                <w:rFonts w:ascii="Times New Roman" w:cs="Times New Roman" w:eastAsia="Times New Roman" w:hAnsi="Times New Roman"/>
                <w:sz w:val="22"/>
                <w:szCs w:val="22"/>
                <w:color w:val="auto"/>
              </w:rPr>
              <w:t>Percentile</w:t>
            </w:r>
          </w:p>
        </w:tc>
        <w:tc>
          <w:tcPr>
            <w:tcW w:w="5620" w:type="dxa"/>
            <w:vAlign w:val="bottom"/>
          </w:tcPr>
          <w:p>
            <w:pPr>
              <w:spacing w:after="0"/>
              <w:rPr>
                <w:sz w:val="24"/>
                <w:szCs w:val="24"/>
                <w:color w:val="auto"/>
              </w:rPr>
            </w:pPr>
          </w:p>
        </w:tc>
      </w:tr>
      <w:tr>
        <w:trPr>
          <w:trHeight w:val="277"/>
        </w:trPr>
        <w:tc>
          <w:tcPr>
            <w:tcW w:w="2940" w:type="dxa"/>
            <w:vAlign w:val="bottom"/>
            <w:tcBorders>
              <w:top w:val="single" w:sz="8" w:color="auto"/>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r>
        <w:trPr>
          <w:trHeight w:val="196"/>
        </w:trPr>
        <w:tc>
          <w:tcPr>
            <w:tcW w:w="5640" w:type="dxa"/>
            <w:vAlign w:val="bottom"/>
            <w:tcBorders>
              <w:left w:val="single" w:sz="8" w:color="auto"/>
              <w:right w:val="single" w:sz="8" w:color="auto"/>
            </w:tcBorders>
            <w:gridSpan w:val="2"/>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w w:val="97"/>
              </w:rPr>
              <w:t>Relative TSR Percentile</w:t>
            </w:r>
          </w:p>
        </w:tc>
        <w:tc>
          <w:tcPr>
            <w:tcW w:w="562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w w:val="97"/>
              </w:rPr>
              <w:t>Percentage of [ ]% of Target Number of PSUs Earned (TSR</w:t>
            </w:r>
          </w:p>
        </w:tc>
      </w:tr>
      <w:tr>
        <w:trPr>
          <w:trHeight w:val="283"/>
        </w:trPr>
        <w:tc>
          <w:tcPr>
            <w:tcW w:w="2940" w:type="dxa"/>
            <w:vAlign w:val="bottom"/>
            <w:tcBorders>
              <w:left w:val="single" w:sz="8" w:color="auto"/>
              <w:bottom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Component)</w:t>
            </w:r>
          </w:p>
        </w:tc>
      </w:tr>
      <w:tr>
        <w:trPr>
          <w:trHeight w:val="263"/>
        </w:trPr>
        <w:tc>
          <w:tcPr>
            <w:tcW w:w="56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7"/>
              </w:rPr>
              <w:t>less than [ ]th Percentile</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0%</w:t>
            </w:r>
          </w:p>
        </w:tc>
      </w:tr>
      <w:tr>
        <w:trPr>
          <w:trHeight w:val="263"/>
        </w:trPr>
        <w:tc>
          <w:tcPr>
            <w:tcW w:w="56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7"/>
              </w:rPr>
              <w:t>[ ]th Percentile</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50%</w:t>
            </w:r>
          </w:p>
        </w:tc>
      </w:tr>
      <w:tr>
        <w:trPr>
          <w:trHeight w:val="263"/>
        </w:trPr>
        <w:tc>
          <w:tcPr>
            <w:tcW w:w="56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7"/>
              </w:rPr>
              <w:t>[ ]th Percentile</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100%</w:t>
            </w:r>
          </w:p>
        </w:tc>
      </w:tr>
      <w:tr>
        <w:trPr>
          <w:trHeight w:val="263"/>
        </w:trPr>
        <w:tc>
          <w:tcPr>
            <w:tcW w:w="56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7"/>
              </w:rPr>
              <w:t>[ ]th Percentile or greater</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200%</w:t>
            </w:r>
          </w:p>
        </w:tc>
      </w:tr>
    </w:tbl>
    <w:p>
      <w:pPr>
        <w:spacing w:after="0" w:line="279" w:lineRule="exact"/>
        <w:rPr>
          <w:sz w:val="20"/>
          <w:szCs w:val="20"/>
          <w:color w:val="auto"/>
        </w:rPr>
      </w:pPr>
    </w:p>
    <w:p>
      <w:pPr>
        <w:ind w:right="40"/>
        <w:spacing w:after="0" w:line="221" w:lineRule="auto"/>
        <w:rPr>
          <w:sz w:val="20"/>
          <w:szCs w:val="20"/>
          <w:color w:val="auto"/>
        </w:rPr>
      </w:pP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u w:val="single" w:color="auto"/>
          <w:color w:val="auto"/>
        </w:rPr>
        <w:t>Adjusted Operating Income</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means operating income adjusted to eliminate: (a) the change in amortization of acquisition-related intangible assets; (b) the impact of the change in fair value related to certain gasoline and diesel agreements; (c) severance and other charges; (d) the effect of material acquisitions and divestitures; (e) merger and integration related charges related to material acquisitions; and (f) other items impacting comparability.</w:t>
      </w:r>
    </w:p>
    <w:p>
      <w:pPr>
        <w:spacing w:after="0" w:line="175" w:lineRule="exact"/>
        <w:rPr>
          <w:sz w:val="20"/>
          <w:szCs w:val="20"/>
          <w:color w:val="auto"/>
        </w:rPr>
      </w:pPr>
    </w:p>
    <w:p>
      <w:pPr>
        <w:ind w:right="60"/>
        <w:spacing w:after="0" w:line="228" w:lineRule="auto"/>
        <w:rPr>
          <w:sz w:val="20"/>
          <w:szCs w:val="20"/>
          <w:color w:val="auto"/>
        </w:rPr>
      </w:pPr>
      <w:r>
        <w:rPr>
          <w:rFonts w:ascii="Times New Roman" w:cs="Times New Roman" w:eastAsia="Times New Roman" w:hAnsi="Times New Roman"/>
          <w:sz w:val="21"/>
          <w:szCs w:val="21"/>
          <w:b w:val="1"/>
          <w:bCs w:val="1"/>
          <w:u w:val="single" w:color="auto"/>
          <w:color w:val="auto"/>
        </w:rPr>
        <w:t>“Adjusted Operating Income Growth”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means operating income growth adjusted to eliminate: (a) the change in amortization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acquisition-related intangible assets; (b) the impact of the change in fair value related to certain gasoline and diesel agreements;</w:t>
      </w:r>
    </w:p>
    <w:p>
      <w:pPr>
        <w:spacing w:after="0" w:line="1" w:lineRule="exact"/>
        <w:rPr>
          <w:sz w:val="20"/>
          <w:szCs w:val="20"/>
          <w:color w:val="auto"/>
        </w:rPr>
      </w:pPr>
    </w:p>
    <w:p>
      <w:pPr>
        <w:ind w:right="80" w:firstLine="8"/>
        <w:spacing w:after="0" w:line="225" w:lineRule="auto"/>
        <w:tabs>
          <w:tab w:leader="none" w:pos="294"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severance and other charges; (d) the effect of material acquisitions and divestitures; (e) merger and integration related charges related to material acquisitions; and (f) other items impacting comparability.</w:t>
      </w:r>
    </w:p>
    <w:p>
      <w:pPr>
        <w:spacing w:after="0" w:line="146" w:lineRule="exact"/>
        <w:rPr>
          <w:sz w:val="20"/>
          <w:szCs w:val="20"/>
          <w:color w:val="auto"/>
        </w:rPr>
      </w:pPr>
    </w:p>
    <w:p>
      <w:pPr>
        <w:ind w:right="540"/>
        <w:spacing w:after="0" w:line="238" w:lineRule="auto"/>
        <w:rPr>
          <w:sz w:val="20"/>
          <w:szCs w:val="20"/>
          <w:color w:val="auto"/>
        </w:rPr>
      </w:pPr>
      <w:r>
        <w:rPr>
          <w:rFonts w:ascii="Times New Roman" w:cs="Times New Roman" w:eastAsia="Times New Roman" w:hAnsi="Times New Roman"/>
          <w:sz w:val="22"/>
          <w:szCs w:val="22"/>
          <w:b w:val="1"/>
          <w:bCs w:val="1"/>
          <w:u w:val="single" w:color="auto"/>
          <w:color w:val="auto"/>
        </w:rPr>
        <w:t>“Adjusted Revenue”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revenue, adjusted to eliminate the impact of currency translation and material acquisitions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divestitures.</w:t>
      </w:r>
    </w:p>
    <w:p>
      <w:pPr>
        <w:spacing w:after="0" w:line="146" w:lineRule="exact"/>
        <w:rPr>
          <w:sz w:val="20"/>
          <w:szCs w:val="20"/>
          <w:color w:val="auto"/>
        </w:rPr>
      </w:pPr>
    </w:p>
    <w:p>
      <w:pPr>
        <w:ind w:right="560"/>
        <w:spacing w:after="0" w:line="238" w:lineRule="auto"/>
        <w:rPr>
          <w:sz w:val="20"/>
          <w:szCs w:val="20"/>
          <w:color w:val="auto"/>
        </w:rPr>
      </w:pPr>
      <w:r>
        <w:rPr>
          <w:rFonts w:ascii="Times New Roman" w:cs="Times New Roman" w:eastAsia="Times New Roman" w:hAnsi="Times New Roman"/>
          <w:sz w:val="22"/>
          <w:szCs w:val="22"/>
          <w:b w:val="1"/>
          <w:bCs w:val="1"/>
          <w:u w:val="single" w:color="auto"/>
          <w:color w:val="auto"/>
        </w:rPr>
        <w:t>“Adjusted Revenue Growth”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revenue growth, adjusted to eliminate the impact of currency translation and material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acquisitions and divestitures.</w:t>
      </w:r>
    </w:p>
    <w:p>
      <w:pPr>
        <w:spacing w:after="0" w:line="146" w:lineRule="exact"/>
        <w:rPr>
          <w:sz w:val="20"/>
          <w:szCs w:val="20"/>
          <w:color w:val="auto"/>
        </w:rPr>
      </w:pPr>
    </w:p>
    <w:p>
      <w:pPr>
        <w:ind w:right="180"/>
        <w:spacing w:after="0" w:line="238" w:lineRule="auto"/>
        <w:rPr>
          <w:sz w:val="20"/>
          <w:szCs w:val="20"/>
          <w:color w:val="auto"/>
        </w:rPr>
      </w:pPr>
      <w:r>
        <w:rPr>
          <w:rFonts w:ascii="Times New Roman" w:cs="Times New Roman" w:eastAsia="Times New Roman" w:hAnsi="Times New Roman"/>
          <w:sz w:val="22"/>
          <w:szCs w:val="22"/>
          <w:b w:val="1"/>
          <w:bCs w:val="1"/>
          <w:u w:val="single" w:color="auto"/>
          <w:color w:val="auto"/>
        </w:rPr>
        <w:t>“Adjusted Earnings per Share”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the quotient of (x) the cumulative Adjusted Net Income during the Performance Period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divided by</w:t>
      </w:r>
      <w:r>
        <w:rPr>
          <w:rFonts w:ascii="Times New Roman" w:cs="Times New Roman" w:eastAsia="Times New Roman" w:hAnsi="Times New Roman"/>
          <w:sz w:val="22"/>
          <w:szCs w:val="22"/>
          <w:color w:val="auto"/>
        </w:rPr>
        <w:t xml:space="preserve"> (y) Diluted Shares Outstanding.</w:t>
      </w:r>
    </w:p>
    <w:p>
      <w:pPr>
        <w:spacing w:after="0" w:line="146" w:lineRule="exact"/>
        <w:rPr>
          <w:sz w:val="20"/>
          <w:szCs w:val="20"/>
          <w:color w:val="auto"/>
        </w:rPr>
      </w:pPr>
    </w:p>
    <w:p>
      <w:pPr>
        <w:ind w:right="140"/>
        <w:spacing w:after="0" w:line="227" w:lineRule="auto"/>
        <w:rPr>
          <w:sz w:val="20"/>
          <w:szCs w:val="20"/>
          <w:color w:val="auto"/>
        </w:rPr>
      </w:pPr>
      <w:r>
        <w:rPr>
          <w:rFonts w:ascii="Times New Roman" w:cs="Times New Roman" w:eastAsia="Times New Roman" w:hAnsi="Times New Roman"/>
          <w:sz w:val="22"/>
          <w:szCs w:val="22"/>
          <w:b w:val="1"/>
          <w:bCs w:val="1"/>
          <w:u w:val="single" w:color="auto"/>
          <w:color w:val="auto"/>
        </w:rPr>
        <w:t>“Average Invested Capital”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the simple average of: (a) the total outstanding debt; plus (b) stockholders equity; minus (c)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net intangibles and goodwill resulting from the application of purchase accounting to the 2007 going-private transaction, as reported for the second and third fiscal year-ends of the Performance Period.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“Diluted Shares Outstanding”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 ] shares.</w:t>
      </w:r>
    </w:p>
    <w:p>
      <w:pPr>
        <w:spacing w:after="0" w:line="179" w:lineRule="exact"/>
        <w:rPr>
          <w:sz w:val="20"/>
          <w:szCs w:val="20"/>
          <w:color w:val="auto"/>
        </w:rPr>
      </w:pPr>
    </w:p>
    <w:p>
      <w:pPr>
        <w:ind w:right="180"/>
        <w:spacing w:after="0" w:line="221" w:lineRule="auto"/>
        <w:rPr>
          <w:sz w:val="20"/>
          <w:szCs w:val="20"/>
          <w:color w:val="auto"/>
        </w:rPr>
      </w:pPr>
      <w:r>
        <w:rPr>
          <w:rFonts w:ascii="Times New Roman" w:cs="Times New Roman" w:eastAsia="Times New Roman" w:hAnsi="Times New Roman"/>
          <w:sz w:val="22"/>
          <w:szCs w:val="22"/>
          <w:b w:val="1"/>
          <w:bCs w:val="1"/>
          <w:u w:val="single" w:color="auto"/>
          <w:color w:val="auto"/>
        </w:rPr>
        <w:t>“Adjusted Net Income”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net income excluding: (a) cumulative effect of a change in accounting principle, income or loss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disposed or discontinued operations and any gains or losses on disposed or discontinued operations, all as determined in accordance with United States GAAP; (b) any incremental amortization or depreciation resulting from the application of purchase accounting to the 2007 going-private transaction; (c) any significant severance or other</w:t>
      </w:r>
    </w:p>
    <w:p>
      <w:pPr>
        <w:sectPr>
          <w:pgSz w:w="11900" w:h="16838" w:orient="portrait"/>
          <w:cols w:equalWidth="0" w:num="1">
            <w:col w:w="11260"/>
          </w:cols>
          <w:pgMar w:left="320" w:top="1440" w:right="319" w:bottom="1440" w:gutter="0" w:footer="0" w:header="0"/>
        </w:sectPr>
      </w:pPr>
    </w:p>
    <w:bookmarkStart w:id="167" w:name="page168"/>
    <w:bookmarkEnd w:id="167"/>
    <w:p>
      <w:pPr>
        <w:ind w:right="60"/>
        <w:spacing w:after="0" w:line="212" w:lineRule="auto"/>
        <w:rPr>
          <w:sz w:val="20"/>
          <w:szCs w:val="20"/>
          <w:color w:val="auto"/>
        </w:rPr>
      </w:pPr>
      <w:r>
        <w:rPr>
          <w:rFonts w:ascii="Times New Roman" w:cs="Times New Roman" w:eastAsia="Times New Roman" w:hAnsi="Times New Roman"/>
          <w:sz w:val="22"/>
          <w:szCs w:val="22"/>
          <w:color w:val="auto"/>
        </w:rPr>
        <w:t>costs related to the Company’s major restructuring efforts; (d) any significant gains, losses or settlements that impact comparability between years; (e) any gain or loss from the early extinguishment of indebtedness including any hedging obligations or other derivative instrument and any changes in the fair value of gas and diesel fuel derivatives; (f) any share based compensation expense or reversal recorded in accordance with US GAAP; (g) the effects of changes in foreign currency translation rates from such rates used in the calculation of the initial adjusted net income target; (h) the impact of material acquisitions and divestitures that impact the comparability with the target; and (i) the tax impact of the above adjustments to adjusted net income which represents the tax provision or benefit associated with the adjusted income or expenses using the appropriate tax rate.</w:t>
      </w:r>
    </w:p>
    <w:p>
      <w:pPr>
        <w:spacing w:after="0" w:line="152"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21"/>
          <w:szCs w:val="21"/>
          <w:b w:val="1"/>
          <w:bCs w:val="1"/>
          <w:u w:val="single" w:color="auto"/>
          <w:color w:val="auto"/>
        </w:rPr>
        <w:t>“ROIC</w:t>
      </w:r>
      <w:r>
        <w:rPr>
          <w:rFonts w:ascii="Times New Roman" w:cs="Times New Roman" w:eastAsia="Times New Roman" w:hAnsi="Times New Roman"/>
          <w:sz w:val="21"/>
          <w:szCs w:val="21"/>
          <w:color w:val="auto"/>
        </w:rPr>
        <w:t>” means: (x) operating income for the fiscal year ending [ ] excluding (a) the cumulative effect of a change in accounting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principle, income or loss from disposed or discontinued operations and any gains or losses on disposed or discontinued operations, all as determined in accordance with United States GAAP; (b) any incremental amortization or depreciation resulting from the application of purchase accounting to the 2007 going-private transaction; (c) any severance or other costs related to the Company’s major restructuring efforts; (d) any significant gains, losses or settlements that impact comparability between years;</w:t>
      </w:r>
    </w:p>
    <w:p>
      <w:pPr>
        <w:spacing w:after="0" w:line="1" w:lineRule="exact"/>
        <w:rPr>
          <w:sz w:val="20"/>
          <w:szCs w:val="20"/>
          <w:color w:val="auto"/>
        </w:rPr>
      </w:pPr>
    </w:p>
    <w:p>
      <w:pPr>
        <w:ind w:firstLine="8"/>
        <w:spacing w:after="0" w:line="218" w:lineRule="auto"/>
        <w:tabs>
          <w:tab w:leader="none" w:pos="294"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changes in the fair value of gas and diesel fuel derivatives; (f) the effects of changes in foreign currency translation rates from such rates used in the calculation of the ROIC target; and (g) the impact of material acquisitions and divestitures that impact the comparability with the target; divided by (y) Average Invested Capital.</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Relative TSR Percentile</w:t>
      </w:r>
    </w:p>
    <w:p>
      <w:pPr>
        <w:spacing w:after="0" w:line="206" w:lineRule="exact"/>
        <w:rPr>
          <w:sz w:val="20"/>
          <w:szCs w:val="20"/>
          <w:color w:val="auto"/>
        </w:rPr>
      </w:pPr>
    </w:p>
    <w:p>
      <w:pPr>
        <w:ind w:right="460"/>
        <w:spacing w:after="0" w:line="238" w:lineRule="auto"/>
        <w:rPr>
          <w:sz w:val="20"/>
          <w:szCs w:val="20"/>
          <w:color w:val="auto"/>
        </w:rPr>
      </w:pPr>
      <w:r>
        <w:rPr>
          <w:rFonts w:ascii="Times New Roman" w:cs="Times New Roman" w:eastAsia="Times New Roman" w:hAnsi="Times New Roman"/>
          <w:sz w:val="22"/>
          <w:szCs w:val="22"/>
          <w:b w:val="1"/>
          <w:bCs w:val="1"/>
          <w:u w:val="single" w:color="auto"/>
          <w:color w:val="auto"/>
        </w:rPr>
        <w:t>TSR Measurement Period</w:t>
      </w:r>
      <w:r>
        <w:rPr>
          <w:rFonts w:ascii="Times New Roman" w:cs="Times New Roman" w:eastAsia="Times New Roman" w:hAnsi="Times New Roman"/>
          <w:sz w:val="22"/>
          <w:szCs w:val="22"/>
          <w:color w:val="auto"/>
        </w:rPr>
        <w:t>: The period commencing on [ ] and ending on the earlier of (i) [ ] and (ii) the date upon which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Change of Control occurs.</w:t>
      </w:r>
    </w:p>
    <w:p>
      <w:pPr>
        <w:spacing w:after="0" w:line="173" w:lineRule="exact"/>
        <w:rPr>
          <w:sz w:val="20"/>
          <w:szCs w:val="20"/>
          <w:color w:val="auto"/>
        </w:rPr>
      </w:pPr>
    </w:p>
    <w:p>
      <w:pPr>
        <w:ind w:right="80"/>
        <w:spacing w:after="0" w:line="227" w:lineRule="auto"/>
        <w:rPr>
          <w:sz w:val="20"/>
          <w:szCs w:val="20"/>
          <w:color w:val="auto"/>
        </w:rPr>
      </w:pPr>
      <w:r>
        <w:rPr>
          <w:rFonts w:ascii="Times New Roman" w:cs="Times New Roman" w:eastAsia="Times New Roman" w:hAnsi="Times New Roman"/>
          <w:sz w:val="22"/>
          <w:szCs w:val="22"/>
          <w:b w:val="1"/>
          <w:bCs w:val="1"/>
          <w:u w:val="single" w:color="auto"/>
          <w:color w:val="auto"/>
        </w:rPr>
        <w:t>Relative TSR Percentile</w:t>
      </w:r>
      <w:r>
        <w:rPr>
          <w:rFonts w:ascii="Times New Roman" w:cs="Times New Roman" w:eastAsia="Times New Roman" w:hAnsi="Times New Roman"/>
          <w:sz w:val="22"/>
          <w:szCs w:val="22"/>
          <w:color w:val="auto"/>
        </w:rPr>
        <w:t>: The Relative TSR Percentile shall be the Company’s Total Shareholder Return (as calculated below)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during the TSR Measurement Period, ranked as a percentile as compared to the Total Shareholder Return of the other companies within the Peer Group.</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Total Shareholder Return</w:t>
      </w:r>
      <w:r>
        <w:rPr>
          <w:rFonts w:ascii="Times New Roman" w:cs="Times New Roman" w:eastAsia="Times New Roman" w:hAnsi="Times New Roman"/>
          <w:sz w:val="22"/>
          <w:szCs w:val="22"/>
          <w:color w:val="auto"/>
        </w:rPr>
        <w:t>” means, with respect to any company, an amount (expressed as a percentage return) equal to:</w:t>
      </w:r>
    </w:p>
    <w:p>
      <w:pPr>
        <w:spacing w:after="0" w:line="206" w:lineRule="exact"/>
        <w:rPr>
          <w:sz w:val="20"/>
          <w:szCs w:val="20"/>
          <w:color w:val="auto"/>
        </w:rPr>
      </w:pPr>
    </w:p>
    <w:p>
      <w:pPr>
        <w:ind w:left="660" w:right="180" w:hanging="4"/>
        <w:spacing w:after="0" w:line="221" w:lineRule="auto"/>
        <w:tabs>
          <w:tab w:leader="none" w:pos="918"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sum of (x) the Ending Stock Price minus the Beginning Stock Price, </w:t>
      </w:r>
      <w:r>
        <w:rPr>
          <w:rFonts w:ascii="Times New Roman" w:cs="Times New Roman" w:eastAsia="Times New Roman" w:hAnsi="Times New Roman"/>
          <w:sz w:val="22"/>
          <w:szCs w:val="22"/>
          <w:i w:val="1"/>
          <w:iCs w:val="1"/>
          <w:u w:val="single" w:color="auto"/>
          <w:color w:val="auto"/>
        </w:rPr>
        <w:t>plus</w:t>
      </w:r>
      <w:r>
        <w:rPr>
          <w:rFonts w:ascii="Times New Roman" w:cs="Times New Roman" w:eastAsia="Times New Roman" w:hAnsi="Times New Roman"/>
          <w:sz w:val="22"/>
          <w:szCs w:val="22"/>
          <w:color w:val="auto"/>
        </w:rPr>
        <w:t xml:space="preserve"> (y) the amount of any dividends and distributions paid on a per share basis (calculated as if such dividends had been reinvested in the applicable company’s common stock on the applicable dividend date) cumulatively over the performance period, </w:t>
      </w:r>
      <w:r>
        <w:rPr>
          <w:rFonts w:ascii="Times New Roman" w:cs="Times New Roman" w:eastAsia="Times New Roman" w:hAnsi="Times New Roman"/>
          <w:sz w:val="22"/>
          <w:szCs w:val="22"/>
          <w:i w:val="1"/>
          <w:iCs w:val="1"/>
          <w:u w:val="single" w:color="auto"/>
          <w:color w:val="auto"/>
        </w:rPr>
        <w:t>divided by</w:t>
      </w:r>
      <w:r>
        <w:rPr>
          <w:rFonts w:ascii="Times New Roman" w:cs="Times New Roman" w:eastAsia="Times New Roman" w:hAnsi="Times New Roman"/>
          <w:sz w:val="22"/>
          <w:szCs w:val="22"/>
          <w:color w:val="auto"/>
        </w:rPr>
        <w:t xml:space="preserve"> (ii) the Beginning Stock Price.</w:t>
      </w:r>
    </w:p>
    <w:p>
      <w:pPr>
        <w:spacing w:after="0" w:line="175" w:lineRule="exact"/>
        <w:rPr>
          <w:sz w:val="20"/>
          <w:szCs w:val="20"/>
          <w:color w:val="auto"/>
        </w:rPr>
      </w:pPr>
    </w:p>
    <w:p>
      <w:pPr>
        <w:ind w:right="500"/>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Beginning Stock Price</w:t>
      </w:r>
      <w:r>
        <w:rPr>
          <w:rFonts w:ascii="Times New Roman" w:cs="Times New Roman" w:eastAsia="Times New Roman" w:hAnsi="Times New Roman"/>
          <w:sz w:val="22"/>
          <w:szCs w:val="22"/>
          <w:color w:val="auto"/>
        </w:rPr>
        <w:t>” means, with respect to any company, the average closing price per share of common stock for the twenty (20) trading days immediately prior to the first trading day of the TSR Measurement Period.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Ending Stock Price</w:t>
      </w:r>
      <w:r>
        <w:rPr>
          <w:rFonts w:ascii="Times New Roman" w:cs="Times New Roman" w:eastAsia="Times New Roman" w:hAnsi="Times New Roman"/>
          <w:sz w:val="21"/>
          <w:szCs w:val="21"/>
          <w:color w:val="auto"/>
        </w:rPr>
        <w:t>” means, with respect to any company, the average closing price per share of common stock for the twenty</w:t>
      </w:r>
    </w:p>
    <w:p>
      <w:pPr>
        <w:spacing w:after="0" w:line="3" w:lineRule="exact"/>
        <w:rPr>
          <w:sz w:val="20"/>
          <w:szCs w:val="20"/>
          <w:color w:val="auto"/>
        </w:rPr>
      </w:pPr>
    </w:p>
    <w:p>
      <w:pPr>
        <w:ind w:right="3940" w:firstLine="8"/>
        <w:spacing w:after="0" w:line="424" w:lineRule="auto"/>
        <w:tabs>
          <w:tab w:leader="none" w:pos="414"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trading days immediately prior to the last day of the TSR Measurement Period. “</w:t>
      </w:r>
      <w:r>
        <w:rPr>
          <w:rFonts w:ascii="Times New Roman" w:cs="Times New Roman" w:eastAsia="Times New Roman" w:hAnsi="Times New Roman"/>
          <w:sz w:val="22"/>
          <w:szCs w:val="22"/>
          <w:b w:val="1"/>
          <w:bCs w:val="1"/>
          <w:u w:val="single" w:color="auto"/>
          <w:color w:val="auto"/>
        </w:rPr>
        <w:t>Peer Group</w:t>
      </w:r>
      <w:r>
        <w:rPr>
          <w:rFonts w:ascii="Times New Roman" w:cs="Times New Roman" w:eastAsia="Times New Roman" w:hAnsi="Times New Roman"/>
          <w:sz w:val="22"/>
          <w:szCs w:val="22"/>
          <w:color w:val="auto"/>
        </w:rPr>
        <w:t>” means the following companies:</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ectPr>
          <w:pgSz w:w="11900" w:h="16838" w:orient="portrait"/>
          <w:cols w:equalWidth="0" w:num="1">
            <w:col w:w="11200"/>
          </w:cols>
          <w:pgMar w:left="320" w:top="1395" w:right="379" w:bottom="1440" w:gutter="0" w:footer="0" w:header="0"/>
        </w:sectPr>
      </w:pPr>
    </w:p>
    <w:bookmarkStart w:id="168" w:name="page169"/>
    <w:bookmarkEnd w:id="168"/>
    <w:p>
      <w:pPr>
        <w:spacing w:after="0" w:line="217" w:lineRule="auto"/>
        <w:rPr>
          <w:sz w:val="20"/>
          <w:szCs w:val="20"/>
          <w:color w:val="auto"/>
        </w:rPr>
      </w:pPr>
      <w:r>
        <w:rPr>
          <w:rFonts w:ascii="Times New Roman" w:cs="Times New Roman" w:eastAsia="Times New Roman" w:hAnsi="Times New Roman"/>
          <w:sz w:val="22"/>
          <w:szCs w:val="22"/>
          <w:color w:val="auto"/>
        </w:rPr>
        <w:t>Any company in the Peer Group that ceases to be publicly held during the TSR Measurement Period (i) due to bankruptcy, liquidation or reorganization, shall remain in the Peer Group for purposes of calculation of the Relative TSR Percentile (with such company deemed to have a Total Shareholder Return of -100% and ranked at the bottom of the Peer Group) or (ii) due to a merger, sale, acquisition, business combination or other similar event, shall be excluded from the Peer Group for purposes of calculation of the Relative TSR Percentile.</w:t>
      </w:r>
    </w:p>
    <w:p>
      <w:pPr>
        <w:sectPr>
          <w:pgSz w:w="11900" w:h="16838" w:orient="portrait"/>
          <w:cols w:equalWidth="0" w:num="1">
            <w:col w:w="11060"/>
          </w:cols>
          <w:pgMar w:left="320" w:top="1395" w:right="51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 Formation</w:t>
            </w:r>
          </w:p>
        </w:tc>
      </w:tr>
      <w:tr>
        <w:trPr>
          <w:trHeight w:val="218"/>
        </w:trPr>
        <w:tc>
          <w:tcPr>
            <w:tcW w:w="7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240" w:type="dxa"/>
            <w:vAlign w:val="bottom"/>
          </w:tcPr>
          <w:p>
            <w:pPr>
              <w:spacing w:after="0"/>
              <w:rPr>
                <w:sz w:val="18"/>
                <w:szCs w:val="18"/>
                <w:color w:val="auto"/>
              </w:rPr>
            </w:pPr>
          </w:p>
        </w:tc>
        <w:tc>
          <w:tcPr>
            <w:tcW w:w="2960" w:type="dxa"/>
            <w:vAlign w:val="bottom"/>
            <w:tcBorders>
              <w:top w:val="single" w:sz="8" w:color="auto"/>
            </w:tcBorders>
          </w:tcPr>
          <w:p>
            <w:pPr>
              <w:spacing w:after="0"/>
              <w:rPr>
                <w:sz w:val="18"/>
                <w:szCs w:val="18"/>
                <w:color w:val="auto"/>
              </w:rPr>
            </w:pP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Intermediate HoldCo Corporation</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Services, Inc.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1st &amp; Fresh,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Active Industrial Uniform Co.,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American Snack &amp; Beverage,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Florida</w:t>
            </w: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AmeriPride Services,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American Food Services,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Asia Management,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Aviation Services Limited Partnership</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Business &amp; Industry,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Business Center,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Business Dining Services of Texas,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Business Facilities,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Campus,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Cleanroom Services (Puerto Rico), Inc.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Concession Services Joint Venture</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Confection,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Construction and Energy Services,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3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Alt. Name: Aramark Asset Solutions</w:t>
            </w:r>
          </w:p>
        </w:tc>
        <w:tc>
          <w:tcPr>
            <w:tcW w:w="2960" w:type="dxa"/>
            <w:vAlign w:val="bottom"/>
          </w:tcPr>
          <w:p>
            <w:pPr>
              <w:spacing w:after="0"/>
              <w:rPr>
                <w:sz w:val="19"/>
                <w:szCs w:val="19"/>
                <w:color w:val="auto"/>
              </w:rPr>
            </w:pP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Construction Services, Inc.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Consumer Discount Company</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Pennsylvania</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Correctional Services,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Educational Group,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Educational Services of Texas,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Educational Services,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Entertainment,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Facility Services,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FHC Business Services,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FHC Correctional Services,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FHC Healthcare Support Services,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FHC Kansas, Inc.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Kansas</w:t>
            </w: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FHC Refreshment Services,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FHC School Support Services,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FHC Services,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FHC Sports and Entertainment Services,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FHC,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Food and Support Services Group, Inc.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Food Service of Texas,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Food Service,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FSM,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Aramark Global, Inc.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40"/>
          </w:cols>
          <w:pgMar w:left="320" w:top="117"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7"/>
          <w:szCs w:val="17"/>
          <w:b w:val="1"/>
          <w:bCs w:val="1"/>
          <w:color w:val="auto"/>
        </w:rPr>
        <w:t>Exhibit 21.1</w:t>
      </w:r>
    </w:p>
    <w:p>
      <w:pPr>
        <w:sectPr>
          <w:pgSz w:w="11900" w:h="16838" w:orient="portrait"/>
          <w:cols w:equalWidth="0" w:num="1">
            <w:col w:w="11220"/>
          </w:cols>
          <w:pgMar w:left="34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Healthcare Support Services,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Industrial Services,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Japan,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Lakewood Associates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Management Services Limited Partnership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Management,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Mexico Group,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Organizational Services,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Personnel Services,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Processing,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Rail Services,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RBI,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Receivables,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Refreshment Group,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Refreshment Services of Tampa,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Refreshment Services,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S&amp;E/QCF Joint Venture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Schools Facilities,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Schools,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SCM,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Senior Living Services,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Services of Kansas,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Services of Puerto Rico,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SMMS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SMMS Real Estate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Sports and Entertainment Group,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Aramark Sports and Entertainment Services of Texas, LLC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Sports and Entertainment Services,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Sports Facilities,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Sports,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Technical Services North Carolina,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Technical Services of New York,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Togwotee,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Trademark Services,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U.S. Offshore Services,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Uniform &amp; Career Apparel Group,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Uniform &amp; Career Apparel,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Kansas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North Carolina</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ectPr>
          <w:pgSz w:w="11900" w:h="16838" w:orient="portrait"/>
          <w:cols w:equalWidth="0" w:num="2">
            <w:col w:w="6600" w:space="720"/>
            <w:col w:w="3900"/>
          </w:cols>
          <w:pgMar w:left="340" w:top="117" w:right="339"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7"/>
          <w:szCs w:val="17"/>
          <w:color w:val="auto"/>
        </w:rPr>
        <w:t>Alt. Name: Aramark Uniform Services; Wearguard-Crest</w:t>
      </w:r>
    </w:p>
    <w:p>
      <w:pPr>
        <w:sectPr>
          <w:pgSz w:w="11900" w:h="16838" w:orient="portrait"/>
          <w:cols w:equalWidth="0" w:num="1">
            <w:col w:w="11220"/>
          </w:cols>
          <w:pgMar w:left="340" w:top="117" w:right="3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Uniform Manufacturing Company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Uniform Services (Matchpoint)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Uniform Services (Rochester)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Aramark Uniform Services (Supply Chain), LLC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Uniform Services (Syracuse) LLC</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ectPr>
          <w:pgSz w:w="11900" w:h="16838" w:orient="portrait"/>
          <w:cols w:equalWidth="0" w:num="2">
            <w:col w:w="6600" w:space="720"/>
            <w:col w:w="3900"/>
          </w:cols>
          <w:pgMar w:left="340" w:top="117" w:right="339" w:bottom="1440" w:gutter="0" w:footer="0" w:header="0"/>
          <w:type w:val="continuous"/>
        </w:sectPr>
      </w:pPr>
    </w:p>
    <w:bookmarkStart w:id="171" w:name="page172"/>
    <w:bookmarkEnd w:id="171"/>
    <w:p>
      <w:pPr>
        <w:jc w:val="right"/>
        <w:spacing w:after="0"/>
        <w:rPr>
          <w:sz w:val="20"/>
          <w:szCs w:val="20"/>
          <w:color w:val="auto"/>
        </w:rPr>
      </w:pPr>
      <w:r>
        <w:rPr>
          <w:rFonts w:ascii="Times New Roman" w:cs="Times New Roman" w:eastAsia="Times New Roman" w:hAnsi="Times New Roman"/>
          <w:sz w:val="17"/>
          <w:szCs w:val="17"/>
          <w:b w:val="1"/>
          <w:bCs w:val="1"/>
          <w:color w:val="auto"/>
        </w:rPr>
        <w:t>Exhibit 21.1</w:t>
      </w:r>
    </w:p>
    <w:p>
      <w:pPr>
        <w:sectPr>
          <w:pgSz w:w="11900" w:h="16838" w:orient="portrait"/>
          <w:cols w:equalWidth="0" w:num="1">
            <w:col w:w="11220"/>
          </w:cols>
          <w:pgMar w:left="34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Uniform Services (Texas)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Uniform Services (West Adams)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Venue Services,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WTC,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Aramark/Giacometti Joint Venture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Aramark/Globetrotters,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Aramark/GM Concessions Joint Venture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Aramark/Gourmet HE-1,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Aramark/Hart Lyman Entertainment,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Aramark/HF Company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Aramark/HMS,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Aramark/Martin's Stadium Concession Services OPACY Joint Venture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Aramark/QHC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Aramark/SFS Joint Venture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Aramark-Chugach Alaska Services,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Aramark-Clarksville Club,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Aramark-FINCO of Texas,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Aramark-Gourmet DPS,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Aramark-KWAME of St. Louis,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Aramark-SFS Healthcare JV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Avendra Gaming,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Avendra Replenishment,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Avendra,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Brand Coffee Service,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BuyEfficient,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Canyonlands Rafting Hospitality,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Cliff House Hospitality,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Coffee Systems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Crater Lake Hospitality,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D.G. Maren II,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Delicious on West Street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Delsac VIII,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Doyon/Aramark Denali National Park Concession Joint Venture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EverSafe Services,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Filterfresh Coffee Service,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Filterfresh Franchise Group,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Fine Host Holdings,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Freedom Ferry Services,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Glacier Bay National Park and Preserve Concessions,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Glen Canyon Rafting Hospitality,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 Uncle Services,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Gourmet Aramark Services,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Guaranty Energy Group 1981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Oregon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Pennsylvania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North Carolina</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Pennsylvania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Maryland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Arkansas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Michigan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Alaska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Alaska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Montana</w:t>
      </w:r>
    </w:p>
    <w:p>
      <w:pPr>
        <w:sectPr>
          <w:pgSz w:w="11900" w:h="16838" w:orient="portrait"/>
          <w:cols w:equalWidth="0" w:num="2">
            <w:col w:w="6600" w:space="720"/>
            <w:col w:w="3900"/>
          </w:cols>
          <w:pgMar w:left="340" w:top="117" w:right="339" w:bottom="1440" w:gutter="0" w:footer="0" w:header="0"/>
          <w:type w:val="continuous"/>
        </w:sectPr>
      </w:pPr>
    </w:p>
    <w:bookmarkStart w:id="172" w:name="page173"/>
    <w:bookmarkEnd w:id="172"/>
    <w:p>
      <w:pPr>
        <w:jc w:val="right"/>
        <w:spacing w:after="0"/>
        <w:rPr>
          <w:sz w:val="20"/>
          <w:szCs w:val="20"/>
          <w:color w:val="auto"/>
        </w:rPr>
      </w:pPr>
      <w:r>
        <w:rPr>
          <w:rFonts w:ascii="Times New Roman" w:cs="Times New Roman" w:eastAsia="Times New Roman" w:hAnsi="Times New Roman"/>
          <w:sz w:val="17"/>
          <w:szCs w:val="17"/>
          <w:b w:val="1"/>
          <w:bCs w:val="1"/>
          <w:color w:val="auto"/>
        </w:rPr>
        <w:t>Exhibit 21.1</w:t>
      </w:r>
    </w:p>
    <w:p>
      <w:pPr>
        <w:sectPr>
          <w:pgSz w:w="11900" w:h="16838" w:orient="portrait"/>
          <w:cols w:equalWidth="0" w:num="1">
            <w:col w:w="11220"/>
          </w:cols>
          <w:pgMar w:left="34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Harry M. Stevens, Inc. of New Jersey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Harry M. Stevens, Inc. of Penn.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Harry M. Stevens,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HPSI Purchasing Services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Institutional Processing Services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L&amp;N Uniform Supply,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Lake Tahoe Cruises,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Landy Textile Rental Services,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Lifeworks Restaurant Group,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MyAssistant,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Mall Hospitality,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Next Level Hospitality Services,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NLAL Hospitality,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NLPA Hospitality,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NLNC Hospitality,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NLSD Hospitality,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Next Level PEO,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 Rim Hospitality,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Old Time Coffee Co.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Olympic Peninsula Hospitality,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Overall Laundry Services,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Paradise Hornblower,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Philadelphia Ballpark Concession Joint Venture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Restaura,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 Office Service,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Tarrant County Concessions,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Aramark Foundation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Travel Systems,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Wilderness River Adventures,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Union Supply Commissary Solutions,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Union Supply Group,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Yellowstone Gift &amp; Grocery,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Yosemite Hospitality,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Jersey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Pennsylvania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Pennsylvania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Pennsylvania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Michigan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Pennsylvania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Nevada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00" w:lineRule="exact"/>
        <w:rPr>
          <w:sz w:val="20"/>
          <w:szCs w:val="20"/>
          <w:color w:val="auto"/>
        </w:rPr>
      </w:pPr>
    </w:p>
    <w:p>
      <w:pPr>
        <w:sectPr>
          <w:pgSz w:w="11900" w:h="16838" w:orient="portrait"/>
          <w:cols w:equalWidth="0" w:num="2">
            <w:col w:w="6600" w:space="720"/>
            <w:col w:w="3900"/>
          </w:cols>
          <w:pgMar w:left="340" w:top="117" w:right="339" w:bottom="1440" w:gutter="0" w:footer="0" w:header="0"/>
          <w:type w:val="continuous"/>
        </w:sectPr>
      </w:pP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AIM Services Co.,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(BVI)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B.V.</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Canada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CCT Trustees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Aramark China Dining Services (Shanghai) Limited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China Holdings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Cleaning S.A.</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British Virgin Islands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Belgium</w:t>
      </w:r>
    </w:p>
    <w:p>
      <w:pPr>
        <w:sectPr>
          <w:pgSz w:w="11900" w:h="16838" w:orient="portrait"/>
          <w:cols w:equalWidth="0" w:num="2">
            <w:col w:w="6600" w:space="720"/>
            <w:col w:w="3900"/>
          </w:cols>
          <w:pgMar w:left="340" w:top="117" w:right="339" w:bottom="1440" w:gutter="0" w:footer="0" w:header="0"/>
          <w:type w:val="continuous"/>
        </w:sectPr>
      </w:pPr>
    </w:p>
    <w:bookmarkStart w:id="173" w:name="page174"/>
    <w:bookmarkEnd w:id="173"/>
    <w:p>
      <w:pPr>
        <w:jc w:val="right"/>
        <w:spacing w:after="0"/>
        <w:rPr>
          <w:sz w:val="20"/>
          <w:szCs w:val="20"/>
          <w:color w:val="auto"/>
        </w:rPr>
      </w:pPr>
      <w:r>
        <w:rPr>
          <w:rFonts w:ascii="Times New Roman" w:cs="Times New Roman" w:eastAsia="Times New Roman" w:hAnsi="Times New Roman"/>
          <w:sz w:val="17"/>
          <w:szCs w:val="17"/>
          <w:b w:val="1"/>
          <w:bCs w:val="1"/>
          <w:color w:val="auto"/>
        </w:rPr>
        <w:t>Exhibit 21.1</w:t>
      </w:r>
    </w:p>
    <w:p>
      <w:pPr>
        <w:sectPr>
          <w:pgSz w:w="11900" w:h="16838" w:orient="portrait"/>
          <w:cols w:equalWidth="0" w:num="1">
            <w:col w:w="11220"/>
          </w:cols>
          <w:pgMar w:left="34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Co.,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Defence Services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Denmark ApS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Entertainment Services (Canada)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Global Group S.a.r.l.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GmbH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Gulf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Gulf Limited Catering Services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Holding Deutschland GmBH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International Finance S.a.r.l.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International Holdings S.a.r.l.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Inversiones Latinoamericanas Limitada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Investments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Ireland Holdings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Japan Holdings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Kazakhstan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KSA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Mexico, S.A. de C.V.</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Aramark Monclova Manufacturing de Mexico, S.A. de C.V.</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Monclova Support, S.A. de C.V.</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Norway SA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Offshore Mexico S. de R.L. de C.V.</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Offshore Netherlands B.V.</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Property Services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Quebec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Regional Treasury Europe, DAC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Remote Workplace Services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Restaurations GmbH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S.A. de C.V.</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S.A.R.L.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School Catering Facility,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Service Industries (China) Co.,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Services SA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Servicios de Catering, S.L.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Services, S.R.O.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Servicios Industriales, S. de R.L. de C.V.</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Servicios Integrales, S.A.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Servicios Mineros y Remotos Limitada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Servicios SRL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Servicos Alimenticios e Participacoes Ltda.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Trustees Limited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Korea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Denmark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Qatar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Kazakhstan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Saudi Arabia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Norway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Denmark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Belgium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Czech Republic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Belgium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Czech Republic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Argentina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ectPr>
          <w:pgSz w:w="11900" w:h="16838" w:orient="portrait"/>
          <w:cols w:equalWidth="0" w:num="2">
            <w:col w:w="6600" w:space="720"/>
            <w:col w:w="3900"/>
          </w:cols>
          <w:pgMar w:left="340" w:top="117" w:right="339" w:bottom="1440" w:gutter="0" w:footer="0" w:header="0"/>
          <w:type w:val="continuous"/>
        </w:sectPr>
      </w:pPr>
    </w:p>
    <w:bookmarkStart w:id="174" w:name="page175"/>
    <w:bookmarkEnd w:id="174"/>
    <w:p>
      <w:pPr>
        <w:jc w:val="right"/>
        <w:spacing w:after="0"/>
        <w:rPr>
          <w:sz w:val="20"/>
          <w:szCs w:val="20"/>
          <w:color w:val="auto"/>
        </w:rPr>
      </w:pPr>
      <w:r>
        <w:rPr>
          <w:rFonts w:ascii="Times New Roman" w:cs="Times New Roman" w:eastAsia="Times New Roman" w:hAnsi="Times New Roman"/>
          <w:sz w:val="17"/>
          <w:szCs w:val="17"/>
          <w:b w:val="1"/>
          <w:bCs w:val="1"/>
          <w:color w:val="auto"/>
        </w:rPr>
        <w:t>Exhibit 21.1</w:t>
      </w:r>
    </w:p>
    <w:p>
      <w:pPr>
        <w:sectPr>
          <w:pgSz w:w="11900" w:h="16838" w:orient="portrait"/>
          <w:cols w:equalWidth="0" w:num="1">
            <w:col w:w="11220"/>
          </w:cols>
          <w:pgMar w:left="34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Uniform Holding de Mexico, S.A. de C.V.</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Uniform Services Japan Corporation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Workplace Solutions (UK)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 S.R.O.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Aramark/Dasko Restaurant and Catering Services S.A.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ARAMONT Company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Avendra Canada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Avoca Handweavers Designs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Avoca Handweavers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Avoca Handweavers NI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Avoca Handweavers Shops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Avoca Handweavers UK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Golden Collar Dining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Campbell Catering (N.I.)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Campbell Catering Holdings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Campbell Catering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Campbell Catering Services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Canadian Linen and Uniform Service Corp.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CDR Mantenimiento Integral S.A.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Central de Abastecimiento Limitada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Central de Restaurantes Aramark Limitada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Central de Restaurantes Aramark Multiservicios Limitada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Central de Restaurantes S.R.L.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Central Multiservicios S.R.L.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Centrapal S.R.L.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Centro de Innovacion y Servicio S.A.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Comertel Educa SLU</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Comertel Residencias SLU</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Comertel SA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Complete Purchasing Services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Distributor JV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Dongguan Best Property Management Co.,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Expert Cost Control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Food JV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GA-BE-SHI-WIN GP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GA-BE-SHI-WIN Limited Partnership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Gestion de Alimentacion y Limpieza Colectividades SLU</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Glenrye Properties Services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GTB Gastro Team Bremen GmBH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Instituto ICS S.A.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Inversiones Aramark Chile Limitada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Inversiones Centralcorp Limitada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Inversiones en Aseo y Mantenimiento S.A.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Czech Republic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Greece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Bermuda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Northern 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Northern 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Argentina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Argentina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Argentina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British Virgin Islands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British Virgin Islands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Chile</w:t>
      </w:r>
    </w:p>
    <w:p>
      <w:pPr>
        <w:sectPr>
          <w:pgSz w:w="11900" w:h="16838" w:orient="portrait"/>
          <w:cols w:equalWidth="0" w:num="2">
            <w:col w:w="6600" w:space="720"/>
            <w:col w:w="3900"/>
          </w:cols>
          <w:pgMar w:left="340" w:top="117" w:right="339" w:bottom="1440" w:gutter="0" w:footer="0" w:header="0"/>
          <w:type w:val="continuous"/>
        </w:sectPr>
      </w:pPr>
    </w:p>
    <w:bookmarkStart w:id="175" w:name="page176"/>
    <w:bookmarkEnd w:id="175"/>
    <w:p>
      <w:pPr>
        <w:jc w:val="right"/>
        <w:spacing w:after="0"/>
        <w:rPr>
          <w:sz w:val="20"/>
          <w:szCs w:val="20"/>
          <w:color w:val="auto"/>
        </w:rPr>
      </w:pPr>
      <w:r>
        <w:rPr>
          <w:rFonts w:ascii="Times New Roman" w:cs="Times New Roman" w:eastAsia="Times New Roman" w:hAnsi="Times New Roman"/>
          <w:sz w:val="17"/>
          <w:szCs w:val="17"/>
          <w:b w:val="1"/>
          <w:bCs w:val="1"/>
          <w:color w:val="auto"/>
        </w:rPr>
        <w:t>Exhibit 21.1</w:t>
      </w:r>
    </w:p>
    <w:p>
      <w:pPr>
        <w:sectPr>
          <w:pgSz w:w="11900" w:h="16838" w:orient="portrait"/>
          <w:cols w:equalWidth="0" w:num="1">
            <w:col w:w="11220"/>
          </w:cols>
          <w:pgMar w:left="34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Irish Estates (Facilities Management)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 Mount Weavers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NNL Aramark Hospitality Services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Pelican Procurement Services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Premier Management Company (Dublin)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Restaurationsbetriebe Stockheim GmbH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Spokesoft Technologies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Trinity Hospitality Services GmbH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Trinity Hospitality Services SARL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Trinity Purchasing B.V.</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Trinity Purchasing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Trinity Purchasing N.V.</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Trinity Purchasing UK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Vector Environmental Services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Vector Workplace and Facility Management Limited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Veris UK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Wilson Vale Catering Management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Wilson Vale Holdings Limited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Belgium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Northern 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ectPr>
          <w:pgSz w:w="11900" w:h="16838" w:orient="portrait"/>
          <w:cols w:equalWidth="0" w:num="2">
            <w:col w:w="6600" w:space="720"/>
            <w:col w:w="3900"/>
          </w:cols>
          <w:pgMar w:left="340" w:top="117" w:right="339" w:bottom="1440" w:gutter="0" w:footer="0" w:header="0"/>
          <w:type w:val="continuous"/>
        </w:sectPr>
      </w:pPr>
    </w:p>
    <w:bookmarkStart w:id="176" w:name="page177"/>
    <w:bookmarkEnd w:id="17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Aramark: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333-253208) on Form S-3 and (Nos. 333-262860, 333-253211, 333-</w:t>
      </w:r>
    </w:p>
    <w:p>
      <w:pPr>
        <w:spacing w:after="0" w:line="2" w:lineRule="exact"/>
        <w:rPr>
          <w:sz w:val="20"/>
          <w:szCs w:val="20"/>
          <w:color w:val="auto"/>
        </w:rPr>
      </w:pPr>
    </w:p>
    <w:p>
      <w:pPr>
        <w:ind w:right="520"/>
        <w:spacing w:after="0" w:line="226" w:lineRule="auto"/>
        <w:rPr>
          <w:sz w:val="20"/>
          <w:szCs w:val="20"/>
          <w:color w:val="auto"/>
        </w:rPr>
      </w:pPr>
      <w:r>
        <w:rPr>
          <w:rFonts w:ascii="Times New Roman" w:cs="Times New Roman" w:eastAsia="Times New Roman" w:hAnsi="Times New Roman"/>
          <w:sz w:val="18"/>
          <w:szCs w:val="18"/>
          <w:color w:val="auto"/>
        </w:rPr>
        <w:t>192775, 333-192776 and 333-236255) on Forms S-8 of our report dated November 24, 2020, with respect to the consolidated financial statements of Aramark.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05" w:lineRule="auto"/>
        <w:rPr>
          <w:sz w:val="20"/>
          <w:szCs w:val="20"/>
          <w:color w:val="auto"/>
        </w:rPr>
      </w:pPr>
      <w:r>
        <w:rPr>
          <w:rFonts w:ascii="Times New Roman" w:cs="Times New Roman" w:eastAsia="Times New Roman" w:hAnsi="Times New Roman"/>
          <w:sz w:val="18"/>
          <w:szCs w:val="18"/>
          <w:color w:val="auto"/>
        </w:rPr>
        <w:t>Philadelphia,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22, 2022</w:t>
      </w:r>
    </w:p>
    <w:p>
      <w:pPr>
        <w:sectPr>
          <w:pgSz w:w="11900" w:h="16838" w:orient="portrait"/>
          <w:cols w:equalWidth="0" w:num="1">
            <w:col w:w="11240"/>
          </w:cols>
          <w:pgMar w:left="320" w:top="117"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333-253208 on Form S-3 and Registration Statement Nos. 333-192775, 333-192776, 333-236255, 333-253211 and 333-262860 on Forms S-8 of our reports dated November 22, 2022, relating to the financial statements of Aramark and the effectiveness of Aramark's internal control over financial reporting appearing in this Annual Report on Form 10-K for the year ended September 30, 2022.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PA</w:t>
      </w:r>
    </w:p>
    <w:p>
      <w:pPr>
        <w:spacing w:after="0"/>
        <w:rPr>
          <w:sz w:val="20"/>
          <w:szCs w:val="20"/>
          <w:color w:val="auto"/>
        </w:rPr>
      </w:pPr>
      <w:r>
        <w:rPr>
          <w:rFonts w:ascii="Times New Roman" w:cs="Times New Roman" w:eastAsia="Times New Roman" w:hAnsi="Times New Roman"/>
          <w:sz w:val="18"/>
          <w:szCs w:val="18"/>
          <w:color w:val="auto"/>
        </w:rPr>
        <w:t>November 22, 2022</w:t>
      </w:r>
    </w:p>
    <w:p>
      <w:pPr>
        <w:sectPr>
          <w:pgSz w:w="11900" w:h="16838" w:orient="portrait"/>
          <w:cols w:equalWidth="0" w:num="1">
            <w:col w:w="11240"/>
          </w:cols>
          <w:pgMar w:left="320" w:top="117" w:right="3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J. Zillmer, Chief Executive Officer, certify that:</w:t>
      </w:r>
    </w:p>
    <w:p>
      <w:pPr>
        <w:spacing w:after="0" w:line="185" w:lineRule="exact"/>
        <w:rPr>
          <w:sz w:val="20"/>
          <w:szCs w:val="20"/>
          <w:color w:val="auto"/>
        </w:rPr>
      </w:pPr>
    </w:p>
    <w:p>
      <w:pPr>
        <w:ind w:left="320" w:hanging="312"/>
        <w:spacing w:after="0"/>
        <w:tabs>
          <w:tab w:leader="none" w:pos="3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Aramark for the fiscal year ended September 30, 2022;</w:t>
      </w:r>
    </w:p>
    <w:p>
      <w:pPr>
        <w:spacing w:after="0" w:line="198" w:lineRule="exact"/>
        <w:rPr>
          <w:rFonts w:ascii="Times New Roman" w:cs="Times New Roman" w:eastAsia="Times New Roman" w:hAnsi="Times New Roman"/>
          <w:sz w:val="18"/>
          <w:szCs w:val="18"/>
          <w:color w:val="auto"/>
        </w:rPr>
      </w:pPr>
    </w:p>
    <w:p>
      <w:pPr>
        <w:ind w:right="260" w:firstLine="8"/>
        <w:spacing w:after="0" w:line="282" w:lineRule="auto"/>
        <w:tabs>
          <w:tab w:leader="none" w:pos="31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right="420" w:firstLine="8"/>
        <w:spacing w:after="0" w:line="282" w:lineRule="auto"/>
        <w:tabs>
          <w:tab w:leader="none" w:pos="31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right="80" w:firstLine="8"/>
        <w:spacing w:after="0" w:line="266" w:lineRule="auto"/>
        <w:tabs>
          <w:tab w:leader="none" w:pos="312"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957"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967"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957" w:val="left"/>
        </w:tabs>
        <w:numPr>
          <w:ilvl w:val="1"/>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1300" w:right="100" w:hanging="644"/>
        <w:spacing w:after="0" w:line="266" w:lineRule="auto"/>
        <w:tabs>
          <w:tab w:leader="none" w:pos="967"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right="160" w:firstLine="8"/>
        <w:spacing w:after="0" w:line="282" w:lineRule="auto"/>
        <w:tabs>
          <w:tab w:leader="none" w:pos="312"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jc w:val="right"/>
        <w:ind w:left="1300" w:right="800" w:hanging="644"/>
        <w:spacing w:after="0" w:line="282" w:lineRule="auto"/>
        <w:tabs>
          <w:tab w:leader="none" w:pos="947"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300" w:right="500" w:hanging="644"/>
        <w:spacing w:after="0" w:line="282" w:lineRule="auto"/>
        <w:tabs>
          <w:tab w:leader="none" w:pos="957"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JOHN J. ZILLMER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17145</wp:posOffset>
            </wp:positionV>
            <wp:extent cx="300037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51">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John J. Zillmer</w:t>
      </w:r>
    </w:p>
    <w:p>
      <w:pPr>
        <w:spacing w:after="0" w:line="3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1049" w:right="3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right"/>
        <w:ind w:right="4900"/>
        <w:spacing w:after="0"/>
        <w:rPr>
          <w:sz w:val="20"/>
          <w:szCs w:val="20"/>
          <w:color w:val="auto"/>
        </w:rPr>
      </w:pPr>
      <w:r>
        <w:rPr>
          <w:rFonts w:ascii="Times New Roman" w:cs="Times New Roman" w:eastAsia="Times New Roman" w:hAnsi="Times New Roman"/>
          <w:sz w:val="18"/>
          <w:szCs w:val="18"/>
          <w:color w:val="auto"/>
        </w:rPr>
        <w:t>CERTIFICATIONS</w:t>
      </w:r>
    </w:p>
    <w:p>
      <w:pPr>
        <w:spacing w:after="0" w:line="166" w:lineRule="exact"/>
        <w:rPr>
          <w:sz w:val="20"/>
          <w:szCs w:val="20"/>
          <w:color w:val="auto"/>
        </w:rPr>
      </w:pPr>
    </w:p>
    <w:p>
      <w:pPr>
        <w:jc w:val="right"/>
        <w:ind w:right="4880"/>
        <w:spacing w:after="0"/>
        <w:rPr>
          <w:sz w:val="20"/>
          <w:szCs w:val="20"/>
          <w:color w:val="auto"/>
        </w:rPr>
      </w:pPr>
      <w:r>
        <w:rPr>
          <w:rFonts w:ascii="Times New Roman" w:cs="Times New Roman" w:eastAsia="Times New Roman" w:hAnsi="Times New Roman"/>
          <w:sz w:val="17"/>
          <w:szCs w:val="17"/>
          <w:color w:val="auto"/>
        </w:rPr>
        <w:t>I, Thomas G. Ondrof, Executive Vice President and Chief Financial Officer, certify that:</w:t>
      </w:r>
    </w:p>
    <w:p>
      <w:pPr>
        <w:spacing w:after="0" w:line="210" w:lineRule="exact"/>
        <w:rPr>
          <w:sz w:val="20"/>
          <w:szCs w:val="20"/>
          <w:color w:val="auto"/>
        </w:rPr>
      </w:pPr>
    </w:p>
    <w:p>
      <w:pPr>
        <w:ind w:left="320" w:hanging="312"/>
        <w:spacing w:after="0"/>
        <w:tabs>
          <w:tab w:leader="none" w:pos="3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Aramark for the fiscal year ended September 30, 2022;</w:t>
      </w:r>
    </w:p>
    <w:p>
      <w:pPr>
        <w:spacing w:after="0" w:line="184" w:lineRule="exact"/>
        <w:rPr>
          <w:rFonts w:ascii="Times New Roman" w:cs="Times New Roman" w:eastAsia="Times New Roman" w:hAnsi="Times New Roman"/>
          <w:sz w:val="18"/>
          <w:szCs w:val="18"/>
          <w:color w:val="auto"/>
        </w:rPr>
      </w:pPr>
    </w:p>
    <w:p>
      <w:pPr>
        <w:ind w:right="260" w:firstLine="8"/>
        <w:spacing w:after="0" w:line="282" w:lineRule="auto"/>
        <w:tabs>
          <w:tab w:leader="none" w:pos="31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right="420" w:firstLine="8"/>
        <w:spacing w:after="0" w:line="282" w:lineRule="auto"/>
        <w:tabs>
          <w:tab w:leader="none" w:pos="31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ind w:right="80" w:firstLine="8"/>
        <w:spacing w:after="0" w:line="266" w:lineRule="auto"/>
        <w:tabs>
          <w:tab w:leader="none" w:pos="312"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957"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967"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957" w:val="left"/>
        </w:tabs>
        <w:numPr>
          <w:ilvl w:val="1"/>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1300" w:right="100" w:hanging="644"/>
        <w:spacing w:after="0" w:line="266" w:lineRule="auto"/>
        <w:tabs>
          <w:tab w:leader="none" w:pos="967"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right="160" w:firstLine="8"/>
        <w:spacing w:after="0" w:line="282" w:lineRule="auto"/>
        <w:tabs>
          <w:tab w:leader="none" w:pos="312"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jc w:val="right"/>
        <w:ind w:left="1300" w:right="800" w:hanging="644"/>
        <w:spacing w:after="0" w:line="282" w:lineRule="auto"/>
        <w:tabs>
          <w:tab w:leader="none" w:pos="947"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300" w:right="500" w:hanging="644"/>
        <w:spacing w:after="0" w:line="282" w:lineRule="auto"/>
        <w:tabs>
          <w:tab w:leader="none" w:pos="957"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THOMAS G. ONDROF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17145</wp:posOffset>
            </wp:positionV>
            <wp:extent cx="300037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52">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Thomas G. Ondrof</w:t>
      </w:r>
    </w:p>
    <w:p>
      <w:pPr>
        <w:spacing w:after="0" w:line="3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Executive Vice President and</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887" w:right="3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SARBANES-OXLEY ACT OF 2002</w:t>
      </w:r>
    </w:p>
    <w:p>
      <w:pPr>
        <w:spacing w:after="0" w:line="166"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Aramark (the “Company”) on Form 10-K for the fiscal year ended September 30, 2022, as filed with the Securities and Exchange Commission on the date hereof (the “Report”), we, John J. Zillmer, Chief Executive Officer of the Company, and Thomas G. Ondrof, Executive Vice President and Chief Financial Officer of the Company, each certify, pursuant to 18 U.S.C. Section 1350, as adopted pursuant to Section 906 of the Sarbanes-Oxley Act of 2002, that, based on each of our knowledge:</w:t>
      </w:r>
    </w:p>
    <w:p>
      <w:pPr>
        <w:spacing w:after="0" w:line="153" w:lineRule="exact"/>
        <w:rPr>
          <w:sz w:val="20"/>
          <w:szCs w:val="20"/>
          <w:color w:val="auto"/>
        </w:rPr>
      </w:pPr>
    </w:p>
    <w:p>
      <w:pPr>
        <w:ind w:left="400" w:hanging="392"/>
        <w:spacing w:after="0"/>
        <w:tabs>
          <w:tab w:leader="none" w:pos="4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right="400" w:firstLine="8"/>
        <w:spacing w:after="0" w:line="485" w:lineRule="auto"/>
        <w:tabs>
          <w:tab w:leader="none" w:pos="38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22, 2022</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JOHN J. ZILLMER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17145</wp:posOffset>
            </wp:positionV>
            <wp:extent cx="300037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53">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John J. Zillmer</w:t>
      </w:r>
    </w:p>
    <w:p>
      <w:pPr>
        <w:spacing w:after="0" w:line="3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THOMAS G. ONDROF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17145</wp:posOffset>
            </wp:positionV>
            <wp:extent cx="300037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54">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Thomas G. Ondrof</w:t>
      </w:r>
    </w:p>
    <w:p>
      <w:pPr>
        <w:spacing w:after="0" w:line="3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Executive Vice President and</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D9C564"/>
    <w:multiLevelType w:val="hybridMultilevel"/>
    <w:lvl w:ilvl="0">
      <w:lvlJc w:val="left"/>
      <w:lvlText w:val="x"/>
      <w:numFmt w:val="bullet"/>
      <w:start w:val="1"/>
    </w:lvl>
  </w:abstractNum>
  <w:abstractNum w:abstractNumId="1">
    <w:nsid w:val="613EFDC5"/>
    <w:multiLevelType w:val="hybridMultilevel"/>
    <w:lvl w:ilvl="0">
      <w:lvlJc w:val="left"/>
      <w:lvlText w:val="o"/>
      <w:numFmt w:val="bullet"/>
      <w:start w:val="1"/>
    </w:lvl>
  </w:abstractNum>
  <w:abstractNum w:abstractNumId="2">
    <w:nsid w:val="BF72B14"/>
    <w:multiLevelType w:val="hybridMultilevel"/>
    <w:lvl w:ilvl="0">
      <w:lvlJc w:val="left"/>
      <w:lvlText w:val="%1."/>
      <w:numFmt w:val="upperLetter"/>
      <w:start w:val="61"/>
    </w:lvl>
  </w:abstractNum>
  <w:abstractNum w:abstractNumId="3">
    <w:nsid w:val="11447B73"/>
    <w:multiLevelType w:val="hybridMultilevel"/>
    <w:lvl w:ilvl="0">
      <w:lvlJc w:val="left"/>
      <w:lvlText w:val="•"/>
      <w:numFmt w:val="bullet"/>
      <w:start w:val="1"/>
    </w:lvl>
  </w:abstractNum>
  <w:abstractNum w:abstractNumId="4">
    <w:nsid w:val="42963E5A"/>
    <w:multiLevelType w:val="hybridMultilevel"/>
    <w:lvl w:ilvl="0">
      <w:lvlJc w:val="left"/>
      <w:lvlText w:val="•"/>
      <w:numFmt w:val="bullet"/>
      <w:start w:val="1"/>
    </w:lvl>
  </w:abstractNum>
  <w:abstractNum w:abstractNumId="5">
    <w:nsid w:val="A0382C5"/>
    <w:multiLevelType w:val="hybridMultilevel"/>
    <w:lvl w:ilvl="0">
      <w:lvlJc w:val="left"/>
      <w:lvlText w:val="•"/>
      <w:numFmt w:val="bullet"/>
      <w:start w:val="1"/>
    </w:lvl>
  </w:abstractNum>
  <w:abstractNum w:abstractNumId="6">
    <w:nsid w:val="8F2B15E"/>
    <w:multiLevelType w:val="hybridMultilevel"/>
    <w:lvl w:ilvl="0">
      <w:lvlJc w:val="left"/>
      <w:lvlText w:val="•"/>
      <w:numFmt w:val="bullet"/>
      <w:start w:val="1"/>
    </w:lvl>
  </w:abstractNum>
  <w:abstractNum w:abstractNumId="7">
    <w:nsid w:val="1A32234B"/>
    <w:multiLevelType w:val="hybridMultilevel"/>
    <w:lvl w:ilvl="0">
      <w:lvlJc w:val="left"/>
      <w:lvlText w:val="•"/>
      <w:numFmt w:val="bullet"/>
      <w:start w:val="1"/>
    </w:lvl>
  </w:abstractNum>
  <w:abstractNum w:abstractNumId="8">
    <w:nsid w:val="3B0FD379"/>
    <w:multiLevelType w:val="hybridMultilevel"/>
    <w:lvl w:ilvl="0">
      <w:lvlJc w:val="left"/>
      <w:lvlText w:val="•"/>
      <w:numFmt w:val="bullet"/>
      <w:start w:val="1"/>
    </w:lvl>
  </w:abstractNum>
  <w:abstractNum w:abstractNumId="9">
    <w:nsid w:val="68EB2F63"/>
    <w:multiLevelType w:val="hybridMultilevel"/>
    <w:lvl w:ilvl="0">
      <w:lvlJc w:val="left"/>
      <w:lvlText w:val="•"/>
      <w:numFmt w:val="bullet"/>
      <w:start w:val="1"/>
    </w:lvl>
  </w:abstractNum>
  <w:abstractNum w:abstractNumId="10">
    <w:nsid w:val="4962813B"/>
    <w:multiLevelType w:val="hybridMultilevel"/>
    <w:lvl w:ilvl="0">
      <w:lvlJc w:val="left"/>
      <w:lvlText w:val="•"/>
      <w:numFmt w:val="bullet"/>
      <w:start w:val="1"/>
    </w:lvl>
  </w:abstractNum>
  <w:abstractNum w:abstractNumId="11">
    <w:nsid w:val="60B6DF70"/>
    <w:multiLevelType w:val="hybridMultilevel"/>
    <w:lvl w:ilvl="0">
      <w:lvlJc w:val="left"/>
      <w:lvlText w:val="•"/>
      <w:numFmt w:val="bullet"/>
      <w:start w:val="1"/>
    </w:lvl>
  </w:abstractNum>
  <w:abstractNum w:abstractNumId="12">
    <w:nsid w:val="6A5EE64"/>
    <w:multiLevelType w:val="hybridMultilevel"/>
    <w:lvl w:ilvl="0">
      <w:lvlJc w:val="left"/>
      <w:lvlText w:val="(%1)"/>
      <w:numFmt w:val="decimal"/>
      <w:start w:val="1"/>
    </w:lvl>
  </w:abstractNum>
  <w:abstractNum w:abstractNumId="13">
    <w:nsid w:val="14330624"/>
    <w:multiLevelType w:val="hybridMultilevel"/>
    <w:lvl w:ilvl="0">
      <w:lvlJc w:val="left"/>
      <w:lvlText w:val="(%1)"/>
      <w:numFmt w:val="decimal"/>
      <w:start w:val="1"/>
    </w:lvl>
  </w:abstractNum>
  <w:abstractNum w:abstractNumId="14">
    <w:nsid w:val="7FFFCA11"/>
    <w:multiLevelType w:val="hybridMultilevel"/>
    <w:lvl w:ilvl="0">
      <w:lvlJc w:val="left"/>
      <w:lvlText w:val="•"/>
      <w:numFmt w:val="bullet"/>
      <w:start w:val="1"/>
    </w:lvl>
  </w:abstractNum>
  <w:abstractNum w:abstractNumId="15">
    <w:nsid w:val="1A27709E"/>
    <w:multiLevelType w:val="hybridMultilevel"/>
    <w:lvl w:ilvl="0">
      <w:lvlJc w:val="left"/>
      <w:lvlText w:val="•"/>
      <w:numFmt w:val="bullet"/>
      <w:start w:val="1"/>
    </w:lvl>
  </w:abstractNum>
  <w:abstractNum w:abstractNumId="16">
    <w:nsid w:val="71EA1109"/>
    <w:multiLevelType w:val="hybridMultilevel"/>
    <w:lvl w:ilvl="0">
      <w:lvlJc w:val="left"/>
      <w:lvlText w:val="•"/>
      <w:numFmt w:val="bullet"/>
      <w:start w:val="1"/>
    </w:lvl>
  </w:abstractNum>
  <w:abstractNum w:abstractNumId="17">
    <w:nsid w:val="100F59DC"/>
    <w:multiLevelType w:val="hybridMultilevel"/>
    <w:lvl w:ilvl="0">
      <w:lvlJc w:val="left"/>
      <w:lvlText w:val="•"/>
      <w:numFmt w:val="bullet"/>
      <w:start w:val="1"/>
    </w:lvl>
  </w:abstractNum>
  <w:abstractNum w:abstractNumId="18">
    <w:nsid w:val="7FB7E0AA"/>
    <w:multiLevelType w:val="hybridMultilevel"/>
    <w:lvl w:ilvl="0">
      <w:lvlJc w:val="left"/>
      <w:lvlText w:val="•"/>
      <w:numFmt w:val="bullet"/>
      <w:start w:val="1"/>
    </w:lvl>
  </w:abstractNum>
  <w:abstractNum w:abstractNumId="19">
    <w:nsid w:val="6EB5BD4"/>
    <w:multiLevelType w:val="hybridMultilevel"/>
    <w:lvl w:ilvl="0">
      <w:lvlJc w:val="left"/>
      <w:lvlText w:val="•"/>
      <w:numFmt w:val="bullet"/>
      <w:start w:val="1"/>
    </w:lvl>
  </w:abstractNum>
  <w:abstractNum w:abstractNumId="20">
    <w:nsid w:val="6F6DD9AC"/>
    <w:multiLevelType w:val="hybridMultilevel"/>
    <w:lvl w:ilvl="0">
      <w:lvlJc w:val="left"/>
      <w:lvlText w:val="•"/>
      <w:numFmt w:val="bullet"/>
      <w:start w:val="1"/>
    </w:lvl>
  </w:abstractNum>
  <w:abstractNum w:abstractNumId="21">
    <w:nsid w:val="94211F2"/>
    <w:multiLevelType w:val="hybridMultilevel"/>
    <w:lvl w:ilvl="0">
      <w:lvlJc w:val="left"/>
      <w:lvlText w:val="•"/>
      <w:numFmt w:val="bullet"/>
      <w:start w:val="1"/>
    </w:lvl>
  </w:abstractNum>
  <w:abstractNum w:abstractNumId="22">
    <w:nsid w:val="885E1B"/>
    <w:multiLevelType w:val="hybridMultilevel"/>
    <w:lvl w:ilvl="0">
      <w:lvlJc w:val="left"/>
      <w:lvlText w:val="•"/>
      <w:numFmt w:val="bullet"/>
      <w:start w:val="1"/>
    </w:lvl>
  </w:abstractNum>
  <w:abstractNum w:abstractNumId="23">
    <w:nsid w:val="76272110"/>
    <w:multiLevelType w:val="hybridMultilevel"/>
    <w:lvl w:ilvl="0">
      <w:lvlJc w:val="left"/>
      <w:lvlText w:val="•"/>
      <w:numFmt w:val="bullet"/>
      <w:start w:val="1"/>
    </w:lvl>
  </w:abstractNum>
  <w:abstractNum w:abstractNumId="24">
    <w:nsid w:val="4C04A8AF"/>
    <w:multiLevelType w:val="hybridMultilevel"/>
    <w:lvl w:ilvl="0">
      <w:lvlJc w:val="left"/>
      <w:lvlText w:val="(%1)"/>
      <w:numFmt w:val="decimal"/>
      <w:start w:val="1"/>
    </w:lvl>
  </w:abstractNum>
  <w:abstractNum w:abstractNumId="25">
    <w:nsid w:val="1716703B"/>
    <w:multiLevelType w:val="hybridMultilevel"/>
    <w:lvl w:ilvl="0">
      <w:lvlJc w:val="left"/>
      <w:lvlText w:val="(%1)"/>
      <w:numFmt w:val="decimal"/>
      <w:start w:val="6"/>
    </w:lvl>
  </w:abstractNum>
  <w:abstractNum w:abstractNumId="26">
    <w:nsid w:val="14E17E33"/>
    <w:multiLevelType w:val="hybridMultilevel"/>
    <w:lvl w:ilvl="0">
      <w:lvlJc w:val="left"/>
      <w:lvlText w:val="(%1)"/>
      <w:numFmt w:val="decimal"/>
      <w:start w:val="1"/>
    </w:lvl>
  </w:abstractNum>
  <w:abstractNum w:abstractNumId="27">
    <w:nsid w:val="3222E7CD"/>
    <w:multiLevelType w:val="hybridMultilevel"/>
    <w:lvl w:ilvl="0">
      <w:lvlJc w:val="left"/>
      <w:lvlText w:val="(%1)"/>
      <w:numFmt w:val="decimal"/>
      <w:start w:val="1"/>
    </w:lvl>
  </w:abstractNum>
  <w:abstractNum w:abstractNumId="28">
    <w:nsid w:val="74DE0EE3"/>
    <w:multiLevelType w:val="hybridMultilevel"/>
    <w:lvl w:ilvl="0">
      <w:lvlJc w:val="left"/>
      <w:lvlText w:val="•"/>
      <w:numFmt w:val="bullet"/>
      <w:start w:val="1"/>
    </w:lvl>
  </w:abstractNum>
  <w:abstractNum w:abstractNumId="29">
    <w:nsid w:val="68EBC550"/>
    <w:multiLevelType w:val="hybridMultilevel"/>
    <w:lvl w:ilvl="0">
      <w:lvlJc w:val="left"/>
      <w:lvlText w:val="•"/>
      <w:numFmt w:val="bullet"/>
      <w:start w:val="1"/>
    </w:lvl>
  </w:abstractNum>
  <w:abstractNum w:abstractNumId="30">
    <w:nsid w:val="2DF6D648"/>
    <w:multiLevelType w:val="hybridMultilevel"/>
    <w:lvl w:ilvl="0">
      <w:lvlJc w:val="left"/>
      <w:lvlText w:val="(%1)"/>
      <w:numFmt w:val="lowerLetter"/>
      <w:start w:val="1"/>
    </w:lvl>
  </w:abstractNum>
  <w:abstractNum w:abstractNumId="31">
    <w:nsid w:val="46B7D447"/>
    <w:multiLevelType w:val="hybridMultilevel"/>
    <w:lvl w:ilvl="0">
      <w:lvlJc w:val="left"/>
      <w:lvlText w:val="(%1)"/>
      <w:numFmt w:val="lowerLetter"/>
      <w:start w:val="2"/>
    </w:lvl>
  </w:abstractNum>
  <w:abstractNum w:abstractNumId="32">
    <w:nsid w:val="4A2AC315"/>
    <w:multiLevelType w:val="hybridMultilevel"/>
    <w:lvl w:ilvl="0">
      <w:lvlJc w:val="left"/>
      <w:lvlText w:val="(%1)"/>
      <w:numFmt w:val="lowerLetter"/>
      <w:start w:val="3"/>
    </w:lvl>
  </w:abstractNum>
  <w:abstractNum w:abstractNumId="33">
    <w:nsid w:val="39EE015C"/>
    <w:multiLevelType w:val="hybridMultilevel"/>
    <w:lvl w:ilvl="0">
      <w:lvlJc w:val="left"/>
      <w:lvlText w:val="•"/>
      <w:numFmt w:val="bullet"/>
      <w:start w:val="1"/>
    </w:lvl>
    <w:lvl w:ilvl="1">
      <w:lvlJc w:val="left"/>
      <w:lvlText w:val="◦"/>
      <w:numFmt w:val="bullet"/>
      <w:start w:val="1"/>
    </w:lvl>
  </w:abstractNum>
  <w:abstractNum w:abstractNumId="34">
    <w:nsid w:val="57FC4FBB"/>
    <w:multiLevelType w:val="hybridMultilevel"/>
    <w:lvl w:ilvl="0">
      <w:lvlJc w:val="left"/>
      <w:lvlText w:val="•"/>
      <w:numFmt w:val="bullet"/>
      <w:start w:val="1"/>
    </w:lvl>
  </w:abstractNum>
  <w:abstractNum w:abstractNumId="35">
    <w:nsid w:val="CC1016F"/>
    <w:multiLevelType w:val="hybridMultilevel"/>
    <w:lvl w:ilvl="0">
      <w:lvlJc w:val="left"/>
      <w:lvlText w:val="(%1)"/>
      <w:numFmt w:val="decimal"/>
      <w:start w:val="1"/>
    </w:lvl>
  </w:abstractNum>
  <w:abstractNum w:abstractNumId="36">
    <w:nsid w:val="43F18422"/>
    <w:multiLevelType w:val="hybridMultilevel"/>
    <w:lvl w:ilvl="0">
      <w:lvlJc w:val="left"/>
      <w:lvlText w:val="(%1)"/>
      <w:numFmt w:val="decimal"/>
      <w:start w:val="1"/>
    </w:lvl>
  </w:abstractNum>
  <w:abstractNum w:abstractNumId="37">
    <w:nsid w:val="60EF0119"/>
    <w:multiLevelType w:val="hybridMultilevel"/>
    <w:lvl w:ilvl="0">
      <w:lvlJc w:val="left"/>
      <w:lvlText w:val="(%1)"/>
      <w:numFmt w:val="decimal"/>
      <w:start w:val="1"/>
    </w:lvl>
  </w:abstractNum>
  <w:abstractNum w:abstractNumId="38">
    <w:nsid w:val="26F324BA"/>
    <w:multiLevelType w:val="hybridMultilevel"/>
    <w:lvl w:ilvl="0">
      <w:lvlJc w:val="left"/>
      <w:lvlText w:val="(%1)"/>
      <w:numFmt w:val="decimal"/>
      <w:start w:val="1"/>
    </w:lvl>
  </w:abstractNum>
  <w:abstractNum w:abstractNumId="39">
    <w:nsid w:val="7F01579B"/>
    <w:multiLevelType w:val="hybridMultilevel"/>
    <w:lvl w:ilvl="0">
      <w:lvlJc w:val="left"/>
      <w:lvlText w:val="(%1)"/>
      <w:numFmt w:val="decimal"/>
      <w:start w:val="4"/>
    </w:lvl>
  </w:abstractNum>
  <w:abstractNum w:abstractNumId="40">
    <w:nsid w:val="49DA307D"/>
    <w:multiLevelType w:val="hybridMultilevel"/>
    <w:lvl w:ilvl="0">
      <w:lvlJc w:val="left"/>
      <w:lvlText w:val="(%1)"/>
      <w:numFmt w:val="decimal"/>
      <w:start w:val="1"/>
    </w:lvl>
  </w:abstractNum>
  <w:abstractNum w:abstractNumId="41">
    <w:nsid w:val="7055A5F5"/>
    <w:multiLevelType w:val="hybridMultilevel"/>
    <w:lvl w:ilvl="0">
      <w:lvlJc w:val="left"/>
      <w:lvlText w:val="(%1)"/>
      <w:numFmt w:val="decimal"/>
      <w:start w:val="1"/>
    </w:lvl>
  </w:abstractNum>
  <w:abstractNum w:abstractNumId="42">
    <w:nsid w:val="5FB8370B"/>
    <w:multiLevelType w:val="hybridMultilevel"/>
    <w:lvl w:ilvl="0">
      <w:lvlJc w:val="left"/>
      <w:lvlText w:val="•"/>
      <w:numFmt w:val="bullet"/>
      <w:start w:val="1"/>
    </w:lvl>
  </w:abstractNum>
  <w:abstractNum w:abstractNumId="43">
    <w:nsid w:val="50801EE1"/>
    <w:multiLevelType w:val="hybridMultilevel"/>
    <w:lvl w:ilvl="0">
      <w:lvlJc w:val="left"/>
      <w:lvlText w:val="(%1)"/>
      <w:numFmt w:val="decimal"/>
      <w:start w:val="1"/>
    </w:lvl>
  </w:abstractNum>
  <w:abstractNum w:abstractNumId="44">
    <w:nsid w:val="488AC1A"/>
    <w:multiLevelType w:val="hybridMultilevel"/>
    <w:lvl w:ilvl="0">
      <w:lvlJc w:val="left"/>
      <w:lvlText w:val="•"/>
      <w:numFmt w:val="bullet"/>
      <w:start w:val="1"/>
    </w:lvl>
  </w:abstractNum>
  <w:abstractNum w:abstractNumId="45">
    <w:nsid w:val="5FB8011C"/>
    <w:multiLevelType w:val="hybridMultilevel"/>
    <w:lvl w:ilvl="0">
      <w:lvlJc w:val="left"/>
      <w:lvlText w:val="•"/>
      <w:numFmt w:val="bullet"/>
      <w:start w:val="1"/>
    </w:lvl>
  </w:abstractNum>
  <w:abstractNum w:abstractNumId="46">
    <w:nsid w:val="6AA78F7F"/>
    <w:multiLevelType w:val="hybridMultilevel"/>
    <w:lvl w:ilvl="0">
      <w:lvlJc w:val="left"/>
      <w:lvlText w:val="(%1)"/>
      <w:numFmt w:val="lowerRoman"/>
      <w:start w:val="3"/>
    </w:lvl>
  </w:abstractNum>
  <w:abstractNum w:abstractNumId="47">
    <w:nsid w:val="7672BD23"/>
    <w:multiLevelType w:val="hybridMultilevel"/>
    <w:lvl w:ilvl="0">
      <w:lvlJc w:val="left"/>
      <w:lvlText w:val="(%1)"/>
      <w:numFmt w:val="decimal"/>
      <w:start w:val="1"/>
    </w:lvl>
  </w:abstractNum>
  <w:abstractNum w:abstractNumId="48">
    <w:nsid w:val="6FC75AF8"/>
    <w:multiLevelType w:val="hybridMultilevel"/>
    <w:lvl w:ilvl="0">
      <w:lvlJc w:val="left"/>
      <w:lvlText w:val="(%1)"/>
      <w:numFmt w:val="decimal"/>
      <w:start w:val="1"/>
    </w:lvl>
  </w:abstractNum>
  <w:abstractNum w:abstractNumId="49">
    <w:nsid w:val="6A5F7029"/>
    <w:multiLevelType w:val="hybridMultilevel"/>
    <w:lvl w:ilvl="0">
      <w:lvlJc w:val="left"/>
      <w:lvlText w:val="(%1)"/>
      <w:numFmt w:val="decimal"/>
      <w:start w:val="1"/>
    </w:lvl>
  </w:abstractNum>
  <w:abstractNum w:abstractNumId="50">
    <w:nsid w:val="7D5E18F8"/>
    <w:multiLevelType w:val="hybridMultilevel"/>
    <w:lvl w:ilvl="0">
      <w:lvlJc w:val="left"/>
      <w:lvlText w:val="•"/>
      <w:numFmt w:val="bullet"/>
      <w:start w:val="1"/>
    </w:lvl>
  </w:abstractNum>
  <w:abstractNum w:abstractNumId="51">
    <w:nsid w:val="5F3534A4"/>
    <w:multiLevelType w:val="hybridMultilevel"/>
    <w:lvl w:ilvl="0">
      <w:lvlJc w:val="left"/>
      <w:lvlText w:val="(%1)"/>
      <w:numFmt w:val="decimal"/>
      <w:start w:val="1"/>
    </w:lvl>
  </w:abstractNum>
  <w:abstractNum w:abstractNumId="52">
    <w:nsid w:val="73A1821B"/>
    <w:multiLevelType w:val="hybridMultilevel"/>
    <w:lvl w:ilvl="0">
      <w:lvlJc w:val="left"/>
      <w:lvlText w:val="(%1)"/>
      <w:numFmt w:val="decimal"/>
      <w:start w:val="1"/>
    </w:lvl>
  </w:abstractNum>
  <w:abstractNum w:abstractNumId="53">
    <w:nsid w:val="7DE67713"/>
    <w:multiLevelType w:val="hybridMultilevel"/>
    <w:lvl w:ilvl="0">
      <w:lvlJc w:val="left"/>
      <w:lvlText w:val="(%1)"/>
      <w:numFmt w:val="decimal"/>
      <w:start w:val="1"/>
    </w:lvl>
  </w:abstractNum>
  <w:abstractNum w:abstractNumId="54">
    <w:nsid w:val="555C55B5"/>
    <w:multiLevelType w:val="hybridMultilevel"/>
    <w:lvl w:ilvl="0">
      <w:lvlJc w:val="left"/>
      <w:lvlText w:val="(%1)"/>
      <w:numFmt w:val="decimal"/>
      <w:start w:val="1"/>
    </w:lvl>
  </w:abstractNum>
  <w:abstractNum w:abstractNumId="55">
    <w:nsid w:val="3FA62ACA"/>
    <w:multiLevelType w:val="hybridMultilevel"/>
    <w:lvl w:ilvl="0">
      <w:lvlJc w:val="left"/>
      <w:lvlText w:val="%1."/>
      <w:numFmt w:val="lowerLetter"/>
      <w:start w:val="1"/>
    </w:lvl>
  </w:abstractNum>
  <w:abstractNum w:abstractNumId="56">
    <w:nsid w:val="14FCE74E"/>
    <w:multiLevelType w:val="hybridMultilevel"/>
    <w:lvl w:ilvl="0">
      <w:lvlJc w:val="left"/>
      <w:lvlText w:val="(%1)"/>
      <w:numFmt w:val="decimal"/>
      <w:start w:val="1"/>
    </w:lvl>
  </w:abstractNum>
  <w:abstractNum w:abstractNumId="57">
    <w:nsid w:val="6A3DD3E8"/>
    <w:multiLevelType w:val="hybridMultilevel"/>
    <w:lvl w:ilvl="0">
      <w:lvlJc w:val="left"/>
      <w:lvlText w:val="(%1)"/>
      <w:numFmt w:val="decimal"/>
      <w:start w:val="1"/>
    </w:lvl>
  </w:abstractNum>
  <w:abstractNum w:abstractNumId="58">
    <w:nsid w:val="71C91298"/>
    <w:multiLevelType w:val="hybridMultilevel"/>
    <w:lvl w:ilvl="0">
      <w:lvlJc w:val="left"/>
      <w:lvlText w:val="(%1)"/>
      <w:numFmt w:val="decimal"/>
      <w:start w:val="1"/>
    </w:lvl>
  </w:abstractNum>
  <w:abstractNum w:abstractNumId="59">
    <w:nsid w:val="9DAF632"/>
    <w:multiLevelType w:val="hybridMultilevel"/>
    <w:lvl w:ilvl="0">
      <w:lvlJc w:val="left"/>
      <w:lvlText w:val="(%1)"/>
      <w:numFmt w:val="decimal"/>
      <w:start w:val="1"/>
    </w:lvl>
  </w:abstractNum>
  <w:abstractNum w:abstractNumId="60">
    <w:nsid w:val="53299938"/>
    <w:multiLevelType w:val="hybridMultilevel"/>
    <w:lvl w:ilvl="0">
      <w:lvlJc w:val="left"/>
      <w:lvlText w:val="(%1)"/>
      <w:numFmt w:val="decimal"/>
      <w:start w:val="1"/>
    </w:lvl>
  </w:abstractNum>
  <w:abstractNum w:abstractNumId="61">
    <w:nsid w:val="1FBFE8E0"/>
    <w:multiLevelType w:val="hybridMultilevel"/>
    <w:lvl w:ilvl="0">
      <w:lvlJc w:val="left"/>
      <w:lvlText w:val="•"/>
      <w:numFmt w:val="bullet"/>
      <w:start w:val="1"/>
    </w:lvl>
  </w:abstractNum>
  <w:abstractNum w:abstractNumId="62">
    <w:nsid w:val="5092CA79"/>
    <w:multiLevelType w:val="hybridMultilevel"/>
    <w:lvl w:ilvl="0">
      <w:lvlJc w:val="left"/>
      <w:lvlText w:val="(%1)"/>
      <w:numFmt w:val="decimal"/>
      <w:start w:val="1"/>
    </w:lvl>
  </w:abstractNum>
  <w:abstractNum w:abstractNumId="63">
    <w:nsid w:val="1D545C4D"/>
    <w:multiLevelType w:val="hybridMultilevel"/>
    <w:lvl w:ilvl="0">
      <w:lvlJc w:val="left"/>
      <w:lvlText w:val="%1"/>
      <w:numFmt w:val="decimal"/>
      <w:start w:val="101"/>
    </w:lvl>
  </w:abstractNum>
  <w:abstractNum w:abstractNumId="64">
    <w:nsid w:val="59ADEA3D"/>
    <w:multiLevelType w:val="hybridMultilevel"/>
    <w:lvl w:ilvl="0">
      <w:lvlJc w:val="left"/>
      <w:lvlText w:val="#"/>
      <w:numFmt w:val="bullet"/>
      <w:start w:val="1"/>
    </w:lvl>
  </w:abstractNum>
  <w:abstractNum w:abstractNumId="65">
    <w:nsid w:val="288F1A34"/>
    <w:multiLevelType w:val="hybridMultilevel"/>
    <w:lvl w:ilvl="0">
      <w:lvlJc w:val="left"/>
      <w:lvlText w:val="%1."/>
      <w:numFmt w:val="decimal"/>
      <w:start w:val="10"/>
    </w:lvl>
  </w:abstractNum>
  <w:abstractNum w:abstractNumId="66">
    <w:nsid w:val="2A155DBC"/>
    <w:multiLevelType w:val="hybridMultilevel"/>
    <w:lvl w:ilvl="0">
      <w:lvlJc w:val="left"/>
      <w:lvlText w:val="(%1)"/>
      <w:numFmt w:val="lowerLetter"/>
      <w:start w:val="1"/>
    </w:lvl>
  </w:abstractNum>
  <w:abstractNum w:abstractNumId="67">
    <w:nsid w:val="1D9F6E5F"/>
    <w:multiLevelType w:val="hybridMultilevel"/>
    <w:lvl w:ilvl="0">
      <w:lvlJc w:val="left"/>
      <w:lvlText w:val="(%1)"/>
      <w:numFmt w:val="lowerLetter"/>
      <w:start w:val="2"/>
    </w:lvl>
  </w:abstractNum>
  <w:abstractNum w:abstractNumId="68">
    <w:nsid w:val="97E1B4E"/>
    <w:multiLevelType w:val="hybridMultilevel"/>
    <w:lvl w:ilvl="0">
      <w:lvlJc w:val="left"/>
      <w:lvlText w:val="(%1)"/>
      <w:numFmt w:val="lowerLetter"/>
      <w:start w:val="3"/>
    </w:lvl>
  </w:abstractNum>
  <w:abstractNum w:abstractNumId="69">
    <w:nsid w:val="51088277"/>
    <w:multiLevelType w:val="hybridMultilevel"/>
    <w:lvl w:ilvl="0">
      <w:lvlJc w:val="left"/>
      <w:lvlText w:val="(%1)"/>
      <w:numFmt w:val="lowerLetter"/>
      <w:start w:val="1"/>
    </w:lvl>
  </w:abstractNum>
  <w:abstractNum w:abstractNumId="70">
    <w:nsid w:val="1CA0C5FA"/>
    <w:multiLevelType w:val="hybridMultilevel"/>
    <w:lvl w:ilvl="0">
      <w:lvlJc w:val="left"/>
      <w:lvlText w:val="(%1)"/>
      <w:numFmt w:val="lowerLetter"/>
      <w:start w:val="1"/>
    </w:lvl>
  </w:abstractNum>
  <w:abstractNum w:abstractNumId="71">
    <w:nsid w:val="53584BCB"/>
    <w:multiLevelType w:val="hybridMultilevel"/>
    <w:lvl w:ilvl="0">
      <w:lvlJc w:val="left"/>
      <w:lvlText w:val="(%1)"/>
      <w:numFmt w:val="lowerRoman"/>
      <w:start w:val="1"/>
    </w:lvl>
  </w:abstractNum>
  <w:abstractNum w:abstractNumId="72">
    <w:nsid w:val="415E286C"/>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73">
    <w:nsid w:val="7C58FD05"/>
    <w:multiLevelType w:val="hybridMultilevel"/>
    <w:lvl w:ilvl="0">
      <w:lvlJc w:val="left"/>
      <w:lvlText w:val="(%1)"/>
      <w:numFmt w:val="lowerRoman"/>
      <w:start w:val="3"/>
    </w:lvl>
  </w:abstractNum>
  <w:abstractNum w:abstractNumId="74">
    <w:nsid w:val="23D86AAC"/>
    <w:multiLevelType w:val="hybridMultilevel"/>
    <w:lvl w:ilvl="0">
      <w:lvlJc w:val="left"/>
      <w:lvlText w:val="1"/>
      <w:numFmt w:val="bullet"/>
      <w:start w:val="1"/>
    </w:lvl>
  </w:abstractNum>
  <w:abstractNum w:abstractNumId="75">
    <w:nsid w:val="45E6D486"/>
    <w:multiLevelType w:val="hybridMultilevel"/>
    <w:lvl w:ilvl="0">
      <w:lvlJc w:val="left"/>
      <w:lvlText w:val="(%1)"/>
      <w:numFmt w:val="lowerRoman"/>
      <w:start w:val="5"/>
    </w:lvl>
  </w:abstractNum>
  <w:abstractNum w:abstractNumId="76">
    <w:nsid w:val="5C10FE21"/>
    <w:multiLevelType w:val="hybridMultilevel"/>
    <w:lvl w:ilvl="0">
      <w:lvlJc w:val="left"/>
      <w:lvlText w:val="(%1)"/>
      <w:numFmt w:val="lowerLetter"/>
      <w:start w:val="3"/>
    </w:lvl>
  </w:abstractNum>
  <w:abstractNum w:abstractNumId="77">
    <w:nsid w:val="E7FFA2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5"/>
    </w:lvl>
    <w:lvl w:ilvl="3">
      <w:lvlJc w:val="left"/>
      <w:lvlText w:val="(%4)"/>
      <w:numFmt w:val="lowerRoman"/>
      <w:start w:val="1"/>
    </w:lvl>
  </w:abstractNum>
  <w:abstractNum w:abstractNumId="78">
    <w:nsid w:val="3C5991AA"/>
    <w:multiLevelType w:val="hybridMultilevel"/>
    <w:lvl w:ilvl="0">
      <w:lvlJc w:val="left"/>
      <w:lvlText w:val="(%1)"/>
      <w:numFmt w:val="lowerRoman"/>
      <w:start w:val="1"/>
    </w:lvl>
    <w:lvl w:ilvl="1">
      <w:lvlJc w:val="left"/>
      <w:lvlText w:val="(%2)"/>
      <w:numFmt w:val="lowerRoman"/>
      <w:start w:val="2"/>
    </w:lvl>
  </w:abstractNum>
  <w:abstractNum w:abstractNumId="79">
    <w:nsid w:val="4BD8591A"/>
    <w:multiLevelType w:val="hybridMultilevel"/>
    <w:lvl w:ilvl="0">
      <w:lvlJc w:val="left"/>
      <w:lvlText w:val="%1"/>
      <w:numFmt w:val="decimal"/>
      <w:start w:val="1"/>
    </w:lvl>
    <w:lvl w:ilvl="1">
      <w:lvlJc w:val="left"/>
      <w:lvlText w:val="(%2)"/>
      <w:numFmt w:val="lowerLetter"/>
      <w:start w:val="1"/>
    </w:lvl>
  </w:abstractNum>
  <w:abstractNum w:abstractNumId="80">
    <w:nsid w:val="78DF6A55"/>
    <w:multiLevelType w:val="hybridMultilevel"/>
    <w:lvl w:ilvl="0">
      <w:lvlJc w:val="left"/>
      <w:lvlText w:val="%1."/>
      <w:numFmt w:val="decimal"/>
      <w:start w:val="3"/>
    </w:lvl>
    <w:lvl w:ilvl="1">
      <w:lvlJc w:val="left"/>
      <w:lvlText w:val="%2"/>
      <w:numFmt w:val="lowerLetter"/>
      <w:start w:val="1"/>
    </w:lvl>
  </w:abstractNum>
  <w:abstractNum w:abstractNumId="81">
    <w:nsid w:val="39B7AAA2"/>
    <w:multiLevelType w:val="hybridMultilevel"/>
    <w:lvl w:ilvl="0">
      <w:lvlJc w:val="left"/>
      <w:lvlText w:val="%1."/>
      <w:numFmt w:val="decimal"/>
      <w:start w:val="9"/>
    </w:lvl>
    <w:lvl w:ilvl="1">
      <w:lvlJc w:val="left"/>
      <w:lvlText w:val="(%2)"/>
      <w:numFmt w:val="lowerLetter"/>
      <w:start w:val="1"/>
    </w:lvl>
  </w:abstractNum>
  <w:abstractNum w:abstractNumId="82">
    <w:nsid w:val="2B0D8DBE"/>
    <w:multiLevelType w:val="hybridMultilevel"/>
    <w:lvl w:ilvl="0">
      <w:lvlJc w:val="left"/>
      <w:lvlText w:val="%1."/>
      <w:numFmt w:val="decimal"/>
      <w:start w:val="11"/>
    </w:lvl>
  </w:abstractNum>
  <w:abstractNum w:abstractNumId="83">
    <w:nsid w:val="6C80EC70"/>
    <w:multiLevelType w:val="hybridMultilevel"/>
    <w:lvl w:ilvl="0">
      <w:lvlJc w:val="left"/>
      <w:lvlText w:val="%1."/>
      <w:numFmt w:val="decimal"/>
      <w:start w:val="14"/>
    </w:lvl>
  </w:abstractNum>
  <w:abstractNum w:abstractNumId="84">
    <w:nsid w:val="379E21B5"/>
    <w:multiLevelType w:val="hybridMultilevel"/>
    <w:lvl w:ilvl="0">
      <w:lvlJc w:val="left"/>
      <w:lvlText w:val="%1."/>
      <w:numFmt w:val="decimal"/>
      <w:start w:val="16"/>
    </w:lvl>
  </w:abstractNum>
  <w:abstractNum w:abstractNumId="85">
    <w:nsid w:val="69E373"/>
    <w:multiLevelType w:val="hybridMultilevel"/>
    <w:lvl w:ilvl="0">
      <w:lvlJc w:val="left"/>
      <w:lvlText w:val="(%1)"/>
      <w:numFmt w:val="lowerLetter"/>
      <w:start w:val="2"/>
    </w:lvl>
  </w:abstractNum>
  <w:abstractNum w:abstractNumId="86">
    <w:nsid w:val="2C27173B"/>
    <w:multiLevelType w:val="hybridMultilevel"/>
    <w:lvl w:ilvl="0">
      <w:lvlJc w:val="left"/>
      <w:lvlText w:val="(%1)"/>
      <w:numFmt w:val="lowerRoman"/>
      <w:start w:val="1"/>
    </w:lvl>
  </w:abstractNum>
  <w:abstractNum w:abstractNumId="87">
    <w:nsid w:val="4C9B0904"/>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4"/>
    </w:lvl>
  </w:abstractNum>
  <w:abstractNum w:abstractNumId="88">
    <w:nsid w:val="6AA7B75C"/>
    <w:multiLevelType w:val="hybridMultilevel"/>
    <w:lvl w:ilvl="0">
      <w:lvlJc w:val="left"/>
      <w:lvlText w:val="1"/>
      <w:numFmt w:val="bullet"/>
      <w:start w:val="1"/>
    </w:lvl>
  </w:abstractNum>
  <w:abstractNum w:abstractNumId="89">
    <w:nsid w:val="1DF029D3"/>
    <w:multiLevelType w:val="hybridMultilevel"/>
    <w:lvl w:ilvl="0">
      <w:lvlJc w:val="left"/>
      <w:lvlText w:val="(%1)"/>
      <w:numFmt w:val="lowerRoman"/>
      <w:start w:val="6"/>
    </w:lvl>
  </w:abstractNum>
  <w:abstractNum w:abstractNumId="90">
    <w:nsid w:val="5675FF36"/>
    <w:multiLevelType w:val="hybridMultilevel"/>
    <w:lvl w:ilvl="0">
      <w:lvlJc w:val="left"/>
      <w:lvlText w:val="(%1)"/>
      <w:numFmt w:val="lowerRoman"/>
      <w:start w:val="8"/>
    </w:lvl>
  </w:abstractNum>
  <w:abstractNum w:abstractNumId="91">
    <w:nsid w:val="3DD15094"/>
    <w:multiLevelType w:val="hybridMultilevel"/>
    <w:lvl w:ilvl="0">
      <w:lvlJc w:val="left"/>
      <w:lvlText w:val="%1."/>
      <w:numFmt w:val="decimal"/>
      <w:start w:val="1"/>
    </w:lvl>
  </w:abstractNum>
  <w:abstractNum w:abstractNumId="92">
    <w:nsid w:val="3DB012B3"/>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93">
    <w:nsid w:val="2708C9AF"/>
    <w:multiLevelType w:val="hybridMultilevel"/>
    <w:lvl w:ilvl="0">
      <w:lvlJc w:val="left"/>
      <w:lvlText w:val="(%1)"/>
      <w:numFmt w:val="lowerRoman"/>
      <w:start w:val="1"/>
    </w:lvl>
    <w:lvl w:ilvl="1">
      <w:lvlJc w:val="left"/>
      <w:lvlText w:val="(%2)"/>
      <w:numFmt w:val="lowerRoman"/>
      <w:start w:val="2"/>
    </w:lvl>
  </w:abstractNum>
  <w:abstractNum w:abstractNumId="94">
    <w:nsid w:val="5B25ACE2"/>
    <w:multiLevelType w:val="hybridMultilevel"/>
    <w:lvl w:ilvl="0">
      <w:lvlJc w:val="left"/>
      <w:lvlText w:val="(%1)"/>
      <w:numFmt w:val="lowerLetter"/>
      <w:start w:val="1"/>
    </w:lvl>
  </w:abstractNum>
  <w:abstractNum w:abstractNumId="95">
    <w:nsid w:val="175DFCF0"/>
    <w:multiLevelType w:val="hybridMultilevel"/>
    <w:lvl w:ilvl="0">
      <w:lvlJc w:val="left"/>
      <w:lvlText w:val="(%1)"/>
      <w:numFmt w:val="upperLetter"/>
      <w:start w:val="1"/>
    </w:lvl>
  </w:abstractNum>
  <w:abstractNum w:abstractNumId="96">
    <w:nsid w:val="4F97E3E4"/>
    <w:multiLevelType w:val="hybridMultilevel"/>
    <w:lvl w:ilvl="0">
      <w:lvlJc w:val="left"/>
      <w:lvlText w:val="%1"/>
      <w:numFmt w:val="decimal"/>
      <w:start w:val="1"/>
    </w:lvl>
    <w:lvl w:ilvl="1">
      <w:lvlJc w:val="left"/>
      <w:lvlText w:val="(%2)"/>
      <w:numFmt w:val="lowerLetter"/>
      <w:start w:val="3"/>
    </w:lvl>
  </w:abstractNum>
  <w:abstractNum w:abstractNumId="97">
    <w:nsid w:val="53B0A9E"/>
    <w:multiLevelType w:val="hybridMultilevel"/>
    <w:lvl w:ilvl="0">
      <w:lvlJc w:val="left"/>
      <w:lvlText w:val="%1."/>
      <w:numFmt w:val="decimal"/>
      <w:start w:val="4"/>
    </w:lvl>
    <w:lvl w:ilvl="1">
      <w:lvlJc w:val="left"/>
      <w:lvlText w:val="(%2)"/>
      <w:numFmt w:val="lowerLetter"/>
      <w:start w:val="4"/>
    </w:lvl>
  </w:abstractNum>
  <w:abstractNum w:abstractNumId="98">
    <w:nsid w:val="34FD6B4F"/>
    <w:multiLevelType w:val="hybridMultilevel"/>
    <w:lvl w:ilvl="0">
      <w:lvlJc w:val="left"/>
      <w:lvlText w:val="%1"/>
      <w:numFmt w:val="decimal"/>
      <w:start w:val="1"/>
    </w:lvl>
    <w:lvl w:ilvl="1">
      <w:lvlJc w:val="left"/>
      <w:lvlText w:val="(%2)"/>
      <w:numFmt w:val="lowerLetter"/>
      <w:start w:val="6"/>
    </w:lvl>
  </w:abstractNum>
  <w:abstractNum w:abstractNumId="99">
    <w:nsid w:val="5915FF32"/>
    <w:multiLevelType w:val="hybridMultilevel"/>
    <w:lvl w:ilvl="0">
      <w:lvlJc w:val="left"/>
      <w:lvlText w:val="%1."/>
      <w:numFmt w:val="decimal"/>
      <w:start w:val="5"/>
    </w:lvl>
    <w:lvl w:ilvl="1">
      <w:lvlJc w:val="left"/>
      <w:lvlText w:val="%2"/>
      <w:numFmt w:val="lowerLetter"/>
      <w:start w:val="1"/>
    </w:lvl>
  </w:abstractNum>
  <w:abstractNum w:abstractNumId="100">
    <w:nsid w:val="56438D15"/>
    <w:multiLevelType w:val="hybridMultilevel"/>
    <w:lvl w:ilvl="0">
      <w:lvlJc w:val="left"/>
      <w:lvlText w:val="%1."/>
      <w:numFmt w:val="decimal"/>
      <w:start w:val="10"/>
    </w:lvl>
    <w:lvl w:ilvl="1">
      <w:lvlJc w:val="left"/>
      <w:lvlText w:val="(%2)"/>
      <w:numFmt w:val="lowerLetter"/>
      <w:start w:val="7"/>
    </w:lvl>
  </w:abstractNum>
  <w:abstractNum w:abstractNumId="101">
    <w:nsid w:val="519E3149"/>
    <w:multiLevelType w:val="hybridMultilevel"/>
    <w:lvl w:ilvl="0">
      <w:lvlJc w:val="left"/>
      <w:lvlText w:val="%1."/>
      <w:numFmt w:val="decimal"/>
      <w:start w:val="15"/>
    </w:lvl>
  </w:abstractNum>
  <w:abstractNum w:abstractNumId="102">
    <w:nsid w:val="2C6E4AFD"/>
    <w:multiLevelType w:val="hybridMultilevel"/>
    <w:lvl w:ilvl="0">
      <w:lvlJc w:val="left"/>
      <w:lvlText w:val="%1."/>
      <w:numFmt w:val="decimal"/>
      <w:start w:val="19"/>
    </w:lvl>
  </w:abstractNum>
  <w:abstractNum w:abstractNumId="103">
    <w:nsid w:val="17A1B582"/>
    <w:multiLevelType w:val="hybridMultilevel"/>
    <w:lvl w:ilvl="0">
      <w:lvlJc w:val="left"/>
      <w:lvlText w:val="(%1)"/>
      <w:numFmt w:val="lowerRoman"/>
      <w:start w:val="1"/>
    </w:lvl>
  </w:abstractNum>
  <w:abstractNum w:abstractNumId="104">
    <w:nsid w:val="4DF72E4E"/>
    <w:multiLevelType w:val="hybridMultilevel"/>
    <w:lvl w:ilvl="0">
      <w:lvlJc w:val="left"/>
      <w:lvlText w:val="(%1)"/>
      <w:numFmt w:val="lowerRoman"/>
      <w:start w:val="1"/>
    </w:lvl>
  </w:abstractNum>
  <w:abstractNum w:abstractNumId="105">
    <w:nsid w:val="5046B5A9"/>
    <w:multiLevelType w:val="hybridMultilevel"/>
    <w:lvl w:ilvl="0">
      <w:lvlJc w:val="left"/>
      <w:lvlText w:val="(%1)"/>
      <w:numFmt w:val="lowerLetter"/>
      <w:start w:val="10"/>
    </w:lvl>
    <w:lvl w:ilvl="1">
      <w:lvlJc w:val="left"/>
      <w:lvlText w:val="(%2)"/>
      <w:numFmt w:val="lowerRoman"/>
      <w:start w:val="1"/>
    </w:lvl>
  </w:abstractNum>
  <w:abstractNum w:abstractNumId="106">
    <w:nsid w:val="5D888A08"/>
    <w:multiLevelType w:val="hybridMultilevel"/>
    <w:lvl w:ilvl="0">
      <w:lvlJc w:val="left"/>
      <w:lvlText w:val="(%1)"/>
      <w:numFmt w:val="lowerRoman"/>
      <w:start w:val="3"/>
    </w:lvl>
  </w:abstractNum>
  <w:abstractNum w:abstractNumId="107">
    <w:nsid w:val="2A082C70"/>
    <w:multiLevelType w:val="hybridMultilevel"/>
    <w:lvl w:ilvl="0">
      <w:lvlJc w:val="left"/>
      <w:lvlText w:val="1"/>
      <w:numFmt w:val="bullet"/>
      <w:start w:val="1"/>
    </w:lvl>
  </w:abstractNum>
  <w:abstractNum w:abstractNumId="108">
    <w:nsid w:val="5EC6AFD4"/>
    <w:multiLevelType w:val="hybridMultilevel"/>
    <w:lvl w:ilvl="0">
      <w:lvlJc w:val="left"/>
      <w:lvlText w:val="(%1)"/>
      <w:numFmt w:val="lowerLetter"/>
      <w:start w:val="11"/>
    </w:lvl>
  </w:abstractNum>
  <w:abstractNum w:abstractNumId="109">
    <w:nsid w:val="19E21BB2"/>
    <w:multiLevelType w:val="hybridMultilevel"/>
    <w:lvl w:ilvl="0">
      <w:lvlJc w:val="left"/>
      <w:lvlText w:val="%1."/>
      <w:numFmt w:val="decimal"/>
      <w:start w:val="1"/>
    </w:lvl>
  </w:abstractNum>
  <w:abstractNum w:abstractNumId="110">
    <w:nsid w:val="75E0858A"/>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4)"/>
      <w:numFmt w:val="lowerLetter"/>
      <w:start w:val="3"/>
    </w:lvl>
    <w:lvl w:ilvl="4">
      <w:lvlJc w:val="left"/>
      <w:lvlText w:val="(%5)"/>
      <w:numFmt w:val="lowerRoman"/>
      <w:start w:val="1"/>
    </w:lvl>
  </w:abstractNum>
  <w:abstractNum w:abstractNumId="111">
    <w:nsid w:val="57A61A29"/>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lvl w:ilvl="3">
      <w:lvlJc w:val="left"/>
      <w:lvlText w:val="(%4)"/>
      <w:numFmt w:val="lowerLetter"/>
      <w:start w:val="61"/>
    </w:lvl>
  </w:abstractNum>
  <w:abstractNum w:abstractNumId="112">
    <w:nsid w:val="5399C654"/>
    <w:multiLevelType w:val="hybridMultilevel"/>
    <w:lvl w:ilvl="0">
      <w:lvlJc w:val="left"/>
      <w:lvlText w:val="(%1)"/>
      <w:numFmt w:val="lowerLetter"/>
      <w:start w:val="3"/>
    </w:lvl>
    <w:lvl w:ilvl="1">
      <w:lvlJc w:val="left"/>
      <w:lvlText w:val="(%2)"/>
      <w:numFmt w:val="lowerRoman"/>
      <w:start w:val="5"/>
    </w:lvl>
    <w:lvl w:ilvl="2">
      <w:lvlJc w:val="left"/>
      <w:lvlText w:val="%3"/>
      <w:numFmt w:val="lowerRoman"/>
      <w:start w:val="1"/>
    </w:lvl>
    <w:lvl w:ilvl="3">
      <w:lvlJc w:val="left"/>
      <w:lvlText w:val="%4"/>
      <w:numFmt w:val="lowerLetter"/>
      <w:start w:val="1"/>
    </w:lvl>
  </w:abstractNum>
  <w:abstractNum w:abstractNumId="113">
    <w:nsid w:val="20EE1348"/>
    <w:multiLevelType w:val="hybridMultilevel"/>
    <w:lvl w:ilvl="0">
      <w:lvlJc w:val="left"/>
      <w:lvlText w:val="(%1)"/>
      <w:numFmt w:val="lowerLetter"/>
      <w:start w:val="4"/>
    </w:lvl>
  </w:abstractNum>
  <w:abstractNum w:abstractNumId="114">
    <w:nsid w:val="4427069A"/>
    <w:multiLevelType w:val="hybridMultilevel"/>
    <w:lvl w:ilvl="0">
      <w:lvlJc w:val="left"/>
      <w:lvlText w:val="%1."/>
      <w:numFmt w:val="decimal"/>
      <w:start w:val="4"/>
    </w:lvl>
    <w:lvl w:ilvl="1">
      <w:lvlJc w:val="left"/>
      <w:lvlText w:val="(%2)"/>
      <w:numFmt w:val="lowerLetter"/>
      <w:start w:val="6"/>
    </w:lvl>
  </w:abstractNum>
  <w:abstractNum w:abstractNumId="115">
    <w:nsid w:val="B37E80A"/>
    <w:multiLevelType w:val="hybridMultilevel"/>
    <w:lvl w:ilvl="0">
      <w:lvlJc w:val="left"/>
      <w:lvlText w:val="%1."/>
      <w:numFmt w:val="decimal"/>
      <w:start w:val="7"/>
    </w:lvl>
    <w:lvl w:ilvl="1">
      <w:lvlJc w:val="left"/>
      <w:lvlText w:val="(%2)"/>
      <w:numFmt w:val="lowerLetter"/>
      <w:start w:val="9"/>
    </w:lvl>
  </w:abstractNum>
  <w:abstractNum w:abstractNumId="116">
    <w:nsid w:val="2157F6BC"/>
    <w:multiLevelType w:val="hybridMultilevel"/>
    <w:lvl w:ilvl="0">
      <w:lvlJc w:val="left"/>
      <w:lvlText w:val="%1."/>
      <w:numFmt w:val="decimal"/>
      <w:start w:val="15"/>
    </w:lvl>
  </w:abstractNum>
  <w:abstractNum w:abstractNumId="117">
    <w:nsid w:val="704E1DD5"/>
    <w:multiLevelType w:val="hybridMultilevel"/>
    <w:lvl w:ilvl="0">
      <w:lvlJc w:val="left"/>
      <w:lvlText w:val="(%1)"/>
      <w:numFmt w:val="lowerLetter"/>
      <w:start w:val="1"/>
    </w:lvl>
    <w:lvl w:ilvl="1">
      <w:lvlJc w:val="left"/>
      <w:lvlText w:val="(%2)"/>
      <w:numFmt w:val="lowerLetter"/>
    </w:lvl>
    <w:lvl w:ilvl="2">
      <w:lvlJc w:val="left"/>
      <w:lvlText w:val="(%3)"/>
      <w:numFmt w:val="lowerLetter"/>
      <w:start w:val="60"/>
    </w:lvl>
    <w:lvl w:ilvl="3">
      <w:lvlJc w:val="left"/>
      <w:lvlText w:val="(%4)"/>
      <w:numFmt w:val="lowerRoman"/>
      <w:start w:val="1"/>
    </w:lvl>
  </w:abstractNum>
  <w:abstractNum w:abstractNumId="118">
    <w:nsid w:val="57D2F10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Roman"/>
      <w:start w:val="4"/>
    </w:lvl>
  </w:abstractNum>
  <w:abstractNum w:abstractNumId="119">
    <w:nsid w:val="BFFAE18"/>
    <w:multiLevelType w:val="hybridMultilevel"/>
    <w:lvl w:ilvl="0">
      <w:lvlJc w:val="left"/>
      <w:lvlText w:val="1"/>
      <w:numFmt w:val="bullet"/>
      <w:start w:val="1"/>
    </w:lvl>
  </w:abstractNum>
  <w:abstractNum w:abstractNumId="120">
    <w:nsid w:val="E3E47A8"/>
    <w:multiLevelType w:val="hybridMultilevel"/>
    <w:lvl w:ilvl="0">
      <w:lvlJc w:val="left"/>
      <w:lvlText w:val="(%1)"/>
      <w:numFmt w:val="lowerLetter"/>
      <w:start w:val="2"/>
    </w:lvl>
  </w:abstractNum>
  <w:abstractNum w:abstractNumId="121">
    <w:nsid w:val="2E48F04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2">
    <w:nsid w:val="49D0FEAC"/>
    <w:multiLevelType w:val="hybridMultilevel"/>
    <w:lvl w:ilvl="0">
      <w:lvlJc w:val="left"/>
      <w:lvlText w:val="(%1)"/>
      <w:numFmt w:val="lowerRoman"/>
      <w:start w:val="1"/>
    </w:lvl>
  </w:abstractNum>
  <w:abstractNum w:abstractNumId="123">
    <w:nsid w:val="4BEE5A5B"/>
    <w:multiLevelType w:val="hybridMultilevel"/>
    <w:lvl w:ilvl="0">
      <w:lvlJc w:val="left"/>
      <w:lvlText w:val="%1"/>
      <w:numFmt w:val="lowerLetter"/>
      <w:start w:val="1"/>
    </w:lvl>
    <w:lvl w:ilvl="1">
      <w:lvlJc w:val="left"/>
      <w:lvlText w:val="(%2)"/>
      <w:numFmt w:val="lowerLetter"/>
      <w:start w:val="1"/>
    </w:lvl>
  </w:abstractNum>
  <w:abstractNum w:abstractNumId="124">
    <w:nsid w:val="5551B9F3"/>
    <w:multiLevelType w:val="hybridMultilevel"/>
    <w:lvl w:ilvl="0">
      <w:lvlJc w:val="left"/>
      <w:lvlText w:val="(%1)"/>
      <w:numFmt w:val="lowerLetter"/>
      <w:start w:val="2"/>
    </w:lvl>
    <w:lvl w:ilvl="1">
      <w:lvlJc w:val="left"/>
      <w:lvlText w:val="%2"/>
      <w:numFmt w:val="lowerLetter"/>
      <w:start w:val="1"/>
    </w:lvl>
  </w:abstractNum>
  <w:abstractNum w:abstractNumId="125">
    <w:nsid w:val="24F6AB8E"/>
    <w:multiLevelType w:val="hybridMultilevel"/>
    <w:lvl w:ilvl="0">
      <w:lvlJc w:val="left"/>
      <w:lvlText w:val="%1."/>
      <w:numFmt w:val="decimal"/>
      <w:start w:val="3"/>
    </w:lvl>
  </w:abstractNum>
  <w:abstractNum w:abstractNumId="126">
    <w:nsid w:val="634C574C"/>
    <w:multiLevelType w:val="hybridMultilevel"/>
    <w:lvl w:ilvl="0">
      <w:lvlJc w:val="left"/>
      <w:lvlText w:val="%1."/>
      <w:numFmt w:val="decimal"/>
      <w:start w:val="9"/>
    </w:lvl>
    <w:lvl w:ilvl="1">
      <w:lvlJc w:val="left"/>
      <w:lvlText w:val="(%2)"/>
      <w:numFmt w:val="lowerLetter"/>
      <w:start w:val="1"/>
    </w:lvl>
  </w:abstractNum>
  <w:abstractNum w:abstractNumId="127">
    <w:nsid w:val="24E99DD7"/>
    <w:multiLevelType w:val="hybridMultilevel"/>
    <w:lvl w:ilvl="0">
      <w:lvlJc w:val="left"/>
      <w:lvlText w:val="%1."/>
      <w:numFmt w:val="decimal"/>
      <w:start w:val="14"/>
    </w:lvl>
  </w:abstractNum>
  <w:abstractNum w:abstractNumId="128">
    <w:nsid w:val="2A31B62D"/>
    <w:multiLevelType w:val="hybridMultilevel"/>
    <w:lvl w:ilvl="0">
      <w:lvlJc w:val="left"/>
      <w:lvlText w:val="%1."/>
      <w:numFmt w:val="decimal"/>
      <w:start w:val="18"/>
    </w:lvl>
  </w:abstractNum>
  <w:abstractNum w:abstractNumId="129">
    <w:nsid w:val="1849C29B"/>
    <w:multiLevelType w:val="hybridMultilevel"/>
    <w:lvl w:ilvl="0">
      <w:lvlJc w:val="left"/>
      <w:lvlText w:val="(%1)"/>
      <w:numFmt w:val="lowerLetter"/>
      <w:start w:val="3"/>
    </w:lvl>
  </w:abstractNum>
  <w:abstractNum w:abstractNumId="130">
    <w:nsid w:val="7DFF9D09"/>
    <w:multiLevelType w:val="hybridMultilevel"/>
    <w:lvl w:ilvl="0">
      <w:lvlJc w:val="left"/>
      <w:lvlText w:val="(%1)"/>
      <w:numFmt w:val="lowerRoman"/>
      <w:start w:val="1"/>
    </w:lvl>
  </w:abstractNum>
  <w:abstractNum w:abstractNumId="131">
    <w:nsid w:val="754342"/>
    <w:multiLevelType w:val="hybridMultilevel"/>
    <w:lvl w:ilvl="0">
      <w:lvlJc w:val="left"/>
      <w:lvlText w:val="(%1)"/>
      <w:numFmt w:val="lowerLetter"/>
      <w:start w:val="4"/>
    </w:lvl>
  </w:abstractNum>
  <w:abstractNum w:abstractNumId="132">
    <w:nsid w:val="69E7F3E5"/>
    <w:multiLevelType w:val="hybridMultilevel"/>
    <w:lvl w:ilvl="0">
      <w:lvlJc w:val="left"/>
      <w:lvlText w:val="(%1)"/>
      <w:numFmt w:val="lowerLetter"/>
      <w:start w:val="1"/>
    </w:lvl>
  </w:abstractNum>
  <w:abstractNum w:abstractNumId="133">
    <w:nsid w:val="2A6DE806"/>
    <w:multiLevelType w:val="hybridMultilevel"/>
    <w:lvl w:ilvl="0">
      <w:lvlJc w:val="left"/>
      <w:lvlText w:val="(%1)"/>
      <w:numFmt w:val="lowerLetter"/>
      <w:start w:val="3"/>
    </w:lvl>
  </w:abstractNum>
  <w:abstractNum w:abstractNumId="134">
    <w:nsid w:val="1816F8C4"/>
    <w:multiLevelType w:val="hybridMultilevel"/>
    <w:lvl w:ilvl="0">
      <w:lvlJc w:val="left"/>
      <w:lvlText w:val="%1"/>
      <w:numFmt w:val="lowerLetter"/>
      <w:start w:val="1"/>
    </w:lvl>
    <w:lvl w:ilvl="1">
      <w:lvlJc w:val="left"/>
      <w:lvlText w:val="(%2)"/>
      <w:numFmt w:val="lowerLetter"/>
      <w:start w:val="5"/>
    </w:lvl>
  </w:abstractNum>
  <w:abstractNum w:abstractNumId="135">
    <w:nsid w:val="37DF2233"/>
    <w:multiLevelType w:val="hybridMultilevel"/>
    <w:lvl w:ilvl="0">
      <w:lvlJc w:val="left"/>
      <w:lvlText w:val="(%1)"/>
      <w:numFmt w:val="lowerLetter"/>
      <w:start w:val="35"/>
    </w:lvl>
    <w:lvl w:ilvl="1">
      <w:lvlJc w:val="left"/>
      <w:lvlText w:val="(%2)"/>
      <w:numFmt w:val="lowerLetter"/>
      <w:start w:val="6"/>
    </w:lvl>
  </w:abstractNum>
  <w:abstractNum w:abstractNumId="136">
    <w:nsid w:val="7AB49DAF"/>
    <w:multiLevelType w:val="hybridMultilevel"/>
    <w:lvl w:ilvl="0">
      <w:lvlJc w:val="left"/>
      <w:lvlText w:val="(%1)"/>
      <w:numFmt w:val="lowerRoman"/>
      <w:start w:val="3"/>
    </w:lvl>
  </w:abstractNum>
  <w:abstractNum w:abstractNumId="137">
    <w:nsid w:val="759F82CD"/>
    <w:multiLevelType w:val="hybridMultilevel"/>
    <w:lvl w:ilvl="0">
      <w:lvlJc w:val="left"/>
      <w:lvlText w:val="(%1)"/>
      <w:numFmt w:val="lowerLetter"/>
      <w:start w:val="1"/>
    </w:lvl>
  </w:abstractNum>
  <w:abstractNum w:abstractNumId="138">
    <w:nsid w:val="61E74EA3"/>
    <w:multiLevelType w:val="hybridMultilevel"/>
    <w:lvl w:ilvl="0">
      <w:lvlJc w:val="left"/>
      <w:lvlText w:val="(%1)"/>
      <w:numFmt w:val="lowerLetter"/>
      <w:start w:val="1"/>
    </w:lvl>
  </w:abstractNum>
  <w:abstractNum w:abstractNumId="139">
    <w:nsid w:val="597B4D84"/>
    <w:multiLevelType w:val="hybridMultilevel"/>
    <w:lvl w:ilvl="0">
      <w:lvlJc w:val="left"/>
      <w:lvlText w:val="(%1)"/>
      <w:numFmt w:val="lowerRoman"/>
      <w:start w:val="1"/>
    </w:lvl>
  </w:abstractNum>
  <w:abstractNum w:abstractNumId="140">
    <w:nsid w:val="F819E7F"/>
    <w:multiLevelType w:val="hybridMultilevel"/>
    <w:lvl w:ilvl="0">
      <w:lvlJc w:val="left"/>
      <w:lvlText w:val="(%1)"/>
      <w:numFmt w:val="lowerLetter"/>
      <w:start w:val="1"/>
    </w:lvl>
    <w:lvl w:ilvl="1">
      <w:lvlJc w:val="left"/>
      <w:lvlText w:val="(%2)"/>
      <w:numFmt w:val="lowerRoman"/>
      <w:start w:val="4"/>
    </w:lvl>
  </w:abstractNum>
  <w:abstractNum w:abstractNumId="141">
    <w:nsid w:val="57C7D42D"/>
    <w:multiLevelType w:val="hybridMultilevel"/>
    <w:lvl w:ilvl="0">
      <w:lvlJc w:val="left"/>
      <w:lvlText w:val="1"/>
      <w:numFmt w:val="bullet"/>
      <w:start w:val="1"/>
    </w:lvl>
  </w:abstractNum>
  <w:abstractNum w:abstractNumId="142">
    <w:nsid w:val="312167AD"/>
    <w:multiLevelType w:val="hybridMultilevel"/>
    <w:lvl w:ilvl="0">
      <w:lvlJc w:val="left"/>
      <w:lvlText w:val="(%1)"/>
      <w:numFmt w:val="lowerLetter"/>
      <w:start w:val="2"/>
    </w:lvl>
  </w:abstractNum>
  <w:abstractNum w:abstractNumId="143">
    <w:nsid w:val="631B64D4"/>
    <w:multiLevelType w:val="hybridMultilevel"/>
    <w:lvl w:ilvl="0">
      <w:lvlJc w:val="left"/>
      <w:lvlText w:val="(%1)"/>
      <w:numFmt w:val="lowerLetter"/>
      <w:start w:val="3"/>
    </w:lvl>
  </w:abstractNum>
  <w:abstractNum w:abstractNumId="144">
    <w:nsid w:val="78B5E776"/>
    <w:multiLevelType w:val="hybridMultilevel"/>
    <w:lvl w:ilvl="0">
      <w:lvlJc w:val="left"/>
      <w:lvlText w:val="(%1)"/>
      <w:numFmt w:val="lowerLetter"/>
      <w:start w:val="5"/>
    </w:lvl>
  </w:abstractNum>
  <w:abstractNum w:abstractNumId="145">
    <w:nsid w:val="75486E47"/>
    <w:multiLevelType w:val="hybridMultilevel"/>
    <w:lvl w:ilvl="0">
      <w:lvlJc w:val="left"/>
      <w:lvlText w:val="(%1)"/>
      <w:numFmt w:val="lowerRoman"/>
      <w:start w:val="1"/>
    </w:lvl>
  </w:abstractNum>
  <w:abstractNum w:abstractNumId="146">
    <w:nsid w:val="6E534CDE"/>
    <w:multiLevelType w:val="hybridMultilevel"/>
    <w:lvl w:ilvl="0">
      <w:lvlJc w:val="left"/>
      <w:lvlText w:val="(%1)"/>
      <w:numFmt w:val="decimal"/>
      <w:start w:val="20"/>
    </w:lvl>
  </w:abstractNum>
  <w:abstractNum w:abstractNumId="147">
    <w:nsid w:val="1A0DDE32"/>
    <w:multiLevelType w:val="hybridMultilevel"/>
    <w:lvl w:ilvl="0">
      <w:lvlJc w:val="left"/>
      <w:lvlText w:val="%1."/>
      <w:numFmt w:val="decimal"/>
      <w:start w:val="1"/>
    </w:lvl>
    <w:lvl w:ilvl="1">
      <w:lvlJc w:val="left"/>
      <w:lvlText w:val="%2."/>
      <w:numFmt w:val="lowerLetter"/>
      <w:start w:val="1"/>
    </w:lvl>
  </w:abstractNum>
  <w:abstractNum w:abstractNumId="148">
    <w:nsid w:val="65968C1C"/>
    <w:multiLevelType w:val="hybridMultilevel"/>
    <w:lvl w:ilvl="0">
      <w:lvlJc w:val="left"/>
      <w:lvlText w:val="%1."/>
      <w:numFmt w:val="decimal"/>
      <w:start w:val="1"/>
    </w:lvl>
    <w:lvl w:ilvl="1">
      <w:lvlJc w:val="left"/>
      <w:lvlText w:val="%2."/>
      <w:numFmt w:val="lowerLetter"/>
      <w:start w:val="1"/>
    </w:lvl>
  </w:abstractNum>
  <w:abstractNum w:abstractNumId="149">
    <w:nsid w:val="46263D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6" Type="http://schemas.openxmlformats.org/officeDocument/2006/relationships/image" Target="media/image128.png"/><Relationship Id="rId150" Type="http://schemas.openxmlformats.org/officeDocument/2006/relationships/image" Target="media/image129.png"/><Relationship Id="rId156" Type="http://schemas.openxmlformats.org/officeDocument/2006/relationships/image" Target="media/image130.png"/><Relationship Id="rId162" Type="http://schemas.openxmlformats.org/officeDocument/2006/relationships/image" Target="media/image131.png"/><Relationship Id="rId176" Type="http://schemas.openxmlformats.org/officeDocument/2006/relationships/image" Target="media/image132.png"/><Relationship Id="rId198" Type="http://schemas.openxmlformats.org/officeDocument/2006/relationships/image" Target="media/image133.png"/><Relationship Id="rId220" Type="http://schemas.openxmlformats.org/officeDocument/2006/relationships/image" Target="media/image134.png"/><Relationship Id="rId241" Type="http://schemas.openxmlformats.org/officeDocument/2006/relationships/image" Target="media/image135.png"/><Relationship Id="rId244" Type="http://schemas.openxmlformats.org/officeDocument/2006/relationships/image" Target="media/image136.png"/><Relationship Id="rId245" Type="http://schemas.openxmlformats.org/officeDocument/2006/relationships/image" Target="media/image137.png"/><Relationship Id="rId246" Type="http://schemas.openxmlformats.org/officeDocument/2006/relationships/image" Target="media/image138.png"/><Relationship Id="rId247" Type="http://schemas.openxmlformats.org/officeDocument/2006/relationships/image" Target="media/image139.png"/><Relationship Id="rId248" Type="http://schemas.openxmlformats.org/officeDocument/2006/relationships/image" Target="media/image140.png"/><Relationship Id="rId249" Type="http://schemas.openxmlformats.org/officeDocument/2006/relationships/image" Target="media/image141.png"/><Relationship Id="rId250" Type="http://schemas.openxmlformats.org/officeDocument/2006/relationships/image" Target="media/image142.png"/><Relationship Id="rId251" Type="http://schemas.openxmlformats.org/officeDocument/2006/relationships/image" Target="media/image143.png"/><Relationship Id="rId252" Type="http://schemas.openxmlformats.org/officeDocument/2006/relationships/image" Target="media/image144.png"/><Relationship Id="rId253" Type="http://schemas.openxmlformats.org/officeDocument/2006/relationships/image" Target="media/image145.png"/><Relationship Id="rId254" Type="http://schemas.openxmlformats.org/officeDocument/2006/relationships/image" Target="media/image146.png"/><Relationship Id="rId135" Type="http://schemas.openxmlformats.org/officeDocument/2006/relationships/hyperlink" Target="http://www.sec.gov/Archives/edgar/data/1584509/000119312517310359/d472680dex21.htm" TargetMode="External"/><Relationship Id="rId137" Type="http://schemas.openxmlformats.org/officeDocument/2006/relationships/hyperlink" Target="http://www.sec.gov/Archives/edgar/data/1584509/000119312517310359/d472680dex22.htm" TargetMode="External"/><Relationship Id="rId138" Type="http://schemas.openxmlformats.org/officeDocument/2006/relationships/hyperlink" Target="http://www.sec.gov/Archives/edgar/data/1584509/000158450920000014/secondamendedandrestat.htm" TargetMode="External"/><Relationship Id="rId139" Type="http://schemas.openxmlformats.org/officeDocument/2006/relationships/hyperlink" Target="http://www.sec.gov/Archives/edgar/data/1584509/000119312514201307/d728418dex31.htm" TargetMode="External"/><Relationship Id="rId140" Type="http://schemas.openxmlformats.org/officeDocument/2006/relationships/hyperlink" Target="http://www.sec.gov/Archives/edgar/data/1584509/000158450920000276/ex31amendedandrestatedby-l.htm" TargetMode="External"/><Relationship Id="rId141" Type="http://schemas.openxmlformats.org/officeDocument/2006/relationships/hyperlink" Target="http://www.sec.gov/Archives/edgar/data/1584509/000119312517099980/d363392dex41.htm" TargetMode="External"/><Relationship Id="rId142" Type="http://schemas.openxmlformats.org/officeDocument/2006/relationships/hyperlink" Target="http://www.sec.gov/Archives/edgar/data/1584509/000119312517099980/d363392dex42.htm" TargetMode="External"/><Relationship Id="rId143" Type="http://schemas.openxmlformats.org/officeDocument/2006/relationships/hyperlink" Target="http://www.sec.gov/Archives/edgar/data/1584509/000158450918000013/ex41.htm" TargetMode="External"/><Relationship Id="rId144" Type="http://schemas.openxmlformats.org/officeDocument/2006/relationships/hyperlink" Target="http://www.sec.gov/Archives/edgar/data/1584509/000119312520121405/d917057dex41.htm" TargetMode="External"/><Relationship Id="rId145" Type="http://schemas.openxmlformats.org/officeDocument/2006/relationships/hyperlink" Target="http://www.sec.gov/Archives/edgar/data/1584509/000158450921000111/ex41q22021-supplementalind.htm" TargetMode="External"/><Relationship Id="rId146" Type="http://schemas.openxmlformats.org/officeDocument/2006/relationships/hyperlink" Target="http://www.sec.gov/Archives/edgar/data/1584509/000158450921000111/ex42q22021-supplementalind.htm" TargetMode="External"/><Relationship Id="rId147" Type="http://schemas.openxmlformats.org/officeDocument/2006/relationships/hyperlink" Target="http://www.sec.gov/Archives/edgar/data/1584509/000158450921000111/ex43q22021-supplementalind.htm" TargetMode="External"/><Relationship Id="rId148" Type="http://schemas.openxmlformats.org/officeDocument/2006/relationships/hyperlink" Target="http://www.sec.gov/Archives/edgar/data/1584509/000158450921000111/ex45q22021-supplementalind.htm" TargetMode="External"/><Relationship Id="rId149" Type="http://schemas.openxmlformats.org/officeDocument/2006/relationships/hyperlink" Target="http://www.sec.gov/Archives/edgar/data/1584509/000158450920000230/ex462020xdescriptionof.htm" TargetMode="External"/><Relationship Id="rId151" Type="http://schemas.openxmlformats.org/officeDocument/2006/relationships/hyperlink" Target="http://www.sec.gov/Archives/edgar/data/1584509/000119312517101789/d367212dex101.htm" TargetMode="External"/><Relationship Id="rId152" Type="http://schemas.openxmlformats.org/officeDocument/2006/relationships/hyperlink" Target="http://www.sec.gov/Archives/edgar/data/1584509/000119312517294599/d423386dex101.htm" TargetMode="External"/><Relationship Id="rId153" Type="http://schemas.openxmlformats.org/officeDocument/2006/relationships/hyperlink" Target="http://www.sec.gov/Archives/edgar/data/1584509/000119312517366828/d510705dex101.htm" TargetMode="External"/><Relationship Id="rId154" Type="http://schemas.openxmlformats.org/officeDocument/2006/relationships/hyperlink" Target="http://www.sec.gov/Archives/edgar/data/1584509/000158450918000095/ex101q22018.htm" TargetMode="External"/><Relationship Id="rId155" Type="http://schemas.openxmlformats.org/officeDocument/2006/relationships/hyperlink" Target="http://www.sec.gov/Archives/edgar/data/1584509/000158450918000151/ex101-amendedcreditagreeme.htm" TargetMode="External"/><Relationship Id="rId157" Type="http://schemas.openxmlformats.org/officeDocument/2006/relationships/hyperlink" Target="http://www.sec.gov/Archives/edgar/data/1584509/000158450918000099/ex101-amendedcreditagreeme.htm" TargetMode="External"/><Relationship Id="rId158" Type="http://schemas.openxmlformats.org/officeDocument/2006/relationships/hyperlink" Target="http://www.sec.gov/Archives/edgar/data/1584509/000158450918000135/ex101-amendedcreditagreeme.htm" TargetMode="External"/><Relationship Id="rId159" Type="http://schemas.openxmlformats.org/officeDocument/2006/relationships/hyperlink" Target="http://www.sec.gov/Archives/edgar/data/1584509/000158450918000186/aramarkamendmentno7.htm" TargetMode="External"/><Relationship Id="rId160" Type="http://schemas.openxmlformats.org/officeDocument/2006/relationships/hyperlink" Target="http://www.sec.gov/Archives/edgar/data/1584509/000158450920000012/a8kexhibit.htm" TargetMode="External"/><Relationship Id="rId161" Type="http://schemas.openxmlformats.org/officeDocument/2006/relationships/hyperlink" Target="http://www.sec.gov/Archives/edgar/data/1584509/000119312520121405/d917057dex101.htm" TargetMode="External"/><Relationship Id="rId163" Type="http://schemas.openxmlformats.org/officeDocument/2006/relationships/hyperlink" Target="http://www.sec.gov/Archives/edgar/data/1584509/000158450920000230/ex1011aramark-amendmen.htm" TargetMode="External"/><Relationship Id="rId164" Type="http://schemas.openxmlformats.org/officeDocument/2006/relationships/hyperlink" Target="http://www.sec.gov/Archives/edgar/data/1584509/000158450921000169/ex101-amendmentno11tocredi.htm" TargetMode="External"/><Relationship Id="rId165" Type="http://schemas.openxmlformats.org/officeDocument/2006/relationships/hyperlink" Target="http://www.sec.gov/Archives/edgar/data/1584509/000158450917000099/ex102aramarksecurityagreem.htm" TargetMode="External"/><Relationship Id="rId166" Type="http://schemas.openxmlformats.org/officeDocument/2006/relationships/hyperlink" Target="http://www.sec.gov/Archives/edgar/data/1584509/000119312513474715/d644709dex102.htm" TargetMode="External"/><Relationship Id="rId167" Type="http://schemas.openxmlformats.org/officeDocument/2006/relationships/hyperlink" Target="http://www.sec.gov/Archives/edgar/data/7032/000119312507158115/dex101.htm" TargetMode="External"/><Relationship Id="rId168" Type="http://schemas.openxmlformats.org/officeDocument/2006/relationships/hyperlink" Target="http://www.sec.gov/Archives/edgar/data/7032/000119312508253626/dex108.htm" TargetMode="External"/><Relationship Id="rId169" Type="http://schemas.openxmlformats.org/officeDocument/2006/relationships/hyperlink" Target="http://www.sec.gov/Archives/edgar/data/1584509/000158450919000237/ex1021-harringtonoffer.htm" TargetMode="External"/><Relationship Id="rId170" Type="http://schemas.openxmlformats.org/officeDocument/2006/relationships/hyperlink" Target="http://www.sec.gov/Archives/edgar/data/1584509/000119312520194769/d881977dex105.htm" TargetMode="External"/><Relationship Id="rId171" Type="http://schemas.openxmlformats.org/officeDocument/2006/relationships/hyperlink" Target="http://www.sec.gov/Archives/edgar/data/1584509/000119312519263370/d815967dex102.htm" TargetMode="External"/><Relationship Id="rId172" Type="http://schemas.openxmlformats.org/officeDocument/2006/relationships/hyperlink" Target="http://www.sec.gov/Archives/edgar/data/1584509/000119312520194769/d881977dex101.htm" TargetMode="External"/><Relationship Id="rId173" Type="http://schemas.openxmlformats.org/officeDocument/2006/relationships/hyperlink" Target="http://www.sec.gov/Archives/edgar/data/1584509/000119312520001803/d831164dex102.htm" TargetMode="External"/><Relationship Id="rId174" Type="http://schemas.openxmlformats.org/officeDocument/2006/relationships/hyperlink" Target="http://www.sec.gov/Archives/edgar/data/1584509/000119312520194769/d881977dex102.htm" TargetMode="External"/><Relationship Id="rId175" Type="http://schemas.openxmlformats.org/officeDocument/2006/relationships/hyperlink" Target="http://www.sec.gov/Archives/edgar/data/1584509/000119312520194769/d881977dex103.htm" TargetMode="External"/><Relationship Id="rId177" Type="http://schemas.openxmlformats.org/officeDocument/2006/relationships/hyperlink" Target="http://www.sec.gov/Archives/edgar/data/1584509/000158450920000230/ex10292020xmarcbrunoof.htm" TargetMode="External"/><Relationship Id="rId178" Type="http://schemas.openxmlformats.org/officeDocument/2006/relationships/hyperlink" Target="https://www.sec.gov/Archives/edgar/data/1584509/000158450920000230/ex10302020xmarcbrunoar.htm" TargetMode="External"/><Relationship Id="rId179" Type="http://schemas.openxmlformats.org/officeDocument/2006/relationships/hyperlink" Target="http://www.sec.gov/Archives/edgar/data/1144528/000119312505163797/dex104.htm" TargetMode="External"/><Relationship Id="rId180" Type="http://schemas.openxmlformats.org/officeDocument/2006/relationships/hyperlink" Target="http://www.sec.gov/Archives/edgar/data/1584509/000158450917000247/ex1017formofindemnificatio.htm" TargetMode="External"/><Relationship Id="rId181" Type="http://schemas.openxmlformats.org/officeDocument/2006/relationships/hyperlink" Target="http://www.sec.gov/Archives/edgar/data/1584509/000158450919000237/ex1029-indemnification.htm" TargetMode="External"/><Relationship Id="rId182" Type="http://schemas.openxmlformats.org/officeDocument/2006/relationships/hyperlink" Target="http://www.sec.gov/Archives/edgar/data/1584509/000158450914000006/ex101indemnification-heinr.htm" TargetMode="External"/><Relationship Id="rId183" Type="http://schemas.openxmlformats.org/officeDocument/2006/relationships/hyperlink" Target="http://www.sec.gov/Archives/edgar/data/1584509/000158450914000006/ex102indemnification-sadove.htm" TargetMode="External"/><Relationship Id="rId184" Type="http://schemas.openxmlformats.org/officeDocument/2006/relationships/hyperlink" Target="http://www.sec.gov/Archives/edgar/data/1144528/000089375002000332/exh10-1.txt" TargetMode="External"/><Relationship Id="rId185" Type="http://schemas.openxmlformats.org/officeDocument/2006/relationships/hyperlink" Target="http://www.sec.gov/Archives/edgar/data/1144528/000119312503097387/dex1022.htm" TargetMode="External"/><Relationship Id="rId186" Type="http://schemas.openxmlformats.org/officeDocument/2006/relationships/hyperlink" Target="http://www.sec.gov/Archives/edgar/data/1584509/000119312513445875/d574424dex1045.htm" TargetMode="External"/><Relationship Id="rId187" Type="http://schemas.openxmlformats.org/officeDocument/2006/relationships/hyperlink" Target="http://www.sec.gov/Archives/edgar/data/1584509/000158450920000044/ex106q12020.htm" TargetMode="External"/><Relationship Id="rId188" Type="http://schemas.openxmlformats.org/officeDocument/2006/relationships/hyperlink" Target="http://www.sec.gov/Archives/edgar/data/7032/000119312507175629/dex105.htm" TargetMode="External"/><Relationship Id="rId189" Type="http://schemas.openxmlformats.org/officeDocument/2006/relationships/hyperlink" Target="http://www.sec.gov/Archives/edgar/data/1584509/000119312513445875/d574424dex1048.htm" TargetMode="External"/><Relationship Id="rId190" Type="http://schemas.openxmlformats.org/officeDocument/2006/relationships/hyperlink" Target="http://www.sec.gov/Archives/edgar/data/1584509/000158450916000312/ex102thirdamendedandrestat.htm" TargetMode="External"/><Relationship Id="rId191" Type="http://schemas.openxmlformats.org/officeDocument/2006/relationships/hyperlink" Target="http://www.sec.gov/Archives/edgar/data/1584509/000158450918000226/ex104010-k2018x2019amended.htm" TargetMode="External"/><Relationship Id="rId192" Type="http://schemas.openxmlformats.org/officeDocument/2006/relationships/hyperlink" Target="https://www.sec.gov/Archives/edgar/data/1584509/000158450921000256/ex10392021armkxamendedandr.htm" TargetMode="External"/><Relationship Id="rId193" Type="http://schemas.openxmlformats.org/officeDocument/2006/relationships/hyperlink" Target="http://www.sec.gov/Archives/edgar/data/1584509/000119312513360815/d574424dex1067.htm" TargetMode="External"/><Relationship Id="rId194" Type="http://schemas.openxmlformats.org/officeDocument/2006/relationships/hyperlink" Target="http://www.sec.gov/Archives/edgar/data/1584509/000119312513445875/d574424dex1022.htm" TargetMode="External"/><Relationship Id="rId195" Type="http://schemas.openxmlformats.org/officeDocument/2006/relationships/hyperlink" Target="http://www.sec.gov/Archives/edgar/data/1584509/000158450917000042/ex101aramarkamendedandrest.htm" TargetMode="External"/><Relationship Id="rId196" Type="http://schemas.openxmlformats.org/officeDocument/2006/relationships/hyperlink" Target="http://www.sec.gov/Archives/edgar/data/1584509/000119312519320893/d754382ddef14a.htm#toc754382_28" TargetMode="External"/><Relationship Id="rId197" Type="http://schemas.openxmlformats.org/officeDocument/2006/relationships/hyperlink" Target="http://www.sec.gov/Archives/edgar/data/1584509/000119312520326024/d51571ddef14a.htm#toc51571_27" TargetMode="External"/><Relationship Id="rId199" Type="http://schemas.openxmlformats.org/officeDocument/2006/relationships/hyperlink" Target="http://www.sec.gov/Archives/edgar/data/7032/000000703213000051/exhibit102.htm" TargetMode="External"/><Relationship Id="rId200" Type="http://schemas.openxmlformats.org/officeDocument/2006/relationships/hyperlink" Target="http://www.sec.gov/Archives/edgar/data/7032/000000703213000051/exhibit10-3.htm" TargetMode="External"/><Relationship Id="rId201" Type="http://schemas.openxmlformats.org/officeDocument/2006/relationships/hyperlink" Target="http://www.sec.gov/Archives/edgar/data/7032/000000703213000051/exhibit10-4.htm" TargetMode="External"/><Relationship Id="rId202" Type="http://schemas.openxmlformats.org/officeDocument/2006/relationships/hyperlink" Target="http://www.sec.gov/Archives/edgar/data/7032/000000703213000051/exhibit105.htm" TargetMode="External"/><Relationship Id="rId203" Type="http://schemas.openxmlformats.org/officeDocument/2006/relationships/hyperlink" Target="http://www.sec.gov/Archives/edgar/data/1584509/000119312513445875/d574424dex1068.htm" TargetMode="External"/><Relationship Id="rId204" Type="http://schemas.openxmlformats.org/officeDocument/2006/relationships/hyperlink" Target="http://www.sec.gov/Archives/edgar/data/1584509/000119312513445875/d574424dex1069.htm" TargetMode="External"/><Relationship Id="rId205" Type="http://schemas.openxmlformats.org/officeDocument/2006/relationships/hyperlink" Target="http://www.sec.gov/Archives/edgar/data/1584509/000119312513445875/d574424dex1071.htm" TargetMode="External"/><Relationship Id="rId206" Type="http://schemas.openxmlformats.org/officeDocument/2006/relationships/hyperlink" Target="http://www.sec.gov/Archives/edgar/data/1584509/000119312513445875/d574424dex1072.htm" TargetMode="External"/><Relationship Id="rId207" Type="http://schemas.openxmlformats.org/officeDocument/2006/relationships/hyperlink" Target="http://www.sec.gov/Archives/edgar/data/1584509/000158450914000006/ex104psuagreement.htm" TargetMode="External"/><Relationship Id="rId208" Type="http://schemas.openxmlformats.org/officeDocument/2006/relationships/hyperlink" Target="http://www.sec.gov/Archives/edgar/data/1584509/000158450914000122/ex1026formofpsuawardagreem.htm" TargetMode="External"/><Relationship Id="rId209" Type="http://schemas.openxmlformats.org/officeDocument/2006/relationships/hyperlink" Target="http://www.sec.gov/Archives/edgar/data/1584509/000158450915000137/ex102formofpsuaward.htm" TargetMode="External"/><Relationship Id="rId210" Type="http://schemas.openxmlformats.org/officeDocument/2006/relationships/hyperlink" Target="http://www.sec.gov/Archives/edgar/data/1584509/000158450915000215/ex1061performancersaagree.htm" TargetMode="External"/><Relationship Id="rId211" Type="http://schemas.openxmlformats.org/officeDocument/2006/relationships/hyperlink" Target="http://www.sec.gov/Archives/edgar/data/1584509/000158450917000247/ex1070formofrsuawardnotice.htm" TargetMode="External"/><Relationship Id="rId212" Type="http://schemas.openxmlformats.org/officeDocument/2006/relationships/hyperlink" Target="http://www.sec.gov/Archives/edgar/data/1584509/000158450917000247/ex1071formofpsuawardnotice.htm" TargetMode="External"/><Relationship Id="rId213" Type="http://schemas.openxmlformats.org/officeDocument/2006/relationships/hyperlink" Target="http://www.sec.gov/Archives/edgar/data/1584509/000158450917000247/ex1072formofoptionawardnot.htm" TargetMode="External"/><Relationship Id="rId214" Type="http://schemas.openxmlformats.org/officeDocument/2006/relationships/hyperlink" Target="http://www.sec.gov/Archives/edgar/data/1584509/000158450917000247/ex1073formofrsuawardnotice.htm" TargetMode="External"/><Relationship Id="rId215" Type="http://schemas.openxmlformats.org/officeDocument/2006/relationships/hyperlink" Target="http://www.sec.gov/Archives/edgar/data/1584509/000158450917000247/ex1074formofpsuawardnotice.htm" TargetMode="External"/><Relationship Id="rId216" Type="http://schemas.openxmlformats.org/officeDocument/2006/relationships/hyperlink" Target="http://www.sec.gov/Archives/edgar/data/1584509/000158450917000247/ex1075formofoptionawardnot.htm" TargetMode="External"/><Relationship Id="rId217" Type="http://schemas.openxmlformats.org/officeDocument/2006/relationships/hyperlink" Target="http://www.sec.gov/Archives/edgar/data/1584509/000158450919000237/ex1093-formofnqsoaward.htm" TargetMode="External"/><Relationship Id="rId218" Type="http://schemas.openxmlformats.org/officeDocument/2006/relationships/hyperlink" Target="http://www.sec.gov/Archives/edgar/data/1584509/000158450919000237/ex1094-formofrsutimeve.htm" TargetMode="External"/><Relationship Id="rId219" Type="http://schemas.openxmlformats.org/officeDocument/2006/relationships/hyperlink" Target="http://www.sec.gov/Archives/edgar/data/1584509/000158450919000237/ex1095-formofpsuaward.htm" TargetMode="External"/><Relationship Id="rId221" Type="http://schemas.openxmlformats.org/officeDocument/2006/relationships/hyperlink" Target="http://www.sec.gov/Archives/edgar/data/1584509/000158450919000237/ex1096-formofscheditop.htm" TargetMode="External"/><Relationship Id="rId222" Type="http://schemas.openxmlformats.org/officeDocument/2006/relationships/hyperlink" Target="http://www.sec.gov/Archives/edgar/data/1584509/000119312520194769/d881977dex106.htm" TargetMode="External"/><Relationship Id="rId223" Type="http://schemas.openxmlformats.org/officeDocument/2006/relationships/hyperlink" Target="http://www.sec.gov/Archives/edgar/data/1584509/000119312520194769/d881977dex107.htm" TargetMode="External"/><Relationship Id="rId224" Type="http://schemas.openxmlformats.org/officeDocument/2006/relationships/hyperlink" Target="http://www.sec.gov/Archives/edgar/data/1584509/000119312520194769/d881977dex108.htm" TargetMode="External"/><Relationship Id="rId225" Type="http://schemas.openxmlformats.org/officeDocument/2006/relationships/hyperlink" Target="http://www.sec.gov/Archives/edgar/data/1584509/000158450920000230/ex101042020xamendedand.htm" TargetMode="External"/><Relationship Id="rId226" Type="http://schemas.openxmlformats.org/officeDocument/2006/relationships/hyperlink" Target="http://www.sec.gov/Archives/edgar/data/1584509/000158450920000230/ex101052020xeltformofn.htm" TargetMode="External"/><Relationship Id="rId227" Type="http://schemas.openxmlformats.org/officeDocument/2006/relationships/hyperlink" Target="http://www.sec.gov/Archives/edgar/data/1584509/000158450920000230/ex101062020xamendedand.htm" TargetMode="External"/><Relationship Id="rId228" Type="http://schemas.openxmlformats.org/officeDocument/2006/relationships/hyperlink" Target="http://www.sec.gov/Archives/edgar/data/1584509/000158450920000230/ex10107-amendedandrest.htm" TargetMode="External"/><Relationship Id="rId229" Type="http://schemas.openxmlformats.org/officeDocument/2006/relationships/hyperlink" Target="http://www.sec.gov/Archives/edgar/data/1584509/000158450920000230/ex10108-formofnonxqual.htm" TargetMode="External"/><Relationship Id="rId230" Type="http://schemas.openxmlformats.org/officeDocument/2006/relationships/hyperlink" Target="http://www.sec.gov/Archives/edgar/data/1584509/000158450920000230/ex101092020xformofrsua.htm" TargetMode="External"/><Relationship Id="rId231" Type="http://schemas.openxmlformats.org/officeDocument/2006/relationships/hyperlink" Target="https://www.sec.gov/Archives/edgar/data/1584509/000158450921000256/ex10822021armkxformofsched.htm" TargetMode="External"/><Relationship Id="rId232" Type="http://schemas.openxmlformats.org/officeDocument/2006/relationships/hyperlink" Target="https://www.sec.gov/Archives/edgar/data/1584509/000158450921000256/ex10832021armkxformofsched.htm" TargetMode="External"/><Relationship Id="rId233" Type="http://schemas.openxmlformats.org/officeDocument/2006/relationships/hyperlink" Target="http://www.sec.gov/Archives/edgar/data/1584509/000119312513445875/d574424dex1046.htm" TargetMode="External"/><Relationship Id="rId234" Type="http://schemas.openxmlformats.org/officeDocument/2006/relationships/hyperlink" Target="http://www.sec.gov/Archives/edgar/data/1584509/000119312513445875/d574424dex1073.htm" TargetMode="External"/><Relationship Id="rId235" Type="http://schemas.openxmlformats.org/officeDocument/2006/relationships/hyperlink" Target="http://www.sec.gov/Archives/edgar/data/1584509/000158450914000122/ex1077revisedformofdsuawar.htmv" TargetMode="External"/><Relationship Id="rId236" Type="http://schemas.openxmlformats.org/officeDocument/2006/relationships/hyperlink" Target="http://www.sec.gov/Archives/edgar/data/1584509/000158450914000122/ex1077revisedformofdsuawar.htm" TargetMode="External"/><Relationship Id="rId237" Type="http://schemas.openxmlformats.org/officeDocument/2006/relationships/hyperlink" Target="http://www.sec.gov/Archives/edgar/data/1584509/000158450915000089/ex104dsuagreement.htm" TargetMode="External"/><Relationship Id="rId238" Type="http://schemas.openxmlformats.org/officeDocument/2006/relationships/hyperlink" Target="http://www.sec.gov/Archives/edgar/data/1584509/000158450915000215/ex1069aircrafttimesharinga.htm" TargetMode="External"/><Relationship Id="rId239" Type="http://schemas.openxmlformats.org/officeDocument/2006/relationships/hyperlink" Target="http://www.sec.gov/Archives/edgar/data/1584509/000119312519263370/d815967dex101.htm" TargetMode="External"/><Relationship Id="rId240" Type="http://schemas.openxmlformats.org/officeDocument/2006/relationships/hyperlink" Target="http://www.sec.gov/Archives/edgar/data/1584509/000158450921000046/ex1032021q1xamendmenttoste.htm" TargetMode="External"/><Relationship Id="rId242" Type="http://schemas.openxmlformats.org/officeDocument/2006/relationships/hyperlink" Target="http://www.sec.gov/Archives/edgar/data/1584509/000158450920000276/ex101registrationrightsagr.htm" TargetMode="External"/><Relationship Id="rId243" Type="http://schemas.openxmlformats.org/officeDocument/2006/relationships/hyperlink" Target="http://www.sec.gov/Archives/edgar/data/1584509/000119312520326024/d51571ddef14a.htm#toc51571_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2022-11-22T15:50:34Z</dcterms:created>
  <dcterms:modified xsi:type="dcterms:W3CDTF">2022-11-22T15:50:34Z</dcterms:modified>
</cp:coreProperties>
</file>