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8" w:lineRule="exact"/>
        <w:rPr>
          <w:sz w:val="24"/>
          <w:szCs w:val="24"/>
          <w:color w:val="auto"/>
        </w:rPr>
      </w:pPr>
    </w:p>
    <w:p>
      <w:pPr>
        <w:ind w:left="2640" w:hanging="368"/>
        <w:spacing w:after="0"/>
        <w:tabs>
          <w:tab w:leader="none" w:pos="26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QUARTERLY REPORT PURSUANT TO SECTION 13 or 15(d) OF</w:t>
      </w:r>
    </w:p>
    <w:p>
      <w:pPr>
        <w:spacing w:after="0" w:line="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30, 2022</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2560" w:hanging="342"/>
        <w:spacing w:after="0"/>
        <w:tabs>
          <w:tab w:leader="none" w:pos="2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001-36223</w:t>
      </w:r>
    </w:p>
    <w:p>
      <w:pPr>
        <w:spacing w:after="0" w:line="6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51435</wp:posOffset>
            </wp:positionV>
            <wp:extent cx="2468880"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tbl>
      <w:tblPr>
        <w:tblLayout w:type="fixed"/>
        <w:tblInd w:w="1840" w:type="dxa"/>
        <w:tblCellMar>
          <w:top w:w="0" w:type="dxa"/>
          <w:left w:w="0" w:type="dxa"/>
          <w:bottom w:w="0" w:type="dxa"/>
          <w:right w:w="0" w:type="dxa"/>
        </w:tblCellMar>
      </w:tblPr>
      <w:tr>
        <w:trPr>
          <w:trHeight w:val="402"/>
        </w:trPr>
        <w:tc>
          <w:tcPr>
            <w:tcW w:w="5780" w:type="dxa"/>
            <w:vAlign w:val="bottom"/>
          </w:tcPr>
          <w:p>
            <w:pPr>
              <w:jc w:val="center"/>
              <w:ind w:left="1712"/>
              <w:spacing w:after="0"/>
              <w:rPr>
                <w:sz w:val="20"/>
                <w:szCs w:val="20"/>
                <w:color w:val="auto"/>
              </w:rPr>
            </w:pPr>
            <w:r>
              <w:rPr>
                <w:rFonts w:ascii="Times New Roman" w:cs="Times New Roman" w:eastAsia="Times New Roman" w:hAnsi="Times New Roman"/>
                <w:sz w:val="32"/>
                <w:szCs w:val="32"/>
                <w:b w:val="1"/>
                <w:bCs w:val="1"/>
                <w:color w:val="auto"/>
              </w:rPr>
              <w:t>Aramark</w:t>
            </w:r>
          </w:p>
        </w:tc>
        <w:tc>
          <w:tcPr>
            <w:tcW w:w="1400" w:type="dxa"/>
            <w:vAlign w:val="bottom"/>
          </w:tcPr>
          <w:p>
            <w:pPr>
              <w:spacing w:after="0"/>
              <w:rPr>
                <w:sz w:val="24"/>
                <w:szCs w:val="24"/>
                <w:color w:val="auto"/>
              </w:rPr>
            </w:pPr>
          </w:p>
        </w:tc>
      </w:tr>
      <w:tr>
        <w:trPr>
          <w:trHeight w:val="188"/>
        </w:trPr>
        <w:tc>
          <w:tcPr>
            <w:tcW w:w="5780" w:type="dxa"/>
            <w:vAlign w:val="bottom"/>
          </w:tcPr>
          <w:p>
            <w:pPr>
              <w:jc w:val="center"/>
              <w:ind w:left="1712"/>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400" w:type="dxa"/>
            <w:vAlign w:val="bottom"/>
          </w:tcPr>
          <w:p>
            <w:pPr>
              <w:spacing w:after="0"/>
              <w:rPr>
                <w:sz w:val="16"/>
                <w:szCs w:val="16"/>
                <w:color w:val="auto"/>
              </w:rPr>
            </w:pPr>
          </w:p>
        </w:tc>
      </w:tr>
      <w:tr>
        <w:trPr>
          <w:trHeight w:val="244"/>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20-8236097</w:t>
            </w:r>
          </w:p>
        </w:tc>
      </w:tr>
      <w:tr>
        <w:trPr>
          <w:trHeight w:val="144"/>
        </w:trPr>
        <w:tc>
          <w:tcPr>
            <w:tcW w:w="5780" w:type="dxa"/>
            <w:vAlign w:val="bottom"/>
          </w:tcPr>
          <w:p>
            <w:pPr>
              <w:jc w:val="center"/>
              <w:ind w:right="3412"/>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4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5780" w:type="dxa"/>
            <w:vAlign w:val="bottom"/>
          </w:tcPr>
          <w:p>
            <w:pPr>
              <w:jc w:val="center"/>
              <w:ind w:right="339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271"/>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9"/>
              </w:rPr>
              <w:t>2400 Market Street</w:t>
            </w:r>
          </w:p>
        </w:tc>
        <w:tc>
          <w:tcPr>
            <w:tcW w:w="1400" w:type="dxa"/>
            <w:vAlign w:val="bottom"/>
          </w:tcPr>
          <w:p>
            <w:pPr>
              <w:spacing w:after="0"/>
              <w:rPr>
                <w:sz w:val="23"/>
                <w:szCs w:val="23"/>
                <w:color w:val="auto"/>
              </w:rPr>
            </w:pPr>
          </w:p>
        </w:tc>
      </w:tr>
      <w:tr>
        <w:trPr>
          <w:trHeight w:val="247"/>
        </w:trPr>
        <w:tc>
          <w:tcPr>
            <w:tcW w:w="5780" w:type="dxa"/>
            <w:vAlign w:val="bottom"/>
          </w:tcPr>
          <w:p>
            <w:pPr>
              <w:jc w:val="center"/>
              <w:ind w:right="3392"/>
              <w:spacing w:after="0"/>
              <w:rPr>
                <w:sz w:val="20"/>
                <w:szCs w:val="20"/>
                <w:color w:val="auto"/>
              </w:rPr>
            </w:pPr>
            <w:r>
              <w:rPr>
                <w:rFonts w:ascii="Times New Roman" w:cs="Times New Roman" w:eastAsia="Times New Roman" w:hAnsi="Times New Roman"/>
                <w:sz w:val="18"/>
                <w:szCs w:val="18"/>
                <w:b w:val="1"/>
                <w:bCs w:val="1"/>
                <w:color w:val="auto"/>
                <w:w w:val="98"/>
              </w:rPr>
              <w:t>Philadelphia, Pennsylvania</w:t>
            </w:r>
          </w:p>
        </w:tc>
        <w:tc>
          <w:tcPr>
            <w:tcW w:w="1400" w:type="dxa"/>
            <w:vAlign w:val="bottom"/>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19103</w:t>
            </w:r>
          </w:p>
        </w:tc>
      </w:tr>
      <w:tr>
        <w:trPr>
          <w:trHeight w:val="188"/>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r>
        <w:trPr>
          <w:trHeight w:val="374"/>
        </w:trPr>
        <w:tc>
          <w:tcPr>
            <w:tcW w:w="5780" w:type="dxa"/>
            <w:vAlign w:val="bottom"/>
          </w:tcPr>
          <w:p>
            <w:pPr>
              <w:jc w:val="right"/>
              <w:ind w:right="1352"/>
              <w:spacing w:after="0"/>
              <w:rPr>
                <w:sz w:val="20"/>
                <w:szCs w:val="20"/>
                <w:color w:val="auto"/>
              </w:rPr>
            </w:pPr>
            <w:r>
              <w:rPr>
                <w:rFonts w:ascii="Times New Roman" w:cs="Times New Roman" w:eastAsia="Times New Roman" w:hAnsi="Times New Roman"/>
                <w:sz w:val="18"/>
                <w:szCs w:val="18"/>
                <w:b w:val="1"/>
                <w:bCs w:val="1"/>
                <w:color w:val="auto"/>
              </w:rPr>
              <w:t>(215) 238-3000</w:t>
            </w:r>
          </w:p>
        </w:tc>
        <w:tc>
          <w:tcPr>
            <w:tcW w:w="1400" w:type="dxa"/>
            <w:vAlign w:val="bottom"/>
          </w:tcPr>
          <w:p>
            <w:pPr>
              <w:spacing w:after="0"/>
              <w:rPr>
                <w:sz w:val="24"/>
                <w:szCs w:val="24"/>
                <w:color w:val="auto"/>
              </w:rPr>
            </w:pPr>
          </w:p>
        </w:tc>
      </w:tr>
      <w:tr>
        <w:trPr>
          <w:trHeight w:val="211"/>
        </w:trPr>
        <w:tc>
          <w:tcPr>
            <w:tcW w:w="5780" w:type="dxa"/>
            <w:vAlign w:val="bottom"/>
          </w:tcPr>
          <w:p>
            <w:pPr>
              <w:jc w:val="center"/>
              <w:ind w:left="1692"/>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400" w:type="dxa"/>
            <w:vAlign w:val="bottom"/>
          </w:tcPr>
          <w:p>
            <w:pPr>
              <w:spacing w:after="0"/>
              <w:rPr>
                <w:sz w:val="18"/>
                <w:szCs w:val="18"/>
                <w:color w:val="auto"/>
              </w:rPr>
            </w:pPr>
          </w:p>
        </w:tc>
      </w:tr>
      <w:tr>
        <w:trPr>
          <w:trHeight w:val="234"/>
        </w:trPr>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400" w:type="dxa"/>
            <w:vAlign w:val="bottom"/>
          </w:tcPr>
          <w:p>
            <w:pPr>
              <w:spacing w:after="0"/>
              <w:rPr>
                <w:sz w:val="20"/>
                <w:szCs w:val="20"/>
                <w:color w:val="auto"/>
              </w:rPr>
            </w:pPr>
          </w:p>
        </w:tc>
      </w:tr>
    </w:tbl>
    <w:p>
      <w:pPr>
        <w:spacing w:after="0" w:line="22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60" w:type="dxa"/>
            <w:vAlign w:val="bottom"/>
          </w:tcPr>
          <w:p>
            <w:pPr>
              <w:spacing w:after="0"/>
              <w:rPr>
                <w:sz w:val="18"/>
                <w:szCs w:val="18"/>
                <w:color w:val="auto"/>
              </w:rPr>
            </w:pPr>
          </w:p>
        </w:tc>
        <w:tc>
          <w:tcPr>
            <w:tcW w:w="37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ARMK</w:t>
            </w:r>
          </w:p>
        </w:tc>
        <w:tc>
          <w:tcPr>
            <w:tcW w:w="260" w:type="dxa"/>
            <w:vAlign w:val="bottom"/>
          </w:tcPr>
          <w:p>
            <w:pPr>
              <w:spacing w:after="0"/>
              <w:rPr>
                <w:sz w:val="17"/>
                <w:szCs w:val="17"/>
                <w:color w:val="auto"/>
              </w:rPr>
            </w:pPr>
          </w:p>
        </w:tc>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54" w:lineRule="exact"/>
        <w:rPr>
          <w:sz w:val="24"/>
          <w:szCs w:val="24"/>
          <w:color w:val="auto"/>
        </w:rPr>
      </w:pPr>
    </w:p>
    <w:p>
      <w:pPr>
        <w:ind w:firstLine="405"/>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35" w:lineRule="exact"/>
        <w:rPr>
          <w:sz w:val="24"/>
          <w:szCs w:val="24"/>
          <w:color w:val="auto"/>
        </w:rPr>
      </w:pPr>
    </w:p>
    <w:p>
      <w:pPr>
        <w:ind w:right="80" w:firstLine="405"/>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35" w:lineRule="exact"/>
        <w:rPr>
          <w:sz w:val="24"/>
          <w:szCs w:val="24"/>
          <w:color w:val="auto"/>
        </w:rPr>
      </w:pPr>
    </w:p>
    <w:p>
      <w:pPr>
        <w:ind w:right="100" w:firstLine="40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207" w:lineRule="exact"/>
        <w:tabs>
          <w:tab w:leader="none" w:pos="1960" w:val="left"/>
          <w:tab w:leader="none" w:pos="8420" w:val="left"/>
          <w:tab w:leader="none" w:pos="109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Accelerated filer</w:t>
      </w:r>
      <w:r>
        <w:rPr>
          <w:rFonts w:ascii="Wingdings" w:cs="Wingdings" w:eastAsia="Wingdings" w:hAnsi="Wingdings"/>
          <w:sz w:val="18"/>
          <w:szCs w:val="18"/>
          <w:b w:val="1"/>
          <w:bCs w:val="1"/>
          <w:color w:val="auto"/>
        </w:rPr>
        <w:t xml:space="preserve">   o </w:t>
      </w:r>
      <w:r>
        <w:rPr>
          <w:rFonts w:ascii="Times New Roman" w:cs="Times New Roman" w:eastAsia="Times New Roman" w:hAnsi="Times New Roman"/>
          <w:sz w:val="18"/>
          <w:szCs w:val="18"/>
          <w:color w:val="auto"/>
        </w:rPr>
        <w:t>Non-accelerated filer</w:t>
      </w:r>
      <w:r>
        <w:rPr>
          <w:rFonts w:ascii="Wingdings" w:cs="Wingdings" w:eastAsia="Wingdings" w:hAnsi="Wingdings"/>
          <w:sz w:val="18"/>
          <w:szCs w:val="18"/>
          <w:b w:val="1"/>
          <w:bCs w:val="1"/>
          <w:color w:val="auto"/>
        </w:rPr>
        <w:t xml:space="preserve">   o </w:t>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7" w:lineRule="exact"/>
        <w:rPr>
          <w:sz w:val="24"/>
          <w:szCs w:val="24"/>
          <w:color w:val="auto"/>
        </w:rPr>
      </w:pPr>
    </w:p>
    <w:p>
      <w:pPr>
        <w:ind w:right="40" w:firstLine="40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ind w:left="420" w:right="136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January 27, 2023, the number of shares of the registrant's common stock outstanding is 260,512,774.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6" w:right="399" w:bottom="1440" w:gutter="0" w:footer="0" w:header="0"/>
        </w:sectPr>
      </w:pPr>
    </w:p>
    <w:bookmarkStart w:id="1" w:name="page2"/>
    <w:bookmarkEnd w:id="1"/>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4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gridSpan w:val="6"/>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160" w:type="dxa"/>
            <w:vAlign w:val="bottom"/>
          </w:tcPr>
          <w:p>
            <w:pPr>
              <w:spacing w:after="0"/>
              <w:rPr>
                <w:sz w:val="24"/>
                <w:szCs w:val="24"/>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4300" w:type="dxa"/>
            <w:vAlign w:val="bottom"/>
            <w:gridSpan w:val="8"/>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w:t>
            </w:r>
          </w:p>
        </w:tc>
        <w:tc>
          <w:tcPr>
            <w:tcW w:w="3820" w:type="dxa"/>
            <w:vAlign w:val="bottom"/>
            <w:gridSpan w:val="7"/>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860" w:type="dxa"/>
            <w:vAlign w:val="bottom"/>
            <w:gridSpan w:val="4"/>
          </w:tcPr>
          <w:p>
            <w:pPr>
              <w:spacing w:after="0"/>
              <w:rPr>
                <w:sz w:val="18"/>
                <w:szCs w:val="18"/>
                <w:color w:val="auto"/>
              </w:rPr>
            </w:pPr>
          </w:p>
        </w:tc>
        <w:tc>
          <w:tcPr>
            <w:tcW w:w="2660" w:type="dxa"/>
            <w:vAlign w:val="bottom"/>
            <w:gridSpan w:val="2"/>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40" w:type="dxa"/>
            <w:vAlign w:val="bottom"/>
            <w:gridSpan w:val="2"/>
          </w:tcPr>
          <w:p>
            <w:pPr>
              <w:spacing w:after="0"/>
              <w:rPr>
                <w:sz w:val="18"/>
                <w:szCs w:val="18"/>
                <w:color w:val="auto"/>
              </w:rPr>
            </w:pPr>
          </w:p>
        </w:tc>
        <w:tc>
          <w:tcPr>
            <w:tcW w:w="2900" w:type="dxa"/>
            <w:vAlign w:val="bottom"/>
            <w:gridSpan w:val="3"/>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2.</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4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6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20" w:type="dxa"/>
            <w:vAlign w:val="bottom"/>
            <w:tcBorders>
              <w:top w:val="single" w:sz="8" w:color="0000FF"/>
            </w:tcBorders>
          </w:tcPr>
          <w:p>
            <w:pPr>
              <w:spacing w:after="0"/>
              <w:rPr>
                <w:sz w:val="18"/>
                <w:szCs w:val="18"/>
                <w:color w:val="auto"/>
              </w:rPr>
            </w:pPr>
          </w:p>
        </w:tc>
        <w:tc>
          <w:tcPr>
            <w:tcW w:w="360" w:type="dxa"/>
            <w:vAlign w:val="bottom"/>
            <w:gridSpan w:val="2"/>
          </w:tcPr>
          <w:p>
            <w:pPr>
              <w:spacing w:after="0"/>
              <w:rPr>
                <w:sz w:val="18"/>
                <w:szCs w:val="18"/>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900" w:type="dxa"/>
            <w:vAlign w:val="bottom"/>
            <w:gridSpan w:val="12"/>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680" w:type="dxa"/>
            <w:vAlign w:val="bottom"/>
            <w:gridSpan w:val="3"/>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80" w:type="dxa"/>
            <w:vAlign w:val="bottom"/>
            <w:gridSpan w:val="3"/>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92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60" w:type="dxa"/>
            <w:vAlign w:val="bottom"/>
            <w:gridSpan w:val="11"/>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920" w:type="dxa"/>
            <w:vAlign w:val="bottom"/>
            <w:gridSpan w:val="1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1"/>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About Forward-Looking Statements</w:t>
      </w:r>
    </w:p>
    <w:p>
      <w:pPr>
        <w:spacing w:after="0" w:line="11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 some cases, forward-looking statements can be identified by words such as "outlook," "aim," "anticipate," "are or remain or continue to be confident,"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actual results or outcomes may differ materially from those that we expected.</w:t>
      </w:r>
    </w:p>
    <w:p>
      <w:pPr>
        <w:spacing w:after="0" w:line="5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Some of the factors that we believe could affect or continue to affect our results include without limitation: unfavorable economic conditions; natural disasters, global calamities, climate change, pandemics, including the ongoing COVID-19 pandemic, energy shortages, sports strikes and other adverse incidents; geopolitical events including, but not limited to, the ongoing conflict between Russia and Ukraine and its effects on global supply chains, inflation, volatility and disruption of global financial markets;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our expansion strategy and our ability to successfully integrate the businesses we acquire and costs and timing related thereto; continued or further unionization of our workforce; liability resulting from our participation in multiemployer defined benefit pension plans; the inability to hire and retain key or sufficient qualified personnel or increases in labor costs;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environmental regulations; potential liabilities, increased costs, reputational harm, and other adverse effects based on our commitments and stakeholder expectations relating to environmental, social and governance considerations; the failure to maintain food safety throughout our supply chain, food-borne illness concerns and claims of illness or injury; a cybersecurity incident or other disruptions in the availability of our computer systems or privacy breaches; our leverage; variable rate indebtedness that subjects us to interest rate risk; the inability to generate sufficient cash to service all of our indebtedness; debt agreements that limit our flexibility in operating our business; risks associated with the impact, timing or terms of the proposed spin-off of Aramark Uniform Services (our Uniform segment) as an independent publicly traded company to our stockholders (the "proposed spin-off'"); risks associated with the expected benefits and costs of the proposed spin-off, including the risk that the expected benefits of the proposed spin-off will not be realized within the expected time frame, in full or at all, and the risk that conditions to the proposed spin-off will not be satisfied and/or that the proposed spin-off will not be completed within the expected time frame, on the expected terms or at all; the expected qualification of the proposed spin-off as a tax-free transaction for United States federal income tax purposes, including whether or not an Internal Revenue Service ruling will be sought or obtained; the risk that any consents or approvals required in connection with the proposed spin-off will not be received or obtained within the expected time frame, on the expected terms or at all; risks associated with expected financing transactions undertaken in connection with the proposed spin-off and risks associated with indebtedness incurred in connection with the proposed spin-off; the risk of increased costs from lost synergies, costs of restructuring transactions and other costs incurred in connection with the proposed spin-off; retention of existing management team members as a result of the proposed spin-off; reaction of customers, our employees and other parties to the proposed spin-off; and the impact of the proposed spin-off on our business and the risk that the proposed spin-off may be more difficult, time-consuming or costly than expected, including the impact on our resources, systems, procedures and controls, diversion of management’s attention and the impact on relationships with customers, suppliers, employees and other business counterparties; and other factors set forth under the heading “Part I, Item 2—Management’s Discussion and Analysis of Financial Condition and Results of Operations" herein and headings "Part I, Item 1A Risk Factors," "Part I, Item 3 Legal Proceedings" and "Part II, Item 7 Management's Discussion and Analysis of Financial Condition and Results of Operations" and other sections of our Annual Report on Form 10-K, filed with the Securities and Exchange Commission ("SEC") on November 22, 2022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75" w:right="4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60" w:type="dxa"/>
            <w:vAlign w:val="bottom"/>
          </w:tcPr>
          <w:p>
            <w:pPr>
              <w:spacing w:after="0"/>
              <w:rPr>
                <w:sz w:val="16"/>
                <w:szCs w:val="16"/>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5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329,452</w:t>
            </w:r>
          </w:p>
        </w:tc>
        <w:tc>
          <w:tcPr>
            <w:tcW w:w="0" w:type="dxa"/>
            <w:vAlign w:val="bottom"/>
          </w:tcPr>
          <w:p>
            <w:pPr>
              <w:spacing w:after="0"/>
              <w:rPr>
                <w:sz w:val="1"/>
                <w:szCs w:val="1"/>
                <w:color w:val="auto"/>
              </w:rPr>
            </w:pPr>
          </w:p>
        </w:tc>
      </w:tr>
      <w:tr>
        <w:trPr>
          <w:trHeight w:val="230"/>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Receivables (less allowances: $56,939 and $56,388)</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2,299,810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2,147,957</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552,386</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260,467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262,195</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3,435,142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3,291,990</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2,032,045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5,554,019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5,515,124</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2,113,726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592,145</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1,566,199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1,537,406</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15,290,542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15,082,436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Current maturities of long-term borrowings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68,858</w:t>
            </w:r>
          </w:p>
        </w:tc>
        <w:tc>
          <w:tcPr>
            <w:tcW w:w="0" w:type="dxa"/>
            <w:vAlign w:val="bottom"/>
          </w:tcPr>
          <w:p>
            <w:pPr>
              <w:spacing w:after="0"/>
              <w:rPr>
                <w:sz w:val="1"/>
                <w:szCs w:val="1"/>
                <w:color w:val="auto"/>
              </w:rPr>
            </w:pPr>
          </w:p>
        </w:tc>
      </w:tr>
      <w:tr>
        <w:trPr>
          <w:trHeight w:val="230"/>
        </w:trPr>
        <w:tc>
          <w:tcPr>
            <w:tcW w:w="7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1,322,936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1,829,045</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2,684,218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3,285,886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8,056,256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7,345,860</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305,623</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Noncurrent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1,106,587</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10)</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8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Common stock, par value $0.01 (authorized: 600,000,000 shares; issued: 299,586,124 shares and</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297,555,924 shares; and outstanding: 260,370,546 shares and 258,728,942 shares)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30"/>
        </w:trPr>
        <w:tc>
          <w:tcPr>
            <w:tcW w:w="7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 surplus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3,739,583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3,681,966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406,784</w:t>
            </w:r>
          </w:p>
        </w:tc>
        <w:tc>
          <w:tcPr>
            <w:tcW w:w="0" w:type="dxa"/>
            <w:vAlign w:val="bottom"/>
          </w:tcPr>
          <w:p>
            <w:pPr>
              <w:spacing w:after="0"/>
              <w:rPr>
                <w:sz w:val="1"/>
                <w:szCs w:val="1"/>
                <w:color w:val="auto"/>
              </w:rPr>
            </w:pPr>
          </w:p>
        </w:tc>
      </w:tr>
      <w:tr>
        <w:trPr>
          <w:trHeight w:val="230"/>
        </w:trPr>
        <w:tc>
          <w:tcPr>
            <w:tcW w:w="7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(111,571)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Treasury stock (shares held in treasury: 39,215,578 shares and 38,826,982 shares)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(950,515)</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3,143,263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3,029,640</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15,290,542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15,082,436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200" w:type="dxa"/>
            <w:vAlign w:val="bottom"/>
          </w:tcPr>
          <w:p>
            <w:pPr>
              <w:spacing w:after="0"/>
              <w:rPr>
                <w:sz w:val="16"/>
                <w:szCs w:val="16"/>
                <w:color w:val="auto"/>
              </w:rPr>
            </w:pPr>
          </w:p>
        </w:tc>
        <w:tc>
          <w:tcPr>
            <w:tcW w:w="15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6"/>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4,600,998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3,948,260</w:t>
            </w: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Cost of services provided (exclusive of depreciation and amortization)</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4,162,084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3,571,045</w:t>
            </w: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135,518</w:t>
            </w:r>
          </w:p>
        </w:tc>
      </w:tr>
      <w:tr>
        <w:trPr>
          <w:trHeight w:val="216"/>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Selling and general corporate expenses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102,784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101,450</w:t>
            </w:r>
          </w:p>
        </w:tc>
      </w:tr>
      <w:tr>
        <w:trPr>
          <w:trHeight w:val="210"/>
        </w:trPr>
        <w:tc>
          <w:tcPr>
            <w:tcW w:w="7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4,401,352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3,808,013</w:t>
            </w:r>
          </w:p>
        </w:tc>
      </w:tr>
      <w:tr>
        <w:trPr>
          <w:trHeight w:val="212"/>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140,247</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and Other Financing Costs, net</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93,017</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47,230</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4,523</w:t>
            </w:r>
          </w:p>
        </w:tc>
      </w:tr>
      <w:tr>
        <w:trPr>
          <w:trHeight w:val="212"/>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42,707</w:t>
            </w:r>
          </w:p>
        </w:tc>
      </w:tr>
      <w:tr>
        <w:trPr>
          <w:trHeight w:val="213"/>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Less: Net (loss) income attributable to noncontrolling interests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35"/>
        </w:trPr>
        <w:tc>
          <w:tcPr>
            <w:tcW w:w="76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income attributable to Aramark stockholders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74,151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7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tcPr>
          <w:p>
            <w:pPr>
              <w:spacing w:after="0"/>
              <w:rPr>
                <w:sz w:val="5"/>
                <w:szCs w:val="5"/>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attributable to Aramark stockholders: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3"/>
        </w:trPr>
        <w:tc>
          <w:tcPr>
            <w:tcW w:w="7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r>
      <w:tr>
        <w:trPr>
          <w:trHeight w:val="219"/>
        </w:trPr>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7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256,470</w:t>
            </w:r>
          </w:p>
        </w:tc>
      </w:tr>
      <w:tr>
        <w:trPr>
          <w:trHeight w:val="210"/>
        </w:trPr>
        <w:tc>
          <w:tcPr>
            <w:tcW w:w="76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258,045</w:t>
            </w:r>
          </w:p>
        </w:tc>
      </w:tr>
    </w:tbl>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4"/>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200" w:type="dxa"/>
            <w:vAlign w:val="bottom"/>
          </w:tcPr>
          <w:p>
            <w:pPr>
              <w:spacing w:after="0"/>
              <w:rPr>
                <w:sz w:val="16"/>
                <w:szCs w:val="16"/>
                <w:color w:val="auto"/>
              </w:rPr>
            </w:pP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9"/>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42,707</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Pension plan adjustments</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22,777</w:t>
            </w:r>
          </w:p>
        </w:tc>
      </w:tr>
      <w:tr>
        <w:trPr>
          <w:trHeight w:val="229"/>
        </w:trPr>
        <w:tc>
          <w:tcPr>
            <w:tcW w:w="76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Share of equity investee's comprehensive income</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60,453</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Aramark stockholders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60,357</w:t>
            </w:r>
          </w:p>
        </w:tc>
      </w:tr>
      <w:tr>
        <w:trPr>
          <w:trHeight w:val="21"/>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4"/>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89"/>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r>
      <w:tr>
        <w:trPr>
          <w:trHeight w:val="195"/>
        </w:trPr>
        <w:tc>
          <w:tcPr>
            <w:tcW w:w="7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73,651</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42,707</w:t>
            </w:r>
          </w:p>
        </w:tc>
      </w:tr>
      <w:tr>
        <w:trPr>
          <w:trHeight w:val="210"/>
        </w:trPr>
        <w:tc>
          <w:tcPr>
            <w:tcW w:w="7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136,484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135,518</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Asset write-downs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23,436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Reduction of contingent consideration liability (see Note 12)</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24,651</w:t>
            </w:r>
          </w:p>
        </w:tc>
      </w:tr>
      <w:tr>
        <w:trPr>
          <w:trHeight w:val="210"/>
        </w:trPr>
        <w:tc>
          <w:tcPr>
            <w:tcW w:w="7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(148,437)</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19,597</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(5,280)</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(160,886)</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(440,950)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(403,474)</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Payments made to clients on contracts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(8,353)</w:t>
            </w:r>
          </w:p>
        </w:tc>
      </w:tr>
      <w:tr>
        <w:trPr>
          <w:trHeight w:val="196"/>
        </w:trPr>
        <w:tc>
          <w:tcPr>
            <w:tcW w:w="78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Other operating activities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4,561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(607,205)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(503,387)</w:t>
            </w: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Purchases of property and equipment and other</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(73,722)</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Disposals of property and equipment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8,079</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Acquisition of certain businesses, net of cash acquired</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(57,028)</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Acquisition of certain equity method investments</w:t>
            </w:r>
          </w:p>
        </w:tc>
        <w:tc>
          <w:tcPr>
            <w:tcW w:w="16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(64,000)</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9,020</w:t>
            </w:r>
          </w:p>
        </w:tc>
      </w:tr>
      <w:tr>
        <w:trPr>
          <w:trHeight w:val="19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(177,651)</w:t>
            </w:r>
          </w:p>
        </w:tc>
      </w:tr>
      <w:tr>
        <w:trPr>
          <w:trHeight w:val="18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301,790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107,523</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Payments of long-term borrowings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(19,074)</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change in funding under the Receivables Facility</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395,065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Payments of dividends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(28,209)</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29,611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11,710</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(6,993)</w:t>
            </w:r>
          </w:p>
        </w:tc>
      </w:tr>
      <w:tr>
        <w:trPr>
          <w:trHeight w:val="19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655,266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564,957</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rates on cash and cash equivalents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11,661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r>
      <w:tr>
        <w:trPr>
          <w:trHeight w:val="189"/>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 cash and cash equivalents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(117,124)</w:t>
            </w: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329,452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532,591</w:t>
            </w:r>
          </w:p>
        </w:tc>
      </w:tr>
      <w:tr>
        <w:trPr>
          <w:trHeight w:val="19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305,050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415,467</w:t>
            </w:r>
          </w:p>
        </w:tc>
      </w:tr>
      <w:tr>
        <w:trPr>
          <w:trHeight w:val="27"/>
        </w:trPr>
        <w:tc>
          <w:tcPr>
            <w:tcW w:w="7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4"/>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02"/>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0" w:type="dxa"/>
            <w:vAlign w:val="bottom"/>
          </w:tcPr>
          <w:p>
            <w:pPr>
              <w:spacing w:after="0"/>
              <w:rPr>
                <w:sz w:val="1"/>
                <w:szCs w:val="1"/>
                <w:color w:val="auto"/>
              </w:rPr>
            </w:pPr>
          </w:p>
        </w:tc>
      </w:tr>
      <w:tr>
        <w:trPr>
          <w:trHeight w:val="188"/>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p>
      <w:pPr>
        <w:spacing w:after="0" w:line="27" w:lineRule="exact"/>
        <w:rPr>
          <w:sz w:val="20"/>
          <w:szCs w:val="20"/>
          <w:color w:val="auto"/>
        </w:rPr>
      </w:pPr>
    </w:p>
    <w:p>
      <w:pPr>
        <w:ind w:left="260" w:right="340"/>
        <w:spacing w:after="0" w:line="234" w:lineRule="auto"/>
        <w:rPr>
          <w:sz w:val="20"/>
          <w:szCs w:val="20"/>
          <w:color w:val="auto"/>
        </w:rPr>
      </w:pPr>
      <w:r>
        <w:rPr>
          <w:rFonts w:ascii="Times New Roman" w:cs="Times New Roman" w:eastAsia="Times New Roman" w:hAnsi="Times New Roman"/>
          <w:sz w:val="18"/>
          <w:szCs w:val="18"/>
          <w:color w:val="auto"/>
        </w:rPr>
        <w:t>Net income attributable to Aramark stockholders</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7" w:lineRule="exact"/>
        <w:rPr>
          <w:sz w:val="20"/>
          <w:szCs w:val="20"/>
          <w:color w:val="auto"/>
        </w:rPr>
      </w:pPr>
    </w:p>
    <w:p>
      <w:pPr>
        <w:ind w:left="260" w:right="140"/>
        <w:spacing w:after="0" w:line="234" w:lineRule="auto"/>
        <w:rPr>
          <w:sz w:val="20"/>
          <w:szCs w:val="20"/>
          <w:color w:val="auto"/>
        </w:rPr>
      </w:pPr>
      <w:r>
        <w:rPr>
          <w:rFonts w:ascii="Times New Roman" w:cs="Times New Roman" w:eastAsia="Times New Roman" w:hAnsi="Times New Roman"/>
          <w:sz w:val="18"/>
          <w:szCs w:val="18"/>
          <w:color w:val="auto"/>
        </w:rPr>
        <w:t>Capital contributions from issuance of common stock</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Repurchases of common stock</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Payments of dividends ($0.11 per share)</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30, 2022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1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3,029,640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3,681,966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406,784</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(950,515)</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w:t>
            </w:r>
          </w:p>
        </w:tc>
        <w:tc>
          <w:tcPr>
            <w:tcW w:w="0" w:type="dxa"/>
            <w:vAlign w:val="bottom"/>
          </w:tcPr>
          <w:p>
            <w:pPr>
              <w:spacing w:after="0"/>
              <w:rPr>
                <w:sz w:val="1"/>
                <w:szCs w:val="1"/>
                <w:color w:val="auto"/>
              </w:rPr>
            </w:pPr>
          </w:p>
        </w:tc>
      </w:tr>
      <w:tr>
        <w:trPr>
          <w:trHeight w:val="234"/>
        </w:trPr>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jc w:val="right"/>
              <w:ind w:right="9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3,143,263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3,739,583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450,249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9"/>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(83,491)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(966,074)</w:t>
            </w: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-1456690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-1019810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-607695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-316230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160"/>
            <w:col w:w="792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October 1, 2021</w:t>
      </w:r>
    </w:p>
    <w:p>
      <w:pPr>
        <w:spacing w:after="0" w:line="27" w:lineRule="exact"/>
        <w:rPr>
          <w:sz w:val="20"/>
          <w:szCs w:val="20"/>
          <w:color w:val="auto"/>
        </w:rPr>
      </w:pPr>
    </w:p>
    <w:p>
      <w:pPr>
        <w:ind w:left="260" w:right="340"/>
        <w:spacing w:after="0" w:line="234" w:lineRule="auto"/>
        <w:rPr>
          <w:sz w:val="20"/>
          <w:szCs w:val="20"/>
          <w:color w:val="auto"/>
        </w:rPr>
      </w:pPr>
      <w:r>
        <w:rPr>
          <w:rFonts w:ascii="Times New Roman" w:cs="Times New Roman" w:eastAsia="Times New Roman" w:hAnsi="Times New Roman"/>
          <w:sz w:val="18"/>
          <w:szCs w:val="18"/>
          <w:color w:val="auto"/>
        </w:rPr>
        <w:t>Net income attributable to Aramark stockholders</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7" w:lineRule="exact"/>
        <w:rPr>
          <w:sz w:val="20"/>
          <w:szCs w:val="20"/>
          <w:color w:val="auto"/>
        </w:rPr>
      </w:pPr>
    </w:p>
    <w:p>
      <w:pPr>
        <w:ind w:left="260" w:right="140"/>
        <w:spacing w:after="0" w:line="234" w:lineRule="auto"/>
        <w:rPr>
          <w:sz w:val="20"/>
          <w:szCs w:val="20"/>
          <w:color w:val="auto"/>
        </w:rPr>
      </w:pPr>
      <w:r>
        <w:rPr>
          <w:rFonts w:ascii="Times New Roman" w:cs="Times New Roman" w:eastAsia="Times New Roman" w:hAnsi="Times New Roman"/>
          <w:sz w:val="18"/>
          <w:szCs w:val="18"/>
          <w:color w:val="auto"/>
        </w:rPr>
        <w:t>Capital contributions from issuance of common stock</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Repurchases of common stock</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Payments of dividends ($0.11 per share)</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2021</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1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2,722,872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3,533,054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327,557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(208,011)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(932,671)</w:t>
            </w: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0" w:type="dxa"/>
            <w:vAlign w:val="bottom"/>
          </w:tcPr>
          <w:p>
            <w:pPr>
              <w:spacing w:after="0"/>
              <w:rPr>
                <w:sz w:val="1"/>
                <w:szCs w:val="1"/>
                <w:color w:val="auto"/>
              </w:rPr>
            </w:pPr>
          </w:p>
        </w:tc>
      </w:tr>
      <w:tr>
        <w:trPr>
          <w:trHeight w:val="234"/>
        </w:trPr>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(30,346)</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2,784,461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3,571,779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339,822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(939,828)</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-1473835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-1036320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-624840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-333375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160"/>
            <w:col w:w="7920"/>
          </w:cols>
          <w:pgMar w:left="320" w:top="175" w:right="339" w:bottom="1440" w:gutter="0" w:footer="0" w:header="0"/>
          <w:type w:val="continuous"/>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Aramark (the "Company") is a leading global provider of food, facilities and uniform services to education, healthcare, business &amp; industry and sports, leisure &amp; corrections clients. The Company's core market is the United States, which is supplemented by an additional 18-country footprint. The Company operates its business in three reportable segments that share many of the same operating characteristics: Food and Support Services United States ("FSS United States"), Food and Support Services International ("FSS International") and Uniform and Career Apparel ("Uniform").</w:t>
      </w:r>
    </w:p>
    <w:p>
      <w:pPr>
        <w:spacing w:after="0" w:line="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pursuant to the rules and regulations of the Securities and Exchange Commission ("SEC") and should be read in conjunction with the audited consolidated financial statements, and the notes to those statements, included in the Company's Form 10-K filed with the SEC on November 22, 2022. The Condensed Consolidated Balance Sheet as of September 30, 2022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and the possibility of changes in general economic conditions.</w:t>
      </w:r>
    </w:p>
    <w:p>
      <w:pPr>
        <w:spacing w:after="0" w:line="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all of its subsidiaries in which a controlling financial interest is maintained. All intercompany transactions and accounts have been eliminated.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Aramark's Intention to Spin-off Uniform Segment</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10, 2022, the Company announced its intention to spin-off its Uniform segment into an independent publicly traded company to Aramark’s stockholders. The proposed spin-off is intended to be a tax-free transaction to Aramark and its stockholders for United States federal income tax purposes. The proposed spin-off is expected to be completed in the second half of fiscal 2023, subject to certain customary conditions, including final approval of the Aramark Board of Directors, receipt of a favorable opinion and Internal Revenue Service ruling with respect to the tax-free nature of the transaction, the effectiveness of a registration statement on Form 10 to be filed with the SEC and the receipt of other regulatory approvals.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Updates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Standards (from most to least recent date of issuance)</w:t>
      </w:r>
    </w:p>
    <w:p>
      <w:pPr>
        <w:spacing w:after="0" w:line="10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 xml:space="preserve">In December 2022, the Financial Accounting Standards Board ("FASB") issued an accounting standards update ("ASU") which defers the sunset date of Topic 848, </w:t>
      </w:r>
      <w:r>
        <w:rPr>
          <w:rFonts w:ascii="Times New Roman" w:cs="Times New Roman" w:eastAsia="Times New Roman" w:hAnsi="Times New Roman"/>
          <w:sz w:val="17"/>
          <w:szCs w:val="17"/>
          <w:i w:val="1"/>
          <w:iCs w:val="1"/>
          <w:color w:val="auto"/>
        </w:rPr>
        <w:t>Reference Rate Reform</w:t>
      </w:r>
      <w:r>
        <w:rPr>
          <w:rFonts w:ascii="Times New Roman" w:cs="Times New Roman" w:eastAsia="Times New Roman" w:hAnsi="Times New Roman"/>
          <w:sz w:val="17"/>
          <w:szCs w:val="17"/>
          <w:color w:val="auto"/>
        </w:rPr>
        <w:t>, to December 31, 2024 from December 31, 2022 and is effective for the Company upon issuance of the ASU. In January 2021, the FASB issued an ASU, which clarified certain optional expedients and exceptions for contract modifications and hedge accounting that may apply to derivatives that are affected by the discontinuance of LIBOR and the reference rate reform standard. In March 2020, the FASB issued an ASU which provided optional expedients that may be applied to assist with the discontinuance of LIBOR. The expedients allow companies to ease the potential accounting burden when modifying contracts and hedging relationships that use LIBOR as a reference rate, if certain criteria are met. During fiscal 2020, the Company applied the optional expedient to assert probability of forecasted hedged transactions occurring on its interest rate swap derivative contracts regardless of any expected contract modifications related to reference rate reform. The Company may apply the optional expedients of this standard through December 31, 2024. The adoption of this guidance did not have a material impact on the condensed consolidated financial statements.</w:t>
      </w:r>
    </w:p>
    <w:p>
      <w:pPr>
        <w:spacing w:after="0" w:line="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November 2021, the FASB issued an ASU which requires an entity to provide certain annual disclosures when they have received government assistance. The guidance was effective for the Company in the first quarter of fiscal 2023. The adoption of this guidance did not have a material impact on the condensed consolidated financial statements.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Not Yet Adopted (from most to least recent date of issuance)</w:t>
      </w:r>
    </w:p>
    <w:p>
      <w:pPr>
        <w:spacing w:after="0" w:line="10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September 2022, the FASB issued an ASU to enhance the transparency of supplier finance programs, which may be referred to as reverse factoring, payables finance or structured payables arrangements. The guidance will require that a buyer in a supplier finance program disclose the program's nature, activity and potential magnitude. The guidance is effective for the Company in the first quarter of fiscal 2024 and early adoption is permitted. The Company is currently evaluating the impact of this standard.</w:t>
      </w:r>
    </w:p>
    <w:p>
      <w:pPr>
        <w:spacing w:after="0" w:line="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In October 2021, the FASB issued an ASU which required that an entity (acquirer) recognize and measure contract assets and contract liabilities acquired in a business combination in accordance with Accounting Standards Codification 606, </w:t>
      </w:r>
      <w:r>
        <w:rPr>
          <w:rFonts w:ascii="Times New Roman" w:cs="Times New Roman" w:eastAsia="Times New Roman" w:hAnsi="Times New Roman"/>
          <w:sz w:val="18"/>
          <w:szCs w:val="18"/>
          <w:i w:val="1"/>
          <w:iCs w:val="1"/>
          <w:color w:val="auto"/>
        </w:rPr>
        <w:t>Revenue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("ASC 606") as if it had originated the contracts. The guidance is effective for the Company in the first quarter of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early adoption is permitted. The Company is currently evaluating the impact of this standard.</w:t>
      </w:r>
    </w:p>
    <w:p>
      <w:pPr>
        <w:spacing w:after="0" w:line="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Other new accounting pronouncements recently issued or newly effective were not applicable to the Company, did not have a material impact on the condensed consolidated financial statements or are not expected to have a material impact on the condensed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Comprehensive income includes all changes to stockholders' equity during a period, except those resulting from investments by and distributions to stockholders. Components of comprehensive income include net income, pension plan adjustments (net of tax), changes in foreign currency translation adjustments (net of tax), changes in the fair value of cash flow hedges (net of tax) and changes to the share of any equity investees' comprehensive (loss) income (net of tax).</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the components of comprehensive income is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380" w:type="dxa"/>
            <w:vAlign w:val="bottom"/>
          </w:tcPr>
          <w:p>
            <w:pPr>
              <w:spacing w:after="0"/>
              <w:rPr>
                <w:sz w:val="11"/>
                <w:szCs w:val="11"/>
                <w:color w:val="auto"/>
              </w:rPr>
            </w:pPr>
          </w:p>
        </w:tc>
        <w:tc>
          <w:tcPr>
            <w:tcW w:w="980" w:type="dxa"/>
            <w:vAlign w:val="bottom"/>
          </w:tcPr>
          <w:p>
            <w:pPr>
              <w:jc w:val="right"/>
              <w:ind w:right="197"/>
              <w:spacing w:after="0" w:line="137"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6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840" w:type="dxa"/>
            <w:vAlign w:val="bottom"/>
            <w:gridSpan w:val="2"/>
          </w:tcPr>
          <w:p>
            <w:pPr>
              <w:jc w:val="right"/>
              <w:ind w:right="137"/>
              <w:spacing w:after="0" w:line="137"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120" w:type="dxa"/>
            <w:vAlign w:val="bottom"/>
          </w:tcPr>
          <w:p>
            <w:pPr>
              <w:spacing w:after="0"/>
              <w:rPr>
                <w:sz w:val="11"/>
                <w:szCs w:val="11"/>
                <w:color w:val="auto"/>
              </w:rPr>
            </w:pPr>
          </w:p>
        </w:tc>
        <w:tc>
          <w:tcPr>
            <w:tcW w:w="980" w:type="dxa"/>
            <w:vAlign w:val="bottom"/>
          </w:tcPr>
          <w:p>
            <w:pPr>
              <w:jc w:val="right"/>
              <w:ind w:right="204"/>
              <w:spacing w:after="0" w:line="137"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40" w:type="dxa"/>
            <w:vAlign w:val="bottom"/>
            <w:gridSpan w:val="3"/>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840" w:type="dxa"/>
            <w:vAlign w:val="bottom"/>
          </w:tcPr>
          <w:p>
            <w:pPr>
              <w:jc w:val="right"/>
              <w:ind w:right="152"/>
              <w:spacing w:after="0" w:line="137" w:lineRule="exact"/>
              <w:rPr>
                <w:sz w:val="20"/>
                <w:szCs w:val="20"/>
                <w:color w:val="auto"/>
              </w:rPr>
            </w:pPr>
            <w:r>
              <w:rPr>
                <w:rFonts w:ascii="Times New Roman" w:cs="Times New Roman" w:eastAsia="Times New Roman" w:hAnsi="Times New Roman"/>
                <w:sz w:val="14"/>
                <w:szCs w:val="14"/>
                <w:b w:val="1"/>
                <w:bCs w:val="1"/>
                <w:color w:val="auto"/>
                <w:w w:val="96"/>
              </w:rPr>
              <w:t>After-Tax</w:t>
            </w:r>
          </w:p>
        </w:tc>
        <w:tc>
          <w:tcPr>
            <w:tcW w:w="0" w:type="dxa"/>
            <w:vAlign w:val="bottom"/>
          </w:tcPr>
          <w:p>
            <w:pPr>
              <w:spacing w:after="0"/>
              <w:rPr>
                <w:sz w:val="1"/>
                <w:szCs w:val="1"/>
                <w:color w:val="auto"/>
              </w:rPr>
            </w:pPr>
          </w:p>
        </w:tc>
      </w:tr>
      <w:tr>
        <w:trPr>
          <w:trHeight w:val="195"/>
        </w:trPr>
        <w:tc>
          <w:tcPr>
            <w:tcW w:w="53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gridSpan w:val="2"/>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42,707</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plan adjustments</w:t>
            </w: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2,480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37,069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34,837</w:t>
            </w:r>
          </w:p>
        </w:tc>
        <w:tc>
          <w:tcPr>
            <w:tcW w:w="11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(8,110)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110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30,780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22,777</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equity investee's comprehensive (loss) income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1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28,146</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28,080</w:t>
            </w:r>
          </w:p>
        </w:tc>
        <w:tc>
          <w:tcPr>
            <w:tcW w:w="1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8"/>
                <w:szCs w:val="18"/>
                <w:color w:val="auto"/>
              </w:rPr>
              <w:t>25,410</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17,746</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60,453</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9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Aramark stockholders</w:t>
            </w: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102,231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(in thousands):</w:t>
            </w: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3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3"/>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20" w:type="dxa"/>
            <w:vAlign w:val="bottom"/>
          </w:tcPr>
          <w:p>
            <w:pPr>
              <w:spacing w:after="0"/>
              <w:rPr>
                <w:sz w:val="17"/>
                <w:szCs w:val="17"/>
                <w:color w:val="auto"/>
              </w:rPr>
            </w:pPr>
          </w:p>
        </w:tc>
        <w:tc>
          <w:tcPr>
            <w:tcW w:w="176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3"/>
        </w:trPr>
        <w:tc>
          <w:tcPr>
            <w:tcW w:w="53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adjustments</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(178,551)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(213,388)</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114,725</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 of equity investee's accumulated other comprehensive loss</w:t>
            </w:r>
          </w:p>
        </w:tc>
        <w:tc>
          <w:tcPr>
            <w:tcW w:w="9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Translation</w:t>
      </w:r>
    </w:p>
    <w:p>
      <w:pPr>
        <w:spacing w:after="0" w:line="108"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Beginning in fiscal 2018, Argentina was determined to have a highly inflationary economy. As a result, the Company remeasures the financial statements of Argentina's operations in accordance with the accounting guidance for highly inflationary economies. The impact of foreign currency transaction gains and losses during the three month periods of both fiscal 2023 and 2022 were immaterial to the condensed consolidated financial statements.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insures portions of its risk in general liability, automobile liability, workers’ compensation liability and property liability through a wholly owned captive insurance subsidiary (the "Captive"), to enhance its risk financing strategies.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December 30, 2022. These regulations may have the effect of limiting the Company's ability to access certain cash and cash equivalents held by the Captive for uses other than for the payment of its general liability, automobile liability, workers' compensation liability, property liability and related Captive costs. As of December 30, 2022 and September 30, 2022, cash and cash equivalents at the Captive were $34.8 million and $23.1 million, respectively. During fiscal 2022, the Captive began investing a portion of its cash and cash equivalents in United States Treasury securities to improve returns on the Captive's assets. The amount of this investment as of December 30, 2022 and September 30, 2022 was $79.1</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860"/>
        <w:spacing w:after="0" w:line="352" w:lineRule="auto"/>
        <w:rPr>
          <w:sz w:val="20"/>
          <w:szCs w:val="20"/>
          <w:color w:val="auto"/>
        </w:rPr>
      </w:pPr>
      <w:r>
        <w:rPr>
          <w:rFonts w:ascii="Times New Roman" w:cs="Times New Roman" w:eastAsia="Times New Roman" w:hAnsi="Times New Roman"/>
          <w:sz w:val="18"/>
          <w:szCs w:val="18"/>
          <w:color w:val="auto"/>
        </w:rPr>
        <w:t xml:space="preserve">million and $78.2 million, respectively, and recorded in "Prepayments and other current assets" on the Condensed Consolidated Balance Sheets. </w:t>
      </w:r>
      <w:r>
        <w:rPr>
          <w:rFonts w:ascii="Times New Roman" w:cs="Times New Roman" w:eastAsia="Times New Roman" w:hAnsi="Times New Roman"/>
          <w:sz w:val="18"/>
          <w:szCs w:val="18"/>
          <w:b w:val="1"/>
          <w:bCs w:val="1"/>
          <w:color w:val="auto"/>
        </w:rPr>
        <w:t>Property and Equipment and Operating Lease Right-of-use Assets</w:t>
      </w: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December 2022, the Company completed a strategic review of certain administrative locations, taking into account facility capacity and current utilization, among other factors. Based on this review, the Company vacated or otherwise reduced its usage of certain of these locations, resulting in an analysis of the recoverability of the assets associated with the locations. As a result, the Company recorded an impairment charge of $23.4 million within its FSS United States and Uniform segments, which is included in "Cost of services provided (exclusive of depreciation and amortization)" in the Condensed Consolidated Statements of Income for the three months ended December 30, 2022. Within the FSS United States segment, the non-cash impairment charge consisted of operating lease right-of-use assets ($7.9 million) and property and equipment ($10.4 million). Within the Uniform segment, the non-cash impairment charge consisted of operating lease right-of-use assets ($4.8 million) and other costs ($0.3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assets consist primarily of costs to obtain or fulfill contracts, including employee sales commissions and rental merchandise in-service, long-term receivables, investments in 50% or less owned entities and computer software costs.</w:t>
      </w:r>
    </w:p>
    <w:p>
      <w:pPr>
        <w:spacing w:after="0" w:line="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investments in 50% or less owned entities accounted for under the equity method of accounting, the carrying amount as of December 30, 2022 and September 30, 2022 was $240.3 million and $224.5 million, respectively.</w:t>
      </w:r>
    </w:p>
    <w:p>
      <w:pPr>
        <w:spacing w:after="0" w:line="40"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both December 30, 2022 and September 30, 2022 was $180.5 million.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Current and Noncurrent Liabilities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is self-insured for obligations related to certain risks that are retained under the Company's casualty program, which includes general liability, automobile liability and workers' compensation liability, as well as for property liability and employee healthcare benefit programs. Reserves for retained costs associated with the casualty program are estimated through actuarial methods, with the assistance of third-party actuaries, using loss development assumptions based on the Company's claims history.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Impact of COVID-19</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Coronavirus Aid, Relief and Economic Security Act ("CARES Act") provided for deferred payment of the employer portion of social security taxes through the end of calendar 2020, with 50% of the deferred amount due December 31, 2021 and the remaining 50% of the amount due December 31, 2022. Approximately $64.2 million of the deferred social security taxes were paid during both the three months ended December 30, 2022 and December 31, 2021.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GOODWILL AND OTHER INTANGIBLE ASSETS:</w:t>
      </w:r>
    </w:p>
    <w:p>
      <w:pPr>
        <w:spacing w:after="0" w:line="10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total goodwill during the three months ended December 30, 2022 are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3"/>
                <w:szCs w:val="13"/>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6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3"/>
                <w:szCs w:val="13"/>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30, 2022</w:t>
            </w:r>
          </w:p>
        </w:tc>
      </w:tr>
      <w:tr>
        <w:trPr>
          <w:trHeight w:val="34"/>
        </w:trPr>
        <w:tc>
          <w:tcPr>
            <w:tcW w:w="20" w:type="dxa"/>
            <w:vAlign w:val="bottom"/>
            <w:tcBorders>
              <w:bottom w:val="single" w:sz="8" w:color="CCEEFF"/>
            </w:tcBorders>
          </w:tcPr>
          <w:p>
            <w:pPr>
              <w:spacing w:after="0"/>
              <w:rPr>
                <w:sz w:val="2"/>
                <w:szCs w:val="2"/>
                <w:color w:val="auto"/>
              </w:rPr>
            </w:pPr>
          </w:p>
        </w:tc>
        <w:tc>
          <w:tcPr>
            <w:tcW w:w="54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FSS 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4,163,875</w:t>
            </w:r>
          </w:p>
        </w:tc>
      </w:tr>
      <w:tr>
        <w:trPr>
          <w:trHeight w:val="229"/>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FSS International</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426,585</w:t>
            </w: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Uniforms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963,559</w:t>
            </w: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5,515,124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5,554,019</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294"/>
              <w:spacing w:after="0"/>
              <w:rPr>
                <w:sz w:val="20"/>
                <w:szCs w:val="20"/>
                <w:color w:val="auto"/>
              </w:rPr>
            </w:pPr>
            <w:r>
              <w:rPr>
                <w:rFonts w:ascii="Times New Roman" w:cs="Times New Roman" w:eastAsia="Times New Roman" w:hAnsi="Times New Roman"/>
                <w:sz w:val="17"/>
                <w:szCs w:val="17"/>
                <w:color w:val="auto"/>
                <w:w w:val="70"/>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9"/>
        </w:trPr>
        <w:tc>
          <w:tcPr>
            <w:tcW w:w="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49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1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(517,795)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956,779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986,711</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1,142,223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1,133,471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1,133,736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1,127,015</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2,616,797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2,113,726</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for the three months ended December 30, 2022 and December 31, 2021 was approximately $28.2 million and $28.9 million,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BORROWINGS: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borrowings, net, are summarized in the following table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60" w:type="dxa"/>
            <w:vAlign w:val="bottom"/>
          </w:tcPr>
          <w:p>
            <w:pPr>
              <w:spacing w:after="0"/>
              <w:rPr>
                <w:sz w:val="16"/>
                <w:szCs w:val="16"/>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 due April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90,897</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March 2025</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1,661,926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1,661,611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April 2026</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334,135</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January 2027</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834,619</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April 2028</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723,170</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senior notes, due April 2025</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547,981</w:t>
            </w: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3.125% senior notes, due April 2025</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317,204</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6.375% senior notes, due May 2025</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1,488,704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1,487,593</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senior notes, due February 2028</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1,141,491</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Facility, due June 2024</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104,935</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147,373</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19,898</w:t>
            </w:r>
          </w:p>
        </w:tc>
      </w:tr>
      <w:tr>
        <w:trPr>
          <w:trHeight w:val="223"/>
        </w:trPr>
        <w:tc>
          <w:tcPr>
            <w:tcW w:w="7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8,158,968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7,410,907</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(65,047)</w:t>
            </w:r>
          </w:p>
        </w:tc>
      </w:tr>
      <w:tr>
        <w:trPr>
          <w:trHeight w:val="248"/>
        </w:trPr>
        <w:tc>
          <w:tcPr>
            <w:tcW w:w="7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8,056,256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7,345,860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20" w:hanging="394"/>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is a Euro denominated borrowing.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30, 2022, there were approximately $902.8 million of outstanding foreign currency borrowings.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30, 2022, the Company had approximately $791.9 million of availability under the senior secured revolving credit facility.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INSTRUMENTS:</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enters into contractual derivative arrangements to manage changes in market conditions related to interest on debt obligations and exposure to fluctuating gasoline and diesel fuel prices. Derivative instruments utilized during the period include interest rate swap agreements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approximately $2.0 billion notional amount of outstanding interest rate swap agreements as of December 30, 2022, which fix the rate on a like amount of variable rate borrowings through December of fiscal 2028. During the three months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ended December 30, 2022, $1.2 billion notional amount of previously forward starting interest rate swap agreements to hedge the cash flow risk of variability in interest payments on variable rate borrowings became effective. In addition, interest rate swaps with notional amounts of approximately $1.6 billion matured during the three months ended December 30, 2022.</w:t>
      </w:r>
    </w:p>
    <w:p>
      <w:pPr>
        <w:spacing w:after="0" w:line="4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Changes in the fair value of a derivative that is designated as and meets all the required criteria for a cash flow hedge are recorded in accumulated other comprehensive loss and reclassified into earnings as the underlying hedged item affects earnings. Amounts reported in accumulated other comprehensive loss related to derivatives will be reclassified to interest expense as interest payments are made on the Company’s variable-rate debt. As of December 30, 2022 and September 30, 2022, approximately $108.6 million and $114.7 million, respectively, of unrealized net of tax gains related to the interest rate swaps were included in "Accumulated other comprehensive loss" on the Condensed Consolidated Balance Sheets.</w:t>
      </w:r>
    </w:p>
    <w:p>
      <w:pPr>
        <w:spacing w:after="0" w:line="6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effect of the Company's derivatives designated as cash flow hedging instruments on Other comprehensive income (in thousands):</w:t>
      </w: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4"/>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18,326</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in Hedging Relationships</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entered into a series of pay fixed/receive floating gasoline and diesel fuel agreements based on the Department of Energy weekly retail on-highway index in order to limit its exposure to price fluctuations for gasoline and diesel fuel. As of December 30, 2022, the Company has contracts for approximately 5.5 million gallons outstanding through September of fiscal 2023. The Company does not record its gasoline and diesel fuel agreements as hedges for accounting purposes. The impact on earnings related to the change in fair value of these unsettled contracts was a gain of approximately $2.0 million for the three months ended December 30, 2022. The impact on earnings related to the change in fair value of these unsettled contracts was a loss of approximately $1.6 million for the three months ended December 31, 2021. The change in fair value for unsettled contracts is included in "Selling and general corporate expenses" on the Condensed Consolidated Statements of Income. When the contracts settle, the gain or loss is recorded to "Cost of services provided (exclusive of depreciation and amortization)" on the Condensed Consolidated Statements of Income.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location and fair value, using Level 2 inputs (see Note 12 for a description of the fair value levels), of the Company's derivatives designated and not designated as hedging instruments in the Condensed Consolidated Balance Sheets (in thousands):</w:t>
      </w: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58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60" w:type="dxa"/>
            <w:vAlign w:val="bottom"/>
          </w:tcPr>
          <w:p>
            <w:pPr>
              <w:spacing w:after="0"/>
              <w:rPr>
                <w:sz w:val="16"/>
                <w:szCs w:val="16"/>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428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Designated as hedging instruments:</w:t>
            </w:r>
          </w:p>
        </w:tc>
        <w:tc>
          <w:tcPr>
            <w:tcW w:w="3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149,755</w:t>
            </w:r>
          </w:p>
        </w:tc>
      </w:tr>
      <w:tr>
        <w:trPr>
          <w:trHeight w:val="223"/>
        </w:trPr>
        <w:tc>
          <w:tcPr>
            <w:tcW w:w="428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155,033</w:t>
            </w:r>
          </w:p>
        </w:tc>
      </w:tr>
      <w:tr>
        <w:trPr>
          <w:trHeight w:val="196"/>
        </w:trPr>
        <w:tc>
          <w:tcPr>
            <w:tcW w:w="42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Not designated as hedging instruments:</w:t>
            </w:r>
          </w:p>
        </w:tc>
        <w:tc>
          <w:tcPr>
            <w:tcW w:w="3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Gasoline and diesel fuel agreements</w:t>
            </w: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23"/>
        </w:trPr>
        <w:tc>
          <w:tcPr>
            <w:tcW w:w="42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1"/>
        </w:trPr>
        <w:tc>
          <w:tcPr>
            <w:tcW w:w="4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location of the (gain) loss reclassified from "Accumulated other comprehensive loss" into earnings for derivatives designated as hedging instruments and the location of the (gain) loss for the Company's derivatives not designated as hedging instruments in the Condensed Consolidated Statements of Income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36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3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6"/>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Designated as hedging instruments:</w:t>
            </w:r>
          </w:p>
        </w:tc>
        <w:tc>
          <w:tcPr>
            <w:tcW w:w="3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Not designated as hedging instruments:</w:t>
            </w:r>
          </w:p>
        </w:tc>
        <w:tc>
          <w:tcPr>
            <w:tcW w:w="3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Gasoline and diesel fuel agreements</w:t>
            </w:r>
          </w:p>
        </w:tc>
        <w:tc>
          <w:tcPr>
            <w:tcW w:w="3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Cost of services provided (exclusive of</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00" w:type="dxa"/>
            <w:vAlign w:val="bottom"/>
          </w:tcPr>
          <w:p>
            <w:pPr>
              <w:spacing w:after="0"/>
              <w:rPr>
                <w:sz w:val="15"/>
                <w:szCs w:val="15"/>
                <w:color w:val="auto"/>
              </w:rPr>
            </w:pPr>
          </w:p>
        </w:tc>
        <w:tc>
          <w:tcPr>
            <w:tcW w:w="36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depreciation and amortization) / Selling and</w:t>
            </w:r>
          </w:p>
        </w:tc>
        <w:tc>
          <w:tcPr>
            <w:tcW w:w="18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an outstanding Japanese yen denominated term loan in the amount of ¥8,510.6 million. The term loan was designated as a hedge of the Company's net Japanese currency exposure represented by the equity investment in the Company's Japanese affiliate, AIM Services Co., Ltd. Additionally, the Company has a Euro denominated term loan in the amount of €98.4 million. The term loan was designated as a hedge of the Company's net Euro currency exposure represented by certain holdings in the Company's European affiliates.</w:t>
      </w:r>
    </w:p>
    <w:p>
      <w:pPr>
        <w:spacing w:after="0" w:line="4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At December 30, 2022, the net of tax gain expected to be reclassified from "Accumulated other comprehensive loss" into earnings over the next twelve months based on current market rates is approximately $45.3 million.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 RECOGNITION:</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generates revenue through sales of food, facility and uniform services to customers based on written contracts at the locations it serves. Within the FSS United States and FSS International segments, the Company provides food and beverage services, including catering and retail services, and facilities services, including plant operations and maintenance, custodial, housekeeping, landscaping and other services. Within the Uniform segment, the Company provides a full service uniform solution, including delivery, cleaning and maintenance. In accordance with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0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revenue source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gridSpan w:val="4"/>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7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20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6"/>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0"/>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&amp; Industry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29"/>
        </w:trPr>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Education</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r>
      <w:tr>
        <w:trPr>
          <w:trHeight w:val="22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Healthcare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r>
      <w:tr>
        <w:trPr>
          <w:trHeight w:val="230"/>
        </w:trPr>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r>
      <w:tr>
        <w:trPr>
          <w:trHeight w:val="229"/>
        </w:trPr>
        <w:tc>
          <w:tcPr>
            <w:tcW w:w="7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Facilities &amp; Other</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w:t>
            </w:r>
          </w:p>
        </w:tc>
      </w:tr>
      <w:tr>
        <w:trPr>
          <w:trHeight w:val="223"/>
        </w:trPr>
        <w:tc>
          <w:tcPr>
            <w:tcW w:w="7700" w:type="dxa"/>
            <w:vAlign w:val="bottom"/>
            <w:shd w:val="clear" w:color="auto" w:fill="CCEEFF"/>
          </w:tcPr>
          <w:p>
            <w:pPr>
              <w:jc w:val="right"/>
              <w:ind w:right="5470"/>
              <w:spacing w:after="0"/>
              <w:rPr>
                <w:sz w:val="20"/>
                <w:szCs w:val="20"/>
                <w:color w:val="auto"/>
              </w:rPr>
            </w:pPr>
            <w:r>
              <w:rPr>
                <w:rFonts w:ascii="Times New Roman" w:cs="Times New Roman" w:eastAsia="Times New Roman" w:hAnsi="Times New Roman"/>
                <w:sz w:val="18"/>
                <w:szCs w:val="18"/>
                <w:color w:val="auto"/>
              </w:rPr>
              <w:t>Total FSS United States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2,425.4</w:t>
            </w:r>
          </w:p>
        </w:tc>
      </w:tr>
      <w:tr>
        <w:trPr>
          <w:trHeight w:val="270"/>
        </w:trPr>
        <w:tc>
          <w:tcPr>
            <w:tcW w:w="7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r>
      <w:tr>
        <w:trPr>
          <w:trHeight w:val="230"/>
        </w:trPr>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r>
      <w:tr>
        <w:trPr>
          <w:trHeight w:val="223"/>
        </w:trPr>
        <w:tc>
          <w:tcPr>
            <w:tcW w:w="7700" w:type="dxa"/>
            <w:vAlign w:val="bottom"/>
          </w:tcPr>
          <w:p>
            <w:pPr>
              <w:jc w:val="right"/>
              <w:ind w:right="5470"/>
              <w:spacing w:after="0"/>
              <w:rPr>
                <w:sz w:val="20"/>
                <w:szCs w:val="20"/>
                <w:color w:val="auto"/>
              </w:rPr>
            </w:pPr>
            <w:r>
              <w:rPr>
                <w:rFonts w:ascii="Times New Roman" w:cs="Times New Roman" w:eastAsia="Times New Roman" w:hAnsi="Times New Roman"/>
                <w:sz w:val="18"/>
                <w:szCs w:val="18"/>
                <w:color w:val="auto"/>
              </w:rPr>
              <w:t>Total FSS International</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w:t>
            </w:r>
          </w:p>
        </w:tc>
      </w:tr>
      <w:tr>
        <w:trPr>
          <w:trHeight w:val="270"/>
        </w:trPr>
        <w:tc>
          <w:tcPr>
            <w:tcW w:w="77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r>
      <w:tr>
        <w:trPr>
          <w:trHeight w:val="270"/>
        </w:trPr>
        <w:tc>
          <w:tcPr>
            <w:tcW w:w="77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3,948.3</w:t>
            </w: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Deferred income is recognized in "Accrued expenses and other current liabilities" on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 the arrangement is short term in nature. If the Company cannot render its performance obligation according to contract terms after receiving the consideration in advance, amounts may be contractually required to be refunded to the customer.</w:t>
      </w:r>
    </w:p>
    <w:p>
      <w:pPr>
        <w:spacing w:after="0" w:line="4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During the three months ended December 30, 2022, deferred income increased related to customer prepayments and decreased related to income recognized during the period as a result of satisfying the performance obligation or return of funds related to non-performance. For the three months ended December 30, 2022, the Company recognized $186.4 million of revenue that was included in deferred income at the beginning of the period. Deferred income balances are summarized in the following table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6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each reporting date, the Company considers existing evidence, both positive and negative, that could impact the need for valuation allowances against deferred tax assets. During the three months ended December 31, 2021, the Company recorded a benefit to the "Provision for Income Taxes" to the Condensed Consolidated Statements of Income of approximately $8.5 million for the reversal of a valuation allowance at a foreign subsidiary driven by the Company's ability to utilize the deferred tax asset based on future taxable income expected due to the acquisition of a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approved an $0.11 dividend per share of common stock, payable on March 8, 2023, to stockholders of record on the close of business on February 22, 2023.</w:t>
      </w:r>
    </w:p>
    <w:p>
      <w:pPr>
        <w:spacing w:after="0" w:line="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100.0 million shares of preferred stock authorized, with a par value of $0.01 per share. At December 30, 2022 and September 30, 2022, zero shares of preferred stock were issued or outstanding.</w:t>
      </w:r>
    </w:p>
    <w:p>
      <w:pPr>
        <w:spacing w:after="0" w:line="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December 15, 2022, the Board of Directors approved, and the stockholders of Aramark subsequently adopted by written consent, the Aramark 2023 Stock Incentive Plan to replace the Third Amended and Restated 2013 Stock Incentive Plan. The 2023 Stock Incentive Plan provides for up to 8.5 million of new shares authorized for issuance to participants, in addition to the shares that remained available for issuance under the 2013 Incentive Plan as of December 15, 2022.</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SHARE-BASED COMPENSATION:</w:t>
      </w:r>
    </w:p>
    <w:p>
      <w:pPr>
        <w:spacing w:after="0" w:line="10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share-based compensation expense and related information for Time-Based Options ("TBOs"), Retention Time-Based Options ("TBO-Rs"), Time-Based Restricted Stock Units ("RSUs"), Performance Stock Units ("PSUs"), Deferred Stock Units and Employee Stock Purchase Plan ("ESPP") recorded within "Selling and general corporate expenses" on the Condensed Consolidated Statements of Income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80" w:type="dxa"/>
            <w:vAlign w:val="bottom"/>
          </w:tcPr>
          <w:p>
            <w:pPr>
              <w:spacing w:after="0"/>
              <w:rPr>
                <w:sz w:val="16"/>
                <w:szCs w:val="16"/>
                <w:color w:val="auto"/>
              </w:rPr>
            </w:pPr>
          </w:p>
        </w:tc>
        <w:tc>
          <w:tcPr>
            <w:tcW w:w="14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9"/>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TBOs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TBO-Rs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Stock Units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7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related to share-based compensation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from Option Exercises/ESPP Purchases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on Share Deliveries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the number of shares granted and the weighted-average grant-date fair value per unit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30,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34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Shares Granted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6"/>
        </w:trPr>
        <w:tc>
          <w:tcPr>
            <w:tcW w:w="77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right"/>
              <w:ind w:right="257"/>
              <w:spacing w:after="0" w:line="146"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8"/>
        </w:trPr>
        <w:tc>
          <w:tcPr>
            <w:tcW w:w="77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(dollars per share)</w:t>
            </w:r>
          </w:p>
        </w:tc>
        <w:tc>
          <w:tcPr>
            <w:tcW w:w="0" w:type="dxa"/>
            <w:vAlign w:val="bottom"/>
          </w:tcPr>
          <w:p>
            <w:pPr>
              <w:spacing w:after="0"/>
              <w:rPr>
                <w:sz w:val="1"/>
                <w:szCs w:val="1"/>
                <w:color w:val="auto"/>
              </w:rPr>
            </w:pPr>
          </w:p>
        </w:tc>
      </w:tr>
      <w:tr>
        <w:trPr>
          <w:trHeight w:val="228"/>
        </w:trPr>
        <w:tc>
          <w:tcPr>
            <w:tcW w:w="778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TBOs</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30"/>
        </w:trPr>
        <w:tc>
          <w:tcPr>
            <w:tcW w:w="9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3"/>
                <w:szCs w:val="23"/>
                <w:color w:val="auto"/>
                <w:vertAlign w:val="superscript"/>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29"/>
        </w:trPr>
        <w:tc>
          <w:tcPr>
            <w:tcW w:w="9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PSUs</w:t>
            </w:r>
            <w:r>
              <w:rPr>
                <w:rFonts w:ascii="Times New Roman" w:cs="Times New Roman" w:eastAsia="Times New Roman" w:hAnsi="Times New Roman"/>
                <w:sz w:val="10"/>
                <w:szCs w:val="10"/>
                <w:color w:val="auto"/>
              </w:rPr>
              <w:t>(1)(2)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0.4</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180"/>
          </w:cols>
          <w:pgMar w:left="320" w:top="175" w:right="399" w:bottom="1440" w:gutter="0" w:footer="0" w:header="0"/>
        </w:sectPr>
      </w:pPr>
    </w:p>
    <w:p>
      <w:pPr>
        <w:ind w:left="20"/>
        <w:spacing w:after="0"/>
        <w:rPr>
          <w:sz w:val="20"/>
          <w:szCs w:val="20"/>
          <w:color w:val="auto"/>
        </w:rPr>
      </w:pPr>
      <w:r>
        <w:rPr>
          <w:rFonts w:ascii="Times New Roman" w:cs="Times New Roman" w:eastAsia="Times New Roman" w:hAnsi="Times New Roman"/>
          <w:sz w:val="13"/>
          <w:szCs w:val="13"/>
          <w:color w:val="auto"/>
        </w:rPr>
        <w:t>(1)</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annual grants for fiscal 2023 were awarded in November 2022 and will vest based upon continued employment over four years. All TBOs remain exercisable for 10 years from the date of grant.</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2"/>
          <w:szCs w:val="12"/>
          <w:color w:val="auto"/>
        </w:rPr>
        <w:t>During the first quarter of fiscal 2023, the Company granted PSUs subject to the level of achievement of adjusted revenue growth, cumulative adjusted earnings per share, return on invested capital and relative total shareholder return for the cumulative performance period over three years and the participant's continued employment with the Company over four years. The Company is accounting for a portion of the award as a</w:t>
      </w:r>
    </w:p>
    <w:p>
      <w:pPr>
        <w:ind w:right="400"/>
        <w:spacing w:after="0" w:line="218" w:lineRule="auto"/>
        <w:rPr>
          <w:sz w:val="20"/>
          <w:szCs w:val="20"/>
          <w:color w:val="auto"/>
        </w:rPr>
      </w:pPr>
      <w:r>
        <w:rPr>
          <w:rFonts w:ascii="Times New Roman" w:cs="Times New Roman" w:eastAsia="Times New Roman" w:hAnsi="Times New Roman"/>
          <w:sz w:val="13"/>
          <w:szCs w:val="13"/>
          <w:color w:val="auto"/>
        </w:rPr>
        <w:t>performance-based award, with the grant-date fair value based on the fair value of the Company's common stock. The Company is accounting for the remainder of the award as a market-based award valued utilizing the Monte Carlo Simulation pricing model, which calculates multiple potential outcomes for an award and establishes fair value based on the most likely outcome.</w:t>
      </w:r>
    </w:p>
    <w:p>
      <w:pPr>
        <w:spacing w:after="0" w:line="183" w:lineRule="exact"/>
        <w:rPr>
          <w:sz w:val="20"/>
          <w:szCs w:val="20"/>
          <w:color w:val="auto"/>
        </w:rPr>
      </w:pPr>
    </w:p>
    <w:p>
      <w:pPr>
        <w:sectPr>
          <w:pgSz w:w="11900" w:h="16838" w:orient="portrait"/>
          <w:cols w:equalWidth="0" w:num="2">
            <w:col w:w="180" w:space="220"/>
            <w:col w:w="10780"/>
          </w:cols>
          <w:pgMar w:left="320" w:top="175"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NOTE 9. EARNINGS PER SHARE:</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attributable to the Company's stockholders (in thousands, except per share data):</w:t>
      </w: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80" w:type="dxa"/>
            <w:vAlign w:val="bottom"/>
          </w:tcPr>
          <w:p>
            <w:pPr>
              <w:spacing w:after="0"/>
              <w:rPr>
                <w:sz w:val="16"/>
                <w:szCs w:val="16"/>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7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42,611</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7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9"/>
        </w:trPr>
        <w:tc>
          <w:tcPr>
            <w:tcW w:w="7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256,470</w:t>
            </w:r>
          </w:p>
        </w:tc>
      </w:tr>
      <w:tr>
        <w:trPr>
          <w:trHeight w:val="230"/>
        </w:trPr>
        <w:tc>
          <w:tcPr>
            <w:tcW w:w="7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23"/>
        </w:trPr>
        <w:tc>
          <w:tcPr>
            <w:tcW w:w="7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261,414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258,045</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bl>
    <w:p>
      <w:pPr>
        <w:spacing w:after="0" w:line="15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Share-based awards to purchase 9.7 million and 9.5 million shares were outstanding for the three months ended December 30, 2022 and December 31, 2021, respectively, but were not included in the computation of diluted earnings per common share, as their effect would have been antidilutive. In addition, PSUs related to 0.9 million and 1.0 million shares were outstanding for the three months ended December 30, 2022 and December 31, 2021, respectively, but were not included in the computation of diluted earnings per common share, as the performance targets were not yet met.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Certain of the Company's lease arrangements, primarily vehicle leases, with terms of one to 12 years, contain provisions related to residual value guarantees. The maximum potential liability to the Company under such arrangements was approximately $27.4 million at December 30, 2022 if the terminal fair value of vehicles coming off lease was zero. Consistent with past experience, management does not expect any significant payments will be required pursuant to these arrangements. No amounts have been accrued for guarantee arrangements at December 30, 2022.</w:t>
      </w:r>
    </w:p>
    <w:p>
      <w:pPr>
        <w:spacing w:after="0" w:line="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BUSINESS SEGMENTS: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reports its operating results in three reportable segments: FSS United States, FSS International and Uniform. Corporate includes general expenses not specifically allocated to an individual segment and share-based compensation expense (see Note 8). In the Company's food and support services segments, approximately 73% of the global revenue is related to food services and 27% is related to facilities services. During the three months ended December 30, 2022 and December 31, 2021, the Company received proceeds of approximately $19.8 million and $9.0 million, respectively, relating to the recovery of the Company's investment (possessory interest) at one of the National Park Service sites within the FSS United States segment. The Company recorded a gain related to the recovery of its investment, which is included in "Cost of services provided (exclusive of depreciation and amortization)" on the Condensed Consolidated Statements of Income.</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75"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segment follows (in millions):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40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20" w:type="dxa"/>
            <w:vAlign w:val="bottom"/>
            <w:vMerge w:val="continue"/>
          </w:tcPr>
          <w:p>
            <w:pPr>
              <w:spacing w:after="0"/>
              <w:rPr>
                <w:sz w:val="15"/>
                <w:szCs w:val="15"/>
                <w:color w:val="auto"/>
              </w:rPr>
            </w:pPr>
          </w:p>
        </w:tc>
        <w:tc>
          <w:tcPr>
            <w:tcW w:w="17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7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2,921.0</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3,948.3</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4"/>
        </w:trPr>
        <w:tc>
          <w:tcPr>
            <w:tcW w:w="7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23"/>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3"/>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8"/>
        </w:trPr>
        <w:tc>
          <w:tcPr>
            <w:tcW w:w="7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Income Before Income Taxes</w:t>
            </w: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OF FINANCIAL ASSETS AND FINANCIAL LIABILITIES: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54" w:lineRule="exact"/>
        <w:rPr>
          <w:sz w:val="20"/>
          <w:szCs w:val="20"/>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methodology are quoted prices (unadjusted) for identical assets or liabilities in active markets</w:t>
      </w:r>
    </w:p>
    <w:p>
      <w:pPr>
        <w:spacing w:after="0" w:line="90"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8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40"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methodology are unobservable and significant to the fair value measurement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December 30, 2022 and September 30, 2022 was $8,054.2 million and $7,153.4 million, respectively. The carrying value of the Company's debt at December 30, 2022 and September 30, 2022 was $8,159.0 million and $7,410.9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spacing w:after="0" w:line="6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part of the Union Supply acquisition completed in fiscal 2022, the Company recorded a contingent consideration obligation based on the fair value of the expected payments. The Company performed a fair value assessment of the contingent consideration obligation based on the terms and conditions of the Union Supply purchase agreement, using internal models. The inputs utilized in estimating the fair value of the contingent consideration have been classified as Level 3 in the fair value hierarchy levels and are subject to risk and uncertainty. The calculation of fair value is dependent on several subjective factors including future earnings and profitability. If assumptions or estimates vary from what was expected, the fair value of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contingent consideration liability may materially change. The fair value of the contingent consideration liability, which was recorded as part of the acquisition, at both December 30, 2022 and September 30, 2022 was $40.2 million, respectively.</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As part of the Next Level acquisition completed in fiscal 2021, the Company recorded a contingent consideration obligation based on the fair value of the expected payments. The Company performed a fair value assessment of the contingent consideration obligation based on the terms and conditions of the Next Level purchase agreement, as amended, using internal models. The inputs utilized in estimating the fair value of the contingent consideration have been classified as Level 3 in the fair value hierarchy levels and are subject to risk and uncertainty. The calculation of fair value is dependent on several subjective factors including future earnings and profitability. If assumptions or estimates vary from what was expected, the fair value of the contingent consideration liability may materially change. The fair value of the contingent consideration liability at December 30, 2022 and September 30, 2022 was $18.4 million and $48.4 million, respectively. During the three months ended December 30, 2022, due to lower performance than expected from inflationary cost pressures and the reduced probability of a prospective business opportunity being awarded during the performance period, the Company adjusted the contingent consideration liability to the fair value of the future expected payment, resulting in income of $29.9 million, which is included in "Cost of services provided (exclusive of depreciation and amortization)" on the Condensed Consolidated Statements of Income.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Certain Investments</w:t>
      </w:r>
    </w:p>
    <w:p>
      <w:pPr>
        <w:spacing w:after="0" w:line="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2, 2023, the Company announced an agreement to sell its 50% equity stake in AIM Services Co., Ltd., a leading Japanese food services company, to Mitsui &amp; Co. for $535 million. The Company will use the proceeds from the transaction toward debt repayment. The transaction is anticipated to close early in the Company's fiscal third quarter, subject to customary closing conditions and approvals.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Aramark's (the "Company," "we," "our" and "us") financial condition and results of operations for the three months ended December 30, 2022 and December 31, 2021 should be read in conjunction with our audited consolidated financial statements and the notes to those statements for the fiscal year ended September 30, 2022 included in our Annual Report on Form 10-K, filed with the Securities and Exchange Commission ("SEC") on November 22, 2022.</w:t>
      </w:r>
    </w:p>
    <w:p>
      <w:pPr>
        <w:spacing w:after="0" w:line="58"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clients. Through these partnerships, we serve millions of consumers including students, patients, employees, sports fans and guests worldwide. We operate our business in three reportable segments: Food and Support Services United States ("FSS United States"), Food and Support Services International ("FSS International") and Uniform and Career Apparel ("Uniform").</w:t>
      </w:r>
    </w:p>
    <w:p>
      <w:pPr>
        <w:spacing w:after="0" w:line="6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FSS United States reportable segment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Administrative expenses not allocated to our three reportable segments are presented separately as corporate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Update</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Recent global events, including the COVID-19 pandemic ("COVID-19") and the ongoing conflict between Russia and Ukraine, countries in which we do not have direct operations, have adversely affected global economies, disrupted global supply chains and labor force participation and created significant volatility and disruption of financial markets. The ongoing volatility of financial markets caused by these global events, as well as other current global economic factors, have triggered inflation in product and labor costs, have increased market interest rates and have driven significant changes in foreign currencies. The impact on our longer-term operational and financial performance will depend on future developments, including our response and governmental response to inflation, our interest rate hedging strategy and any refinancing activity, the duration and severity of the ongoing volatility of global financial markets and our ability to effectively hire and retain personnel. Some of these future developments are outside of our control and are highly uncertain.</w:t>
      </w:r>
    </w:p>
    <w:p>
      <w:pPr>
        <w:spacing w:after="0" w:line="7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continue to evaluate and react to the effects of prolonged global economic disruptions, including items such as inflationary pressures on product costs, greater labor challenges and the financial condition of our clients in certain businesses. We expect these challenges to continue throughout fiscal 2023, and we regularly evaluate and react in order to take appropriate actions to mitigate the risk in these areas. This includes proactively managing inflation and global supply chain disruption, through management of operating costs, including supply chain initiatives, and pricing pass-throughs.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FSS United States segment, the current environment within each of our sectors is as follows:</w:t>
      </w:r>
    </w:p>
    <w:p>
      <w:pPr>
        <w:spacing w:after="0" w:line="90" w:lineRule="exact"/>
        <w:rPr>
          <w:sz w:val="20"/>
          <w:szCs w:val="20"/>
          <w:color w:val="auto"/>
        </w:rPr>
      </w:pPr>
    </w:p>
    <w:p>
      <w:pPr>
        <w:ind w:left="660" w:right="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 Higher Education saw increased student enrollments, improved presence of staff and more events on campuses, partially offset by the end of universal government-sponsored programs in K-12.</w:t>
      </w:r>
    </w:p>
    <w:p>
      <w:pPr>
        <w:spacing w:after="0" w:line="40"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 Leisure &amp; Corrections – Sports saw increased event pricing and per capita spending with Sports and Leisure having a more robust event calendar. Corrections revenue was led by the Union Supply acquisition and new business wins.</w:t>
      </w:r>
    </w:p>
    <w:p>
      <w:pPr>
        <w:spacing w:after="0" w:line="40"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&amp; Industry – Business &amp; Industry saw increased client pricing, higher meal participation rates and increased in-person activity along with new business openings.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3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&amp; Other – Facilities revenue increased as services and frequency expanded, particularly at large client accounts, combined with new business openings.</w:t>
      </w:r>
    </w:p>
    <w:p>
      <w:pPr>
        <w:spacing w:after="0" w:line="26"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 Healthcare revenue increased led by ongoing base business growth from vertical sales and greater visitor presence combined with new business openings.</w:t>
      </w:r>
    </w:p>
    <w:p>
      <w:pPr>
        <w:spacing w:after="0" w:line="27"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Within the FSS International segment, Europe and Canada continue to increase revenues with consistent new business performance, pricing and volume recovery, especially within the business and industry portfolio. China has seen an impact with the shift from the country's Zero COVID policy, and South America continues to experience strong performance in extractive services.</w:t>
      </w:r>
    </w:p>
    <w:p>
      <w:pPr>
        <w:spacing w:after="0" w:line="5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the Uniform segment, our business serves a range of clients, focusing on solution-oriented services driving safety and hygiene. The Uniform segment has seen higher revenues as a result of client pricing and increasing levels of client wins in both recurring rental and adjacency services.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Aramark’s Intention to Spin-off Uniform Segment</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May 10, 2022, we announced our intention to spin-off our Uniform segment into an independent publicly traded company to our stockholders. The proposed spin-off is intended to be a tax-free transaction to us and our stockholders for United States federal income tax purposes. The proposed spin-off is expected to be completed in the second half of fiscal 2023, subject to certain customary conditions, including final approval of our Board of Directors, receipt of a favorable opinion and Internal Revenue Service ruling with respect to the tax-free nature of the transaction, the effectiveness of a registration statement on Form 10 to be filed with the SEC and the receipt of other regulatory approvals.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Certain Investments</w:t>
      </w:r>
    </w:p>
    <w:p>
      <w:pPr>
        <w:spacing w:after="0" w:line="6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February 2, 2023, we announced an agreement to sell our 50% equity stake in AIM Services Co., Ltd., a leading Japanese food services company, to Mitsui &amp; Co. for $535 million. We will use the proceeds from the transaction toward debt repayment. The transaction is anticipated to close early in our fiscal third quarter, subject to customary closing conditions and approvals.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revenue and operating results have varied, and we expect them to continue to vary,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 For cash flows, historically there has been cash usage during our first fiscal quarter due to lower activity within our sports and leisure clients as well as payments related to employee incentives. Conversely, historically there has been cash inflows during our fourth fiscal quarter due to an inflow of customer prepayments particularly within our Higher Education business in anticipation of the fall semester and higher activity within our sports and leisure clients. Recently, our business and results of operations have started to resemble our historically typical patterns of seasonality following the disruption caused by COVID-19.</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Fluctuations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fiscal year is the fifty-two or fifty-three week period which ends on the Friday nearest September 30th. The fiscal years ending September 29, 2023 and September 30, 2022 are both fifty-two week periods.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tables present an overview of our results on a consolidated and segment basis with the amount of and percentage change between periods for the three months ended December 30, 2022 and December 31, 2021 (in millions).</w:t>
      </w: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8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6"/>
                <w:szCs w:val="16"/>
                <w:color w:val="auto"/>
              </w:rPr>
            </w:pPr>
          </w:p>
        </w:tc>
        <w:tc>
          <w:tcPr>
            <w:tcW w:w="10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3,948.3</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0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78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Cost of services provided (exclusive of depreciation and</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3,571.1</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3,808.1</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23"/>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108.1 %</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4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24"/>
                <w:szCs w:val="24"/>
                <w:color w:val="auto"/>
              </w:rPr>
            </w:pPr>
          </w:p>
        </w:tc>
        <w:tc>
          <w:tcPr>
            <w:tcW w:w="10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Segment</w:t>
            </w:r>
            <w:r>
              <w:rPr>
                <w:rFonts w:ascii="Times New Roman" w:cs="Times New Roman" w:eastAsia="Times New Roman" w:hAnsi="Times New Roman"/>
                <w:sz w:val="18"/>
                <w:szCs w:val="18"/>
                <w:b w:val="1"/>
                <w:bCs w:val="1"/>
                <w:color w:val="auto"/>
                <w:vertAlign w:val="superscript"/>
              </w:rPr>
              <w:t>(1)</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2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3,948.3</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8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22"/>
                <w:szCs w:val="22"/>
                <w:color w:val="auto"/>
              </w:rPr>
            </w:pPr>
          </w:p>
        </w:tc>
        <w:tc>
          <w:tcPr>
            <w:tcW w:w="10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by Segment</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Not meaningful</w:t>
      </w:r>
    </w:p>
    <w:p>
      <w:pPr>
        <w:spacing w:after="0" w:line="69" w:lineRule="exact"/>
        <w:rPr>
          <w:sz w:val="20"/>
          <w:szCs w:val="20"/>
          <w:color w:val="auto"/>
        </w:rPr>
      </w:pPr>
    </w:p>
    <w:p>
      <w:pPr>
        <w:ind w:right="160" w:firstLine="8"/>
        <w:spacing w:after="0" w:line="302" w:lineRule="auto"/>
        <w:tabs>
          <w:tab w:leader="none" w:pos="20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percentage of total revenue, FSS United States represented 63.5% and 61.4%, FSS International represented 21.6% and 22.1% and Uniform represented 14.9% and 16.5% for the three months ended December 30, 2022 and December 31, 2021,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Overview</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increased by approximately 16.5% during the three month period of fiscal 2023 compared to the prior year period. The increase was primarily attributable to growth in base business and net new business and pricing pass-throughs. In addition, the acquisition of Union Supply, which occurred during the third quarter of fiscal 2022, contributed $72.3 million during the three month period of fiscal 2023. Foreign currency translation unfavorably impacted revenue for the three month period of fiscal 2023 by 3.3%.</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cost of services provided (exclusive of depreciation and amortization) by segment and as a percent of revenue for the three months ended December 30, 2022 and December 31, 2021 (in millions).</w:t>
      </w: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r>
      <w:tr>
        <w:trPr>
          <w:trHeight w:val="190"/>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340" w:type="dxa"/>
            <w:vAlign w:val="bottom"/>
          </w:tcPr>
          <w:p>
            <w:pPr>
              <w:spacing w:after="0"/>
              <w:rPr>
                <w:sz w:val="16"/>
                <w:szCs w:val="16"/>
                <w:color w:val="auto"/>
              </w:rPr>
            </w:pPr>
          </w:p>
        </w:tc>
        <w:tc>
          <w:tcPr>
            <w:tcW w:w="2400" w:type="dxa"/>
            <w:vAlign w:val="bottom"/>
            <w:gridSpan w:val="3"/>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 depreciation and amortization)</w:t>
            </w: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29"/>
        </w:trPr>
        <w:tc>
          <w:tcPr>
            <w:tcW w:w="5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2,641.7</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90.4 %</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2,215.6</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91.3 %</w:t>
            </w: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94.9 %</w:t>
            </w: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81.1 %</w:t>
            </w:r>
          </w:p>
        </w:tc>
      </w:tr>
      <w:tr>
        <w:trPr>
          <w:trHeight w:val="223"/>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90.5 %</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90.4 %</w:t>
            </w: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percentages attributable to the components in cost of services provided (exclusive of depreciation and amortization) for the three months ended December 30, 2022 and December 31, 2021.</w:t>
      </w: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3"/>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 depreciation and amortization) components</w:t>
            </w:r>
          </w:p>
        </w:tc>
        <w:tc>
          <w:tcPr>
            <w:tcW w:w="180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gridSpan w:val="2"/>
            <w:vMerge w:val="continue"/>
          </w:tcPr>
          <w:p>
            <w:pPr>
              <w:spacing w:after="0"/>
              <w:rPr>
                <w:sz w:val="16"/>
                <w:szCs w:val="16"/>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9"/>
        </w:trPr>
        <w:tc>
          <w:tcPr>
            <w:tcW w:w="758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Food and support service costs</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direct costs</w:t>
            </w:r>
            <w:r>
              <w:rPr>
                <w:rFonts w:ascii="Times New Roman" w:cs="Times New Roman" w:eastAsia="Times New Roman" w:hAnsi="Times New Roman"/>
                <w:sz w:val="23"/>
                <w:szCs w:val="23"/>
                <w:color w:val="auto"/>
                <w:vertAlign w:val="superscript"/>
              </w:rPr>
              <w:t>(3)</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280" w:firstLine="8"/>
        <w:spacing w:after="0" w:line="282" w:lineRule="auto"/>
        <w:tabs>
          <w:tab w:leader="none" w:pos="20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Food and support service costs represented a higher proportion of total cost of services provided (exclusive of depreciation and amortization) during the three months ended December 30, 2022 mainly from product cost inflation and volume recovery from COVID-19.</w:t>
      </w:r>
    </w:p>
    <w:p>
      <w:pPr>
        <w:spacing w:after="0" w:line="53" w:lineRule="exact"/>
        <w:rPr>
          <w:rFonts w:ascii="Times New Roman" w:cs="Times New Roman" w:eastAsia="Times New Roman" w:hAnsi="Times New Roman"/>
          <w:sz w:val="14"/>
          <w:szCs w:val="14"/>
          <w:color w:val="auto"/>
        </w:rPr>
      </w:pPr>
    </w:p>
    <w:p>
      <w:pPr>
        <w:ind w:right="240" w:firstLine="8"/>
        <w:spacing w:after="0" w:line="302" w:lineRule="auto"/>
        <w:tabs>
          <w:tab w:leader="none" w:pos="20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 costs decreased as a percentage of total cost of services provided (exclusive of depreciation and amortization) during the three months ended December 30, 2022 due to food and support service costs increasing at a higher proportion as compared to personnel costs.</w:t>
      </w:r>
    </w:p>
    <w:p>
      <w:pPr>
        <w:spacing w:after="0" w:line="26" w:lineRule="exact"/>
        <w:rPr>
          <w:rFonts w:ascii="Times New Roman" w:cs="Times New Roman" w:eastAsia="Times New Roman" w:hAnsi="Times New Roman"/>
          <w:sz w:val="14"/>
          <w:szCs w:val="14"/>
          <w:color w:val="auto"/>
        </w:rPr>
      </w:pPr>
    </w:p>
    <w:p>
      <w:pPr>
        <w:ind w:right="180" w:firstLine="8"/>
        <w:spacing w:after="0" w:line="302" w:lineRule="auto"/>
        <w:tabs>
          <w:tab w:leader="none" w:pos="20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direct costs represented a lower proportion of total cost of services provided (exclusive of depreciation and amortization) during the three months ended December 30, 2022 driven by the increase in food and support service costs.</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Operating income increased by approximately $59.4 million during the three month period of fiscal 2023 compared to the prior year period driven by base business growth, including from volume recovery from COVID-19, increased pricing and effective cost management. The increase in operating income also benefited from non-cash income related to the reduction of the contingent consideration liability from the earn-out of the Next Level acquisition ($29.9 million) (see Note 12 to the condensed consolidated financial statements), higher income related to favorable loss experience under our general liability, automotive liability and workers' compensation liability programs when compared to the three month period of fiscal 2022 (approximately $11.0 million) and a higher gain relating to the recovery of our investment (possessory interest) at one of the National Park Service sites when compared to the three month period of fiscal 2022 ($10.8 million).</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These increases in operating income more than offset increased inflationary costs in product and labor and impairment charges of operating lease right-of-use assets, property and equipment and other costs related to certain real estate properties ($23.4 million) (see Note 1 to the condensed consolidated financial statements).</w:t>
      </w:r>
    </w:p>
    <w:p>
      <w:pPr>
        <w:spacing w:after="0" w:line="5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Interest and Other Financing Costs, net, increased 9.0% during the three month period of fiscal 2023 compared to the prior year period. The increase was primarily due to higher interest rates related to our senior secured term loan facilities and interest from increased borrowings under the Receivables Facility.</w:t>
      </w:r>
    </w:p>
    <w:p>
      <w:pPr>
        <w:spacing w:after="0" w:line="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the three month period of fiscal 2023 was recorded at an effective tax rate of 25.1%. The provision for income taxes for the three month period of fiscal 2022 was recorded at an effective tax rate of 9.6%. During the three month period ended December 31, 2021, we recorded an income tax benefit of approximately $8.5 million for the reversal of a valuation allowance against deferred tax assets within a foreign subsidiary due to an acquisition of a business.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United States Segment</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each of these sectors are summarized as follows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1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190"/>
        </w:trPr>
        <w:tc>
          <w:tcPr>
            <w:tcW w:w="64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&amp; Industry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43.1 %</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&amp; Other</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3"/>
        </w:trPr>
        <w:tc>
          <w:tcPr>
            <w:tcW w:w="6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20.4 %</w:t>
            </w:r>
          </w:p>
        </w:tc>
      </w:tr>
      <w:tr>
        <w:trPr>
          <w:trHeight w:val="21"/>
        </w:trPr>
        <w:tc>
          <w:tcPr>
            <w:tcW w:w="6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Historically, the Healthcare, Education and Facilities &amp; Other sectors generally have high-single digit operating income margins. The Business &amp; Industry and Sports, Leisure &amp; Corrections sectors generally have mid-single digit operating income margins. During the COVID-19 pandemic and in following periods, operating income margins in the FSS United States sectors have differed and continue to differ from our otherwise historical patterns, particularly in the Business &amp; Industry sector.</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FSS United States segment revenue increased by approximately 20.4% during the three month period of fiscal 2023 compared to the prior year period. The increase was primarily attributable to base business growth, net new business growth and pricing pass-throughs. The Business &amp; Industry sector increased due to continued steady progress as return-to-office gained momentum across the portfolio along with pricing pass-throughs. The Sports, Leisure &amp; Corrections sector increased due to higher per capita customer spending in stadiums and arenas and the acquisition of Union Supply, which contributed $72.3 million of revenue during the three month period of fiscal 2023. The Education sector increased due to pricing pass-throughs within Higher Education largely negotiated in early fiscal 2022 partially offset by the end of universal government-sponsored programs in K-12.</w:t>
      </w:r>
    </w:p>
    <w:p>
      <w:pPr>
        <w:spacing w:after="0" w:line="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Operating income increased by approximately $64.2 million during the three month period of fiscal 2023 compared to the prior year period. The increase was primarily attributable to growth in base business, increased pricing and effective cost management. The increase also benefited from non-cash income related to the reduction of the contingent consideration liability from the earn-out of the Next Level acquisition ($29.9 million) (see Note 12 to the condensed consolidated financial statements), higher income related to favorable loss experience under our general liability, automotive liability and workers' compensation liability programs when compared to the three month period of fiscal 2022 (approximately $11.0 million) and a higher gain relating to the recovery of its investment (possessory interest) at one of the National Park Service sites when compared to the three month period of fiscal 2022 ($10.8 million). The increase in operating income was partially offset by increased inflationary costs in product and labor and non-cash charges for the impairment of operating lease right-of-use assets and property and equipment related to certain real estate properties ($18.3 million) (see Note 1 to the condensed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International Segment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FSS International segment revenue increased by approximately 13.7% during the three month period of fiscal 2023 compared to the prior year period. The increase was primarily attributable to base business growth, net new business growth and pricing pass-throughs. The growth in revenue was partially offset by the negative impact of foreign currency translation (13.9%).</w:t>
      </w:r>
    </w:p>
    <w:p>
      <w:pPr>
        <w:spacing w:after="0" w:line="4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Operating income increased by approximately $4.1 million during the three month period of fiscal 2023 compared to the prior year period. The increase was mainly attributable to growth in base business and increased pricing, which more than offset increased inflationary costs in product and labor, prior year labor related tax credits provided from governmental assistance programs ($12.2 million), non-cash charges for the impairment of certain assets related to a business held-for-sale ($5.2 million) and the negative impact of foreign currency translation (approximately $4.5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Uniform Segment</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Uniform segment revenue increased by approximately 5.8% during the three month period of fiscal 2023 compared to the prior year period, primarily due to growth within our uniform rental business and improved pricing.</w:t>
      </w:r>
    </w:p>
    <w:p>
      <w:pPr>
        <w:spacing w:after="0" w:line="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Operating income decreased by approximately $12.4 million during the three month period of fiscal 2023 compared to the prior year period. The decrease in operating income was primarily attributable to non-cash charges for the impairment of operating lease right-of-use assets and other costs related to certain real estate properties ($5.1 million) (see Note 1 to the condensed consolidated financial statements), personnel and other expenses related to our intention to spin-off the Uniform segment ($3.5 million) and increased inflationary costs in labor and products, which more than offset growth within the uniform rental business and increased pricing.</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Corporate expenses, those administrative expenses not allocated to the business segments, decreased by approximately $3.5 million during the three month period of fiscal 2023 compared to the prior year period. The decrease was mainly attributable to the favorable change in fair value of certain gasoline and diesel agreements ($3.7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during the current fiscal year are cash generated from operating activities, funds from borrowings, investments in marketable securities and existing cash on hand. As of December 30, 2022, we had $305.1 million of cash and cash equivalents and approximately $791.9 million of availability under our senior secured revolving credit facility. A significant portion of our cash and cash equivalents are held in mature, liquid geographies where we have operations. As of December 30, 2022, there were approximately $902.8 million of outstanding foreign currency borrowings.</w:t>
      </w:r>
    </w:p>
    <w:p>
      <w:pPr>
        <w:spacing w:after="0" w:line="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marketable securities and availability under our revolving credit facility will be adequate to meet anticipated cash requirements for the foreseeable future to fund working capital, capital spending, debt service obligations, refinancings, dividends and other cash needs. We have no significant debt maturities due until 2025. We also have flexibility to optimize working capital and defer certain capital expenditures as appropriate without a material impact to the business. We believe that our assumptions used to estimate our liquidity and working capital requirements are reasonable. For additional information regarding the risks associated with our liquidity and capital resources, see Part I, Item 1A, "Risk Factors" in our Annual Report on Form 10-K filed with the SEC on November 22,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activity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16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center"/>
              <w:ind w:left="815"/>
              <w:spacing w:after="0"/>
              <w:rPr>
                <w:sz w:val="20"/>
                <w:szCs w:val="20"/>
                <w:color w:val="auto"/>
              </w:rPr>
            </w:pPr>
            <w:r>
              <w:rPr>
                <w:rFonts w:ascii="Times New Roman" w:cs="Times New Roman" w:eastAsia="Times New Roman" w:hAnsi="Times New Roman"/>
                <w:sz w:val="18"/>
                <w:szCs w:val="18"/>
                <w:color w:val="auto"/>
              </w:rPr>
              <w:t>(503.4)</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815"/>
              <w:spacing w:after="0"/>
              <w:rPr>
                <w:sz w:val="20"/>
                <w:szCs w:val="20"/>
                <w:color w:val="auto"/>
              </w:rPr>
            </w:pPr>
            <w:r>
              <w:rPr>
                <w:rFonts w:ascii="Times New Roman" w:cs="Times New Roman" w:eastAsia="Times New Roman" w:hAnsi="Times New Roman"/>
                <w:sz w:val="18"/>
                <w:szCs w:val="18"/>
                <w:color w:val="auto"/>
              </w:rPr>
              <w:t>(177.7)</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35"/>
              <w:spacing w:after="0"/>
              <w:rPr>
                <w:sz w:val="20"/>
                <w:szCs w:val="20"/>
                <w:color w:val="auto"/>
              </w:rPr>
            </w:pPr>
            <w:r>
              <w:rPr>
                <w:rFonts w:ascii="Times New Roman" w:cs="Times New Roman" w:eastAsia="Times New Roman" w:hAnsi="Times New Roman"/>
                <w:sz w:val="18"/>
                <w:szCs w:val="18"/>
                <w:color w:val="auto"/>
                <w:w w:val="98"/>
              </w:rPr>
              <w:t>565.0</w:t>
            </w:r>
          </w:p>
        </w:tc>
      </w:tr>
    </w:tbl>
    <w:p>
      <w:pPr>
        <w:spacing w:after="0" w:line="157" w:lineRule="exact"/>
        <w:rPr>
          <w:sz w:val="20"/>
          <w:szCs w:val="20"/>
          <w:color w:val="auto"/>
        </w:rPr>
      </w:pPr>
    </w:p>
    <w:p>
      <w:pPr>
        <w:ind w:right="2040"/>
        <w:spacing w:after="0" w:line="352" w:lineRule="auto"/>
        <w:rPr>
          <w:sz w:val="20"/>
          <w:szCs w:val="20"/>
          <w:color w:val="auto"/>
        </w:rPr>
      </w:pPr>
      <w:r>
        <w:rPr>
          <w:rFonts w:ascii="Times New Roman" w:cs="Times New Roman" w:eastAsia="Times New Roman" w:hAnsi="Times New Roman"/>
          <w:sz w:val="18"/>
          <w:szCs w:val="18"/>
          <w:color w:val="auto"/>
        </w:rPr>
        <w:t xml:space="preserve">Reference to the Condensed Consolidated Statements of Cash Flows will facilitate understanding of the discussion that follows. </w:t>
      </w:r>
      <w:r>
        <w:rPr>
          <w:rFonts w:ascii="Times New Roman" w:cs="Times New Roman" w:eastAsia="Times New Roman" w:hAnsi="Times New Roman"/>
          <w:sz w:val="18"/>
          <w:szCs w:val="18"/>
          <w:b w:val="1"/>
          <w:bCs w:val="1"/>
          <w:i w:val="1"/>
          <w:iCs w:val="1"/>
          <w:color w:val="auto"/>
        </w:rPr>
        <w:t>Cash Flows Used in Operating Activities</w:t>
      </w:r>
    </w:p>
    <w:p>
      <w:pPr>
        <w:ind w:right="20"/>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was $607.2 million during the three month period of fiscal 2023, compared to $503.4 million of cash used in operating activities for the three month period of fiscal 2022. The change was driven from higher use of cash from the change in operating assets and liabilities, which more than offset the impact of having higher net income in the three month period of fiscal 2023 compared to the three month period of fiscal 2022 as discussed in "Results of Operations" above. The $120.6 million change in operating assets and liabilities compared to the prior year period was primarily due to:</w:t>
      </w:r>
    </w:p>
    <w:p>
      <w:pPr>
        <w:spacing w:after="0" w:line="75" w:lineRule="exact"/>
        <w:rPr>
          <w:sz w:val="20"/>
          <w:szCs w:val="20"/>
          <w:color w:val="auto"/>
        </w:rPr>
      </w:pPr>
    </w:p>
    <w:p>
      <w:pPr>
        <w:ind w:left="660" w:right="360" w:hanging="328"/>
        <w:spacing w:after="0" w:line="255" w:lineRule="auto"/>
        <w:tabs>
          <w:tab w:leader="none" w:pos="648" w:val="left"/>
        </w:tabs>
        <w:numPr>
          <w:ilvl w:val="0"/>
          <w:numId w:val="9"/>
        </w:numPr>
        <w:rPr>
          <w:rFonts w:ascii="Times New Roman" w:cs="Times New Roman" w:eastAsia="Times New Roman" w:hAnsi="Times New Roman"/>
          <w:sz w:val="20"/>
          <w:szCs w:val="20"/>
          <w:i w:val="1"/>
          <w:iCs w:val="1"/>
          <w:color w:val="212529"/>
        </w:rPr>
      </w:pPr>
      <w:r>
        <w:rPr>
          <w:rFonts w:ascii="Times New Roman" w:cs="Times New Roman" w:eastAsia="Times New Roman" w:hAnsi="Times New Roman"/>
          <w:sz w:val="18"/>
          <w:szCs w:val="18"/>
          <w:color w:val="auto"/>
        </w:rPr>
        <w:t>Accounts payable by $99.1 million, resulting in a higher use of cash during the three month period of fiscal 2023 compared to the three month period of fiscal 2022 from the timing of disbursements.</w:t>
      </w:r>
    </w:p>
    <w:p>
      <w:pPr>
        <w:spacing w:after="0" w:line="62" w:lineRule="exact"/>
        <w:rPr>
          <w:rFonts w:ascii="Times New Roman" w:cs="Times New Roman" w:eastAsia="Times New Roman" w:hAnsi="Times New Roman"/>
          <w:sz w:val="20"/>
          <w:szCs w:val="20"/>
          <w:i w:val="1"/>
          <w:iCs w:val="1"/>
          <w:color w:val="212529"/>
        </w:rPr>
      </w:pPr>
    </w:p>
    <w:p>
      <w:pPr>
        <w:jc w:val="both"/>
        <w:ind w:left="660" w:right="3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by $37.5 million, resulting in a higher use of cash during the three month period of fiscal 2023 compared to the three month period of fiscal 2022 primarily due to the following: higher commission payments in our Sports and Entertainment business in the current year compared to the prior year and higher recognition of deferred income in our Higher Education business; and</w:t>
      </w:r>
    </w:p>
    <w:p>
      <w:pPr>
        <w:spacing w:after="0" w:line="54"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by $31.1 million, resulting in a use of cash during the three month period of fiscal 2023 compared to a source of cash during the three month period of fiscal 2022 from growth within our uniform rental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changes in operating assets and liabilities more than offset:</w:t>
      </w:r>
    </w:p>
    <w:p>
      <w:pPr>
        <w:spacing w:after="0" w:line="104" w:lineRule="exact"/>
        <w:rPr>
          <w:sz w:val="20"/>
          <w:szCs w:val="20"/>
          <w:color w:val="auto"/>
        </w:rPr>
      </w:pPr>
    </w:p>
    <w:p>
      <w:pPr>
        <w:jc w:val="both"/>
        <w:ind w:left="660" w:right="1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by $33.0 million, resulting in a lower use of cash during the three month period of fiscal 2023 compared to the three month period of fiscal 2022 as the prior year had a higher use of cash from operations returning following the lifting of COVID-19 restrictions. Both periods were impacted by new business and timing of collections.</w:t>
      </w:r>
    </w:p>
    <w:p>
      <w:pPr>
        <w:spacing w:after="0" w:line="54"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three month period of fiscal 2022 included approximately $24.9 million of proceeds associated with labor related tax credits from the foreign jurisdictions in which we operate as a form of relief from COVID-19. During the three month periods of fiscal 2023 and 2022, we received proceeds of approximately $15.3 million and $1.9 million, respectively, related to favorable loss experience in older insurance years under our general liability, automobile liability and workers' compensation liability programs. The higher use of cash during the three month period of fiscal 2023 compared to the three month period of fiscal 2022 in "Payments made to clients on contracts" was driven primarily due to timing and contract renewals. The "Other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operating activities" caption reflects adjustments to net income in the current year and prior year periods related to non-cash gains and losses and adjustments to non-operating cash gains and losses.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net cash flows used in investing activities were lower during the three month period of fiscal 2023 compared to the three month period of fiscal 2022 due to the prior year period having a higher level of acquisitions of certain businesses and certain equity method investments, which more than offset higher purchases of property and equipment in the current year. The "Other investing activities" caption includes $19.8 million and $9.0 million of proceeds received during the three month period of fiscal 2023 and fiscal 2022, respectively, relating to the recovery of our investment (possessory interest) at one of the National Park Service sites within our Sports, Leisure &amp; Corrections sector.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three month period of fiscal 2023, cash provided by financing activities was primarily impacted by borrowings under the Receivables Facility ($395.1 million) and borrowings under the revolving credit facility ($282.0 million).</w:t>
      </w:r>
    </w:p>
    <w:p>
      <w:pPr>
        <w:spacing w:after="0" w:line="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three month period of fiscal 2022, cash provided by financing activities was primarily impacted by borrowings under the Receivables Facility ($500.0 million) and borrowings under the revolving credit facility ($106.0 million).</w:t>
      </w:r>
    </w:p>
    <w:p>
      <w:pPr>
        <w:spacing w:after="0" w:line="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"Other financing activities" caption also reflects a use of cash during the three month periods of fiscal 2023 and fiscal 2022 primarily related to taxes paid by us when we withhold shares upon an employee's exercise or vesting of equity awards to cover income taxes.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December 30, 2022, we were in compliance with these covenants.</w:t>
      </w:r>
    </w:p>
    <w:p>
      <w:pPr>
        <w:spacing w:after="0" w:line="67"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4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5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of Aramark Services, Inc. ("ASI") and its restricted subsidiaries plus interest and other financing costs, net, provision for income taxes and depreciation and amortization, further adjusted to give effect to adjustments required in calculating covenant ratios and compliance under our Credit Agreement and the indentures governing our senior notes.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spacing w:after="0" w:line="4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attributable to ASI stockholder, which is a U.S. GAAP measure of ASI's operating results, to Covenant Adjusted EBITDA as defined in our debt agreements. The terms and related calculations are defined in the Credit Agreement and the indentures governing our senior notes. Covenant Adjusted EBITDA is a measure of</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 and its restricted subsidiaries only and does not include the results of Aramark.</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20955</wp:posOffset>
            </wp:positionV>
            <wp:extent cx="21342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3"/>
          <w:szCs w:val="13"/>
          <w:b w:val="1"/>
          <w:bCs w:val="1"/>
          <w:color w:val="auto"/>
        </w:rPr>
        <w:t>December 30, 2022</w:t>
      </w:r>
      <w:r>
        <w:rPr>
          <w:sz w:val="20"/>
          <w:szCs w:val="20"/>
          <w:color w:val="auto"/>
        </w:rPr>
        <w:tab/>
      </w:r>
      <w:r>
        <w:rPr>
          <w:rFonts w:ascii="Times New Roman" w:cs="Times New Roman" w:eastAsia="Times New Roman" w:hAnsi="Times New Roman"/>
          <w:sz w:val="12"/>
          <w:szCs w:val="12"/>
          <w:b w:val="1"/>
          <w:bCs w:val="1"/>
          <w:color w:val="auto"/>
        </w:rPr>
        <w:t>December 31, 2021</w:t>
      </w:r>
    </w:p>
    <w:p>
      <w:pPr>
        <w:spacing w:after="0" w:line="28" w:lineRule="exact"/>
        <w:rPr>
          <w:sz w:val="20"/>
          <w:szCs w:val="20"/>
          <w:color w:val="auto"/>
        </w:rPr>
      </w:pPr>
    </w:p>
    <w:p>
      <w:pPr>
        <w:sectPr>
          <w:pgSz w:w="11900" w:h="16838" w:orient="portrait"/>
          <w:cols w:equalWidth="0" w:num="2">
            <w:col w:w="7460" w:space="720"/>
            <w:col w:w="3040"/>
          </w:cols>
          <w:pgMar w:left="320" w:top="175" w:right="359" w:bottom="1440" w:gutter="0" w:footer="0" w:header="0"/>
        </w:sectPr>
      </w:pPr>
    </w:p>
    <w:p>
      <w:pPr>
        <w:ind w:left="60"/>
        <w:spacing w:after="0"/>
        <w:rPr>
          <w:sz w:val="20"/>
          <w:szCs w:val="20"/>
          <w:color w:val="auto"/>
        </w:rPr>
      </w:pPr>
      <w:r>
        <w:rPr>
          <w:rFonts w:ascii="Times New Roman" w:cs="Times New Roman" w:eastAsia="Times New Roman" w:hAnsi="Times New Roman"/>
          <w:sz w:val="18"/>
          <w:szCs w:val="18"/>
          <w:color w:val="auto"/>
        </w:rPr>
        <w:t>Net income attributable to ASI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and other financing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9"/>
          <w:szCs w:val="9"/>
          <w:color w:val="auto"/>
        </w:rPr>
        <w:t>(1)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Unusual or non-recurring losses and (gains)</w:t>
      </w:r>
      <w:r>
        <w:rPr>
          <w:rFonts w:ascii="Times New Roman" w:cs="Times New Roman" w:eastAsia="Times New Roman" w:hAnsi="Times New Roman"/>
          <w:sz w:val="9"/>
          <w:szCs w:val="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 forma EBITDA for equity method investees</w:t>
      </w:r>
      <w:r>
        <w:rPr>
          <w:rFonts w:ascii="Times New Roman" w:cs="Times New Roman" w:eastAsia="Times New Roman" w:hAnsi="Times New Roman"/>
          <w:sz w:val="9"/>
          <w:szCs w:val="9"/>
          <w:color w:val="auto"/>
        </w:rPr>
        <w:t>(4)</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 forma EBITDA for certain transactions</w:t>
      </w:r>
      <w:r>
        <w:rPr>
          <w:rFonts w:ascii="Times New Roman" w:cs="Times New Roman" w:eastAsia="Times New Roman" w:hAnsi="Times New Roman"/>
          <w:sz w:val="9"/>
          <w:szCs w:val="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9"/>
          <w:szCs w:val="9"/>
          <w:color w:val="auto"/>
        </w:rPr>
        <w:t>(6)(7)</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Covenant Adjusted EBITDA</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1144" w:hanging="1144"/>
        <w:spacing w:after="0"/>
        <w:tabs>
          <w:tab w:leader="none" w:pos="11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226.0</w:t>
      </w:r>
    </w:p>
    <w:p>
      <w:pPr>
        <w:spacing w:after="0" w:line="38" w:lineRule="exact"/>
        <w:rPr>
          <w:rFonts w:ascii="Times New Roman" w:cs="Times New Roman" w:eastAsia="Times New Roman" w:hAnsi="Times New Roman"/>
          <w:sz w:val="17"/>
          <w:szCs w:val="17"/>
          <w:color w:val="auto"/>
        </w:rPr>
      </w:pPr>
    </w:p>
    <w:p>
      <w:pPr>
        <w:ind w:left="11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381.1</w:t>
      </w:r>
    </w:p>
    <w:p>
      <w:pPr>
        <w:spacing w:after="0" w:line="34" w:lineRule="exact"/>
        <w:rPr>
          <w:rFonts w:ascii="Times New Roman" w:cs="Times New Roman" w:eastAsia="Times New Roman" w:hAnsi="Times New Roman"/>
          <w:sz w:val="17"/>
          <w:szCs w:val="17"/>
          <w:color w:val="auto"/>
        </w:rPr>
      </w:pPr>
    </w:p>
    <w:p>
      <w:pPr>
        <w:ind w:left="12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81.6</w:t>
      </w:r>
    </w:p>
    <w:p>
      <w:pPr>
        <w:spacing w:after="0" w:line="22" w:lineRule="exact"/>
        <w:rPr>
          <w:rFonts w:ascii="Times New Roman" w:cs="Times New Roman" w:eastAsia="Times New Roman" w:hAnsi="Times New Roman"/>
          <w:sz w:val="17"/>
          <w:szCs w:val="17"/>
          <w:color w:val="auto"/>
        </w:rPr>
      </w:pPr>
    </w:p>
    <w:p>
      <w:pPr>
        <w:ind w:left="11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533.3</w:t>
      </w:r>
    </w:p>
    <w:p>
      <w:pPr>
        <w:spacing w:after="0" w:line="42" w:lineRule="exact"/>
        <w:rPr>
          <w:rFonts w:ascii="Times New Roman" w:cs="Times New Roman" w:eastAsia="Times New Roman" w:hAnsi="Times New Roman"/>
          <w:sz w:val="17"/>
          <w:szCs w:val="17"/>
          <w:color w:val="auto"/>
        </w:rPr>
      </w:pPr>
    </w:p>
    <w:p>
      <w:pPr>
        <w:ind w:left="12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94.9</w:t>
      </w:r>
    </w:p>
    <w:p>
      <w:pPr>
        <w:spacing w:after="0" w:line="27" w:lineRule="exact"/>
        <w:rPr>
          <w:rFonts w:ascii="Times New Roman" w:cs="Times New Roman" w:eastAsia="Times New Roman" w:hAnsi="Times New Roman"/>
          <w:sz w:val="17"/>
          <w:szCs w:val="17"/>
          <w:color w:val="auto"/>
        </w:rPr>
      </w:pPr>
    </w:p>
    <w:p>
      <w:pPr>
        <w:ind w:left="13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5.2</w:t>
      </w:r>
    </w:p>
    <w:p>
      <w:pPr>
        <w:spacing w:after="0" w:line="34" w:lineRule="exact"/>
        <w:rPr>
          <w:rFonts w:ascii="Times New Roman" w:cs="Times New Roman" w:eastAsia="Times New Roman" w:hAnsi="Times New Roman"/>
          <w:sz w:val="17"/>
          <w:szCs w:val="17"/>
          <w:color w:val="auto"/>
        </w:rPr>
      </w:pPr>
    </w:p>
    <w:p>
      <w:pPr>
        <w:ind w:left="13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w:t>
      </w:r>
    </w:p>
    <w:p>
      <w:pPr>
        <w:spacing w:after="0" w:line="34" w:lineRule="exact"/>
        <w:rPr>
          <w:rFonts w:ascii="Times New Roman" w:cs="Times New Roman" w:eastAsia="Times New Roman" w:hAnsi="Times New Roman"/>
          <w:sz w:val="17"/>
          <w:szCs w:val="17"/>
          <w:color w:val="auto"/>
        </w:rPr>
      </w:pPr>
    </w:p>
    <w:p>
      <w:pPr>
        <w:ind w:left="13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w:t>
      </w:r>
    </w:p>
    <w:p>
      <w:pPr>
        <w:spacing w:after="0" w:line="34" w:lineRule="exact"/>
        <w:rPr>
          <w:rFonts w:ascii="Times New Roman" w:cs="Times New Roman" w:eastAsia="Times New Roman" w:hAnsi="Times New Roman"/>
          <w:sz w:val="17"/>
          <w:szCs w:val="17"/>
          <w:color w:val="auto"/>
        </w:rPr>
      </w:pPr>
    </w:p>
    <w:p>
      <w:pPr>
        <w:ind w:left="12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369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1" w:lineRule="exact"/>
        <w:rPr>
          <w:sz w:val="20"/>
          <w:szCs w:val="20"/>
          <w:color w:val="auto"/>
        </w:rPr>
      </w:pPr>
    </w:p>
    <w:p>
      <w:pPr>
        <w:ind w:left="1004" w:hanging="1004"/>
        <w:spacing w:after="0"/>
        <w:tabs>
          <w:tab w:leader="none" w:pos="10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36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036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236" w:hanging="1236"/>
        <w:spacing w:after="0"/>
        <w:tabs>
          <w:tab w:leader="none" w:pos="1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33.0</w:t>
      </w:r>
    </w:p>
    <w:p>
      <w:pPr>
        <w:spacing w:after="0" w:line="49" w:lineRule="exact"/>
        <w:rPr>
          <w:rFonts w:ascii="Times New Roman" w:cs="Times New Roman" w:eastAsia="Times New Roman" w:hAnsi="Times New Roman"/>
          <w:sz w:val="18"/>
          <w:szCs w:val="18"/>
          <w:color w:val="auto"/>
        </w:rPr>
      </w:pPr>
    </w:p>
    <w:p>
      <w:pPr>
        <w:ind w:left="11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394.0</w:t>
      </w:r>
    </w:p>
    <w:p>
      <w:pPr>
        <w:spacing w:after="0" w:line="27" w:lineRule="exact"/>
        <w:rPr>
          <w:rFonts w:ascii="Times New Roman" w:cs="Times New Roman" w:eastAsia="Times New Roman" w:hAnsi="Times New Roman"/>
          <w:sz w:val="18"/>
          <w:szCs w:val="18"/>
          <w:color w:val="auto"/>
        </w:rPr>
      </w:pPr>
    </w:p>
    <w:p>
      <w:pPr>
        <w:ind w:left="131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22" w:lineRule="exact"/>
        <w:rPr>
          <w:rFonts w:ascii="Times New Roman" w:cs="Times New Roman" w:eastAsia="Times New Roman" w:hAnsi="Times New Roman"/>
          <w:sz w:val="18"/>
          <w:szCs w:val="18"/>
          <w:color w:val="auto"/>
        </w:rPr>
      </w:pPr>
    </w:p>
    <w:p>
      <w:pPr>
        <w:ind w:left="11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547.6</w:t>
      </w:r>
    </w:p>
    <w:p>
      <w:pPr>
        <w:spacing w:after="0" w:line="31" w:lineRule="exact"/>
        <w:rPr>
          <w:rFonts w:ascii="Times New Roman" w:cs="Times New Roman" w:eastAsia="Times New Roman" w:hAnsi="Times New Roman"/>
          <w:sz w:val="18"/>
          <w:szCs w:val="18"/>
          <w:color w:val="auto"/>
        </w:rPr>
      </w:pPr>
    </w:p>
    <w:p>
      <w:pPr>
        <w:ind w:left="12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77.4</w:t>
      </w:r>
    </w:p>
    <w:p>
      <w:pPr>
        <w:spacing w:after="0" w:line="27" w:lineRule="exact"/>
        <w:rPr>
          <w:rFonts w:ascii="Times New Roman" w:cs="Times New Roman" w:eastAsia="Times New Roman" w:hAnsi="Times New Roman"/>
          <w:sz w:val="18"/>
          <w:szCs w:val="18"/>
          <w:color w:val="auto"/>
        </w:rPr>
      </w:pPr>
    </w:p>
    <w:p>
      <w:pPr>
        <w:ind w:left="115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(77.1)</w:t>
      </w:r>
    </w:p>
    <w:p>
      <w:pPr>
        <w:spacing w:after="0" w:line="22" w:lineRule="exact"/>
        <w:rPr>
          <w:rFonts w:ascii="Times New Roman" w:cs="Times New Roman" w:eastAsia="Times New Roman" w:hAnsi="Times New Roman"/>
          <w:sz w:val="18"/>
          <w:szCs w:val="18"/>
          <w:color w:val="auto"/>
        </w:rPr>
      </w:pPr>
    </w:p>
    <w:p>
      <w:pPr>
        <w:ind w:left="131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w:t>
      </w:r>
    </w:p>
    <w:p>
      <w:pPr>
        <w:spacing w:after="0" w:line="22" w:lineRule="exact"/>
        <w:rPr>
          <w:rFonts w:ascii="Times New Roman" w:cs="Times New Roman" w:eastAsia="Times New Roman" w:hAnsi="Times New Roman"/>
          <w:sz w:val="18"/>
          <w:szCs w:val="18"/>
          <w:color w:val="auto"/>
        </w:rPr>
      </w:pPr>
    </w:p>
    <w:p>
      <w:pPr>
        <w:ind w:left="131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w:t>
      </w:r>
    </w:p>
    <w:p>
      <w:pPr>
        <w:spacing w:after="0" w:line="22" w:lineRule="exact"/>
        <w:rPr>
          <w:rFonts w:ascii="Times New Roman" w:cs="Times New Roman" w:eastAsia="Times New Roman" w:hAnsi="Times New Roman"/>
          <w:sz w:val="18"/>
          <w:szCs w:val="18"/>
          <w:color w:val="auto"/>
        </w:rPr>
      </w:pPr>
    </w:p>
    <w:p>
      <w:pPr>
        <w:ind w:left="12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369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1" w:lineRule="exact"/>
        <w:rPr>
          <w:sz w:val="20"/>
          <w:szCs w:val="20"/>
          <w:color w:val="auto"/>
        </w:rPr>
      </w:pPr>
    </w:p>
    <w:p>
      <w:pPr>
        <w:ind w:left="996" w:hanging="996"/>
        <w:spacing w:after="0"/>
        <w:tabs>
          <w:tab w:leader="none" w:pos="9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369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0369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176" w:space="720"/>
            <w:col w:w="1544" w:space="184"/>
            <w:col w:w="1596"/>
          </w:cols>
          <w:pgMar w:left="320" w:top="175" w:right="359" w:bottom="1440" w:gutter="0" w:footer="0" w:header="0"/>
          <w:type w:val="continuous"/>
        </w:sectPr>
      </w:pPr>
    </w:p>
    <w:p>
      <w:pPr>
        <w:spacing w:after="0" w:line="39" w:lineRule="exact"/>
        <w:rPr>
          <w:sz w:val="20"/>
          <w:szCs w:val="20"/>
          <w:color w:val="auto"/>
        </w:rPr>
      </w:pPr>
    </w:p>
    <w:p>
      <w:pPr>
        <w:ind w:left="500" w:hanging="492"/>
        <w:spacing w:after="0" w:line="282" w:lineRule="auto"/>
        <w:tabs>
          <w:tab w:leader="none" w:pos="4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resulting from the application of accounting for stock options, restricted stock units, performance stock units, deferred stock unit awards and employee stock purchases (see Note 8 to the condensed consolidated financial statements).</w:t>
      </w:r>
    </w:p>
    <w:p>
      <w:pPr>
        <w:spacing w:after="0" w:line="40" w:lineRule="exact"/>
        <w:rPr>
          <w:rFonts w:ascii="Times New Roman" w:cs="Times New Roman" w:eastAsia="Times New Roman" w:hAnsi="Times New Roman"/>
          <w:sz w:val="18"/>
          <w:szCs w:val="18"/>
          <w:color w:val="auto"/>
        </w:rPr>
      </w:pPr>
    </w:p>
    <w:p>
      <w:pPr>
        <w:ind w:left="500" w:right="100" w:hanging="492"/>
        <w:spacing w:after="0" w:line="282" w:lineRule="auto"/>
        <w:tabs>
          <w:tab w:leader="none" w:pos="4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twelve months ended December 30, 2022 represents the fiscal 2023 non-cash charge for the impairment of certain assets related to a business held-for-sale ($5.2 million).</w:t>
      </w:r>
    </w:p>
    <w:p>
      <w:pPr>
        <w:spacing w:after="0" w:line="2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twelve months ended December 31, 2021 represents the fiscal 2021 non-cash gain from an observable price change on an equity investment</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($137.9 million) and the fiscal 2021 non-cash loss from the termination of certain defined benefit pension plans ($60.9 million).</w:t>
      </w:r>
    </w:p>
    <w:p>
      <w:pPr>
        <w:spacing w:after="0" w:line="85" w:lineRule="exact"/>
        <w:rPr>
          <w:sz w:val="20"/>
          <w:szCs w:val="20"/>
          <w:color w:val="auto"/>
        </w:rPr>
      </w:pPr>
    </w:p>
    <w:p>
      <w:pPr>
        <w:ind w:left="500" w:right="120" w:hanging="492"/>
        <w:spacing w:after="0" w:line="266" w:lineRule="auto"/>
        <w:tabs>
          <w:tab w:leader="none" w:pos="4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estimated share of EBITDA, primarily from our AIM Services Co., Ltd. equity method investment, not already reflected in our Net Income Attributable to ASI stockholders. EBITDA for this equity method investee is calculated in a manner consistent with consolidated Covenant Adjusted EBITDA but does not represent cash distributions received from this investee.</w:t>
      </w:r>
    </w:p>
    <w:p>
      <w:pPr>
        <w:spacing w:after="0" w:line="5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annualizing of net EBITDA from certain acquisitions made during the period.</w:t>
      </w:r>
    </w:p>
    <w:p>
      <w:pPr>
        <w:spacing w:after="0" w:line="90" w:lineRule="exact"/>
        <w:rPr>
          <w:rFonts w:ascii="Times New Roman" w:cs="Times New Roman" w:eastAsia="Times New Roman" w:hAnsi="Times New Roman"/>
          <w:sz w:val="18"/>
          <w:szCs w:val="18"/>
          <w:color w:val="auto"/>
        </w:rPr>
      </w:pPr>
    </w:p>
    <w:p>
      <w:pPr>
        <w:ind w:left="500" w:hanging="492"/>
        <w:spacing w:after="0" w:line="253" w:lineRule="auto"/>
        <w:tabs>
          <w:tab w:leader="none" w:pos="4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twelve months ended December 30, 2022 includes the reversal of a contingent consideration liability related to an acquisition earn out ($50.7 million), adjustments to remove the impact attributable to the adoption of certain accounting standards that are made to the calculation in accordance with the Credit Agreement and indentures ($37.2 million), non-cash charges for the impairment of operating lease right-of-use assets and property and equipment related to certain real estate properties ($23.4 million), non-cash charges for inventory write-downs to net realizable value and fixed asset write-offs related to personal protective equipment ($20.5 million), severance charges ($19.6 million), United States and non-United States governmental labor related tax credits resulting from the COVID-19 pandemic ($16.1 million), charges related to our intention to spin-off the Uniform segment ($14.3 million), compensation expense related to an acquisition earn out contingent on employees staying until the performance period ends ($9.9 million), the favorable impact related to a client contract dispute ($9.6 million), the gain from a funding agreement related to a legal matter ($6.5 million), the impact of hyperinflation in Argentina ($4.6 million), the loss from the change in fair value related to certain gasoline and diesel agreements ($2.7 million), legal settlement charges ($2.7 million), due diligence charges related to acquisitions ($2.1 million) and other miscellaneous expenses.</w:t>
      </w:r>
    </w:p>
    <w:p>
      <w:pPr>
        <w:spacing w:after="0" w:line="70" w:lineRule="exact"/>
        <w:rPr>
          <w:rFonts w:ascii="Times New Roman" w:cs="Times New Roman" w:eastAsia="Times New Roman" w:hAnsi="Times New Roman"/>
          <w:sz w:val="18"/>
          <w:szCs w:val="18"/>
          <w:color w:val="auto"/>
        </w:rPr>
      </w:pPr>
    </w:p>
    <w:p>
      <w:pPr>
        <w:ind w:left="500" w:right="20" w:hanging="492"/>
        <w:spacing w:after="0" w:line="253" w:lineRule="auto"/>
        <w:tabs>
          <w:tab w:leader="none" w:pos="4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twelve months ended December 31, 2021 includes non-cash charges for inventory write-downs to net realizable value and for excess inventory related to personal protective equipment ($31.0 million), adjustments to remove the impact attributable to the adoption of certain accounting standards that are made to the calculation in accordance with the Credit Agreement and indentures ($26.9 million), expenses related to merger and integration related charges ($19.2 million), United States and non-United States governmental labor related tax credits resulting from the COVID-19 pandemic, net of labor charges, incremental expenses and other expenses associated with closed or partially closed client locations ($16.2 million), reversal of severance charges ($12.4 million), the gain from a funding agreement related to a legal matter ($10.0 million), a favorable settlement of a legal matter ($4.7 million), the gain from insurance proceeds received related to property damage from a tornado in Nashville ($3.1 million), expenses related to the impact of the ice storm in Texas ($2.5 million), a non-cash charge related to an environmental matter ($2.5 million), non-cash charges related to information technology assets ($2.2 million), the impact of hyperinflation in Argentina ($1.8 million) and other miscellaneous expenses.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covenant requirement and actual ratio for the twelve months ended December 30, 2022 are as follows:</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96"/>
        </w:trPr>
        <w:tc>
          <w:tcPr>
            <w:tcW w:w="686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229"/>
        </w:trPr>
        <w:tc>
          <w:tcPr>
            <w:tcW w:w="6860" w:type="dxa"/>
            <w:vAlign w:val="bottom"/>
            <w:tcBorders>
              <w:top w:val="single" w:sz="8" w:color="CCEEFF"/>
            </w:tcBorders>
            <w:shd w:val="clear" w:color="auto" w:fill="CCEEFF"/>
          </w:tcPr>
          <w:p>
            <w:pPr>
              <w:ind w:left="60"/>
              <w:spacing w:after="0" w:line="229" w:lineRule="exact"/>
              <w:rPr>
                <w:sz w:val="20"/>
                <w:szCs w:val="20"/>
                <w:color w:val="auto"/>
              </w:rPr>
            </w:pPr>
            <w:r>
              <w:rPr>
                <w:rFonts w:ascii="Times New Roman" w:cs="Times New Roman" w:eastAsia="Times New Roman" w:hAnsi="Times New Roman"/>
                <w:sz w:val="18"/>
                <w:szCs w:val="18"/>
                <w:color w:val="auto"/>
              </w:rPr>
              <w:t>Consolidated Secured Debt Ratio</w:t>
            </w:r>
            <w:r>
              <w:rPr>
                <w:rFonts w:ascii="Times New Roman" w:cs="Times New Roman" w:eastAsia="Times New Roman" w:hAnsi="Times New Roman"/>
                <w:sz w:val="23"/>
                <w:szCs w:val="23"/>
                <w:color w:val="auto"/>
                <w:vertAlign w:val="superscript"/>
              </w:rPr>
              <w:t>(1)</w:t>
            </w:r>
          </w:p>
        </w:tc>
        <w:tc>
          <w:tcPr>
            <w:tcW w:w="16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5.125x</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8"/>
              </w:rPr>
              <w:t>3.12x</w:t>
            </w:r>
          </w:p>
        </w:tc>
      </w:tr>
      <w:tr>
        <w:trPr>
          <w:trHeight w:val="306"/>
        </w:trPr>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Coverage Ratio (Fixed Charge Coverage Ratio)</w:t>
            </w:r>
            <w:r>
              <w:rPr>
                <w:rFonts w:ascii="Times New Roman" w:cs="Times New Roman" w:eastAsia="Times New Roman" w:hAnsi="Times New Roman"/>
                <w:sz w:val="23"/>
                <w:szCs w:val="23"/>
                <w:color w:val="auto"/>
                <w:vertAlign w:val="superscript"/>
              </w:rPr>
              <w:t>(2)</w:t>
            </w:r>
          </w:p>
        </w:tc>
        <w:tc>
          <w:tcPr>
            <w:tcW w:w="17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2.000x</w:t>
            </w:r>
          </w:p>
        </w:tc>
        <w:tc>
          <w:tcPr>
            <w:tcW w:w="162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8"/>
              </w:rPr>
              <w:t>3.70x</w:t>
            </w:r>
          </w:p>
        </w:tc>
      </w:tr>
    </w:tbl>
    <w:p>
      <w:pPr>
        <w:spacing w:after="0" w:line="80" w:lineRule="exact"/>
        <w:rPr>
          <w:sz w:val="20"/>
          <w:szCs w:val="20"/>
          <w:color w:val="auto"/>
        </w:rPr>
      </w:pPr>
    </w:p>
    <w:p>
      <w:pPr>
        <w:ind w:left="500" w:right="40" w:hanging="492"/>
        <w:spacing w:after="0" w:line="254" w:lineRule="auto"/>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U.S. Term B Loans, which lenders do not benefit from the maximum Consolidated Debt Ratio covenant) failed to waive any such default, would also constitute a default under the indentures governing our senior notes.</w:t>
      </w:r>
    </w:p>
    <w:p>
      <w:pPr>
        <w:spacing w:after="0" w:line="70" w:lineRule="exact"/>
        <w:rPr>
          <w:rFonts w:ascii="Times New Roman" w:cs="Times New Roman" w:eastAsia="Times New Roman" w:hAnsi="Times New Roman"/>
          <w:sz w:val="18"/>
          <w:szCs w:val="18"/>
          <w:color w:val="auto"/>
        </w:rPr>
      </w:pPr>
    </w:p>
    <w:p>
      <w:pPr>
        <w:ind w:left="500" w:right="20" w:hanging="492"/>
        <w:spacing w:after="0" w:line="270" w:lineRule="auto"/>
        <w:tabs>
          <w:tab w:leader="none" w:pos="40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our Credit Agreement and pursuant to specified exceptions, and (2) make certain restricted payments, other than pursuant to certain exceptions. However, any failure to maintain the minimum Interest Coverage Ratio would not result in a default or an event of default under either the Credit Agreement or the indentures governing the senior notes. The minimum Interest Coverage Ratio is at least 2.000x for the term of the Credit Agreement. Consolidated interest expense is defined in our Credit Agreement as consolidated interest expense excluding interest income, adjusted for acquisitions and dispositions, further adjusted for certain non-cash or nonrecurring interest expense and our estimated share of interest expense from one equity method investee. The indentures governing our senior notes include a similar requirement which is referred to as a Fixed Charge Coverage Ratio.</w:t>
      </w:r>
    </w:p>
    <w:p>
      <w:pPr>
        <w:spacing w:after="0" w:line="4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Consolidating Information</w:t>
      </w:r>
    </w:p>
    <w:p>
      <w:pPr>
        <w:spacing w:after="0" w:line="10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Pursuant to Regulation S-X Rule 13-01, which simplifies certain disclosure requirements for guarantors and issuers of guaranteed securities, we are no longer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business activities do not include the use of unconsolidated special purpose entities and there are no significant business transactions that have not been reflected in the accompanying condensed consolidated financial statements. We insure portions of our risk in general liability, automobile liability, workers’ compensation liability and property liability through a wholly owned captive insurance subsidiary (the "Captive") to enhance our risk financing strategies. The Captive is subject to the regulations within its domicile of Bermuda, including regulations established by the Bermuda Monetary Authority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"BMA") relating to levels of liquidity and solvency as such concepts are defined by the BMA. The Captive was in compliance with these regulations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30, 2022. These regulations may have the effect of limiting our ability to access certain cash and cash equivalents held by the Captive for uses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for the payment of our general liability, automobile liability, workers’ compensation liability, property liability and related Captive costs.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December 30, 2022 and September 30, 2022, cash and cash equivalents at the Captive were $34.8 million and $23.1 million, respectively. During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the Captive began investing a portion of its cash and cash equivalents in United States Treasury securities to improve returns on the Captive's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assets. The amount of this investment as of December 30, 2022 and September 30, 2022 was $79.1 million and $78.2 million, respectively, and recorded in "Prepayments and other current assets" on the Condensed 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described in the notes to the audited consolidated financial statements included in our Annual Report on Form 10-K, filed with the SEC on November 22, 2022.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Annual Report on Form 10-K, filed with the SEC on November 22, 2022.</w:t>
      </w:r>
    </w:p>
    <w:p>
      <w:pPr>
        <w:spacing w:after="0" w:line="5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4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 Updates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full description of recent accounting standard updates, including the expected dates of adoption.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December 30, 2022 has not materially changed from September 30, 2022 (see Part II, Item 7A "Quantitative and Qualitative Disclosure About Market Risk" in our Annual Report on Form 10-K for the fiscal year ended September 30, 2022 filed with the SEC on November 22, 2022). See Note 3 to the condensed consolidated financial statements related to the changes in our debt levels. See Note 4 to the condensed consolidated financial statements for a discussion of our derivative instruments and Note 12 for the disclosure of the fair value and related carrying value of our debt obligations as of December 30, 2022.</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our internal control over financial reporting occurred during our first quarter of fiscal 2023 that has materially affected, or is reasonably likely to materially affect, our internal control over financial reporting.</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From time to time, we and our subsidiaries are party to various legal actions, proceedings and investigations involving claims incidental to the conduct of our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December 30, 2022.</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"Risk Factors" in our Annual Report on Form 10-K for the fiscal year ended September 30, 2022 filed with the SEC on November 22, 2022.</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1" w:name="page32"/>
    <w:bookmarkEnd w:id="31"/>
    <w:p>
      <w:pPr>
        <w:ind w:left="54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96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February 7, 2023.</w:t>
      </w:r>
    </w:p>
    <w:p>
      <w:pPr>
        <w:spacing w:after="0" w:line="2"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Aramark</w:t>
            </w:r>
          </w:p>
        </w:tc>
        <w:tc>
          <w:tcPr>
            <w:tcW w:w="4500" w:type="dxa"/>
            <w:vAlign w:val="bottom"/>
          </w:tcPr>
          <w:p>
            <w:pPr>
              <w:spacing w:after="0"/>
              <w:rPr>
                <w:sz w:val="20"/>
                <w:szCs w:val="20"/>
                <w:color w:val="auto"/>
              </w:rPr>
            </w:pP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T. SCHILLING</w:t>
            </w:r>
          </w:p>
        </w:tc>
      </w:t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Christopher T. Schilling</w:t>
            </w:r>
          </w:p>
        </w:tc>
      </w:tr>
      <w:tr>
        <w:trPr>
          <w:trHeight w:val="147"/>
        </w:trPr>
        <w:tc>
          <w:tcPr>
            <w:tcW w:w="98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Title:</w:t>
            </w:r>
          </w:p>
        </w:tc>
        <w:tc>
          <w:tcPr>
            <w:tcW w:w="45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Senior Vice President, Controller and Chief Accounting Officer</w:t>
            </w:r>
          </w:p>
        </w:tc>
      </w:tr>
      <w:tr>
        <w:trPr>
          <w:trHeight w:val="190"/>
        </w:trPr>
        <w:tc>
          <w:tcPr>
            <w:tcW w:w="98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2" w:name="page33"/>
    <w:bookmarkEnd w:id="32"/>
    <w:p>
      <w:pPr>
        <w:jc w:val="center"/>
        <w:ind w:right="28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52" w:lineRule="exact"/>
        <w:rPr>
          <w:sz w:val="20"/>
          <w:szCs w:val="20"/>
          <w:color w:val="auto"/>
        </w:rPr>
      </w:pPr>
    </w:p>
    <w:p>
      <w:pPr>
        <w:ind w:left="60"/>
        <w:spacing w:after="0"/>
        <w:tabs>
          <w:tab w:leader="none" w:pos="5480"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8" w:lineRule="exact"/>
        <w:rPr>
          <w:sz w:val="20"/>
          <w:szCs w:val="20"/>
          <w:color w:val="auto"/>
        </w:rPr>
      </w:pPr>
    </w:p>
    <w:p>
      <w:pPr>
        <w:ind w:left="820" w:right="160" w:hanging="458"/>
        <w:spacing w:after="0" w:line="237" w:lineRule="auto"/>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4.1*</w:t>
        <w:tab/>
        <w:t>Third Supplemental Indenture governing the 3.125% Senior Notes due April 2025, dated as of December 16, 2022, among the subsidiary guarantors named therein, each a subsidiary of Aramark Services, Inc., and The Bank of New York Mellon, as trustee.</w:t>
      </w:r>
    </w:p>
    <w:p>
      <w:pPr>
        <w:spacing w:after="0" w:line="10" w:lineRule="exact"/>
        <w:rPr>
          <w:sz w:val="20"/>
          <w:szCs w:val="20"/>
          <w:color w:val="auto"/>
        </w:rPr>
      </w:pPr>
    </w:p>
    <w:p>
      <w:pPr>
        <w:ind w:left="820" w:right="160" w:hanging="458"/>
        <w:spacing w:after="0" w:line="237" w:lineRule="auto"/>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4.2*</w:t>
        <w:tab/>
        <w:t>Third Supplemental Indenture governing the 5.000% Senior Notes due April 2025, dated as of December 16, 2022, among the subsidiary guarantors named therein, each a subsidiary of Aramark Services, Inc., and The Bank of New York Mellon, as trustee.</w:t>
      </w:r>
    </w:p>
    <w:p>
      <w:pPr>
        <w:spacing w:after="0" w:line="10" w:lineRule="exact"/>
        <w:rPr>
          <w:sz w:val="20"/>
          <w:szCs w:val="20"/>
          <w:color w:val="auto"/>
        </w:rPr>
      </w:pPr>
    </w:p>
    <w:p>
      <w:pPr>
        <w:ind w:left="820" w:right="80" w:hanging="458"/>
        <w:spacing w:after="0" w:line="237" w:lineRule="auto"/>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4.3*</w:t>
        <w:tab/>
        <w:t>Second Supplemental Indenture governing the 6.375% Senior Notes due May 2025, dated as of December 16, 2022, among the subsidiary guarantors named therein, each a subsidiary of Aramark Services, Inc., and U.S. Bank National Association, as trustee.</w:t>
      </w:r>
    </w:p>
    <w:p>
      <w:pPr>
        <w:spacing w:after="0" w:line="10" w:lineRule="exact"/>
        <w:rPr>
          <w:sz w:val="20"/>
          <w:szCs w:val="20"/>
          <w:color w:val="auto"/>
        </w:rPr>
      </w:pPr>
    </w:p>
    <w:p>
      <w:pPr>
        <w:jc w:val="right"/>
        <w:ind w:left="360" w:right="680"/>
        <w:spacing w:after="0" w:line="237" w:lineRule="auto"/>
        <w:rPr>
          <w:sz w:val="20"/>
          <w:szCs w:val="20"/>
          <w:color w:val="auto"/>
        </w:rPr>
      </w:pPr>
      <w:r>
        <w:rPr>
          <w:rFonts w:ascii="Times New Roman" w:cs="Times New Roman" w:eastAsia="Times New Roman" w:hAnsi="Times New Roman"/>
          <w:sz w:val="18"/>
          <w:szCs w:val="18"/>
          <w:u w:val="single" w:color="auto"/>
          <w:color w:val="0000FF"/>
        </w:rPr>
        <w:t>4.4*  Third Supplemental Indenture governing the 5.000% Senior Notes due February 2028, dated as of December 16, 2022, among the subsidiary guarantors named therein, each a subsidiary of Aramark Services, Inc., and U.S. Bank National Association, as trustee.</w:t>
      </w:r>
    </w:p>
    <w:p>
      <w:pPr>
        <w:spacing w:after="0" w:line="10" w:lineRule="exact"/>
        <w:rPr>
          <w:sz w:val="20"/>
          <w:szCs w:val="20"/>
          <w:color w:val="auto"/>
        </w:rPr>
      </w:pPr>
    </w:p>
    <w:p>
      <w:pPr>
        <w:ind w:left="820" w:right="460" w:hanging="548"/>
        <w:spacing w:after="0" w:line="237" w:lineRule="auto"/>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10.1*</w:t>
        <w:tab/>
        <w:t>Joinder Agreement, dated as of November 18, 2022, between each New Subsidiary listed on Schedule I thereto and JPMorgan Chase Bank, N.A., as agent.</w:t>
      </w:r>
    </w:p>
    <w:p>
      <w:pPr>
        <w:spacing w:after="0" w:line="10" w:lineRule="exact"/>
        <w:rPr>
          <w:sz w:val="20"/>
          <w:szCs w:val="20"/>
          <w:color w:val="auto"/>
        </w:rPr>
      </w:pPr>
    </w:p>
    <w:p>
      <w:pPr>
        <w:ind w:left="820" w:right="80" w:hanging="458"/>
        <w:spacing w:after="0" w:line="237" w:lineRule="auto"/>
        <w:tabs>
          <w:tab w:leader="none" w:pos="800" w:val="left"/>
        </w:tabs>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u w:val="single" w:color="auto"/>
          <w:color w:val="0000FF"/>
        </w:rPr>
        <w:tab/>
      </w:r>
      <w:hyperlink r:id="rId63">
        <w:r>
          <w:rPr>
            <w:rFonts w:ascii="Times New Roman" w:cs="Times New Roman" w:eastAsia="Times New Roman" w:hAnsi="Times New Roman"/>
            <w:sz w:val="18"/>
            <w:szCs w:val="18"/>
            <w:u w:val="single" w:color="auto"/>
            <w:color w:val="0000FF"/>
          </w:rPr>
          <w:t>Letter Agreement, dated as of December 2, 2022, by and between Aramark and Lynn B. McKee (incorporated by reference to exhibit 10.1</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to Aramark's Current Report on Form 8-K filed with the SEC on December 5, 2022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820" w:right="380" w:hanging="458"/>
        <w:spacing w:after="0" w:line="237" w:lineRule="auto"/>
        <w:tabs>
          <w:tab w:leader="none" w:pos="800" w:val="left"/>
        </w:tabs>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u w:val="single" w:color="auto"/>
          <w:color w:val="0000FF"/>
        </w:rPr>
        <w:tab/>
      </w:r>
      <w:hyperlink r:id="rId64">
        <w:r>
          <w:rPr>
            <w:rFonts w:ascii="Times New Roman" w:cs="Times New Roman" w:eastAsia="Times New Roman" w:hAnsi="Times New Roman"/>
            <w:sz w:val="18"/>
            <w:szCs w:val="18"/>
            <w:u w:val="single" w:color="auto"/>
            <w:color w:val="0000FF"/>
          </w:rPr>
          <w:t>Aramark 2023 Stock Incentive Plan (incorporated by reference to Appendix A to Aramark’s Definitive Proxy Statement filed with the</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SEC on December 23, 2022,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280"/>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7"/>
          <w:szCs w:val="17"/>
          <w:u w:val="single" w:color="auto"/>
          <w:color w:val="0000FF"/>
        </w:rPr>
        <w:t>Certification of John J. Zillmer, Chief Executive Officer, pursuant to Section 302 of the Sarbanes-Oxley Act of 2002.</w:t>
      </w:r>
    </w:p>
    <w:p>
      <w:pPr>
        <w:spacing w:after="0" w:line="27" w:lineRule="exact"/>
        <w:rPr>
          <w:rFonts w:ascii="Times New Roman" w:cs="Times New Roman" w:eastAsia="Times New Roman" w:hAnsi="Times New Roman"/>
          <w:sz w:val="18"/>
          <w:szCs w:val="18"/>
          <w:u w:val="single" w:color="auto"/>
          <w:color w:val="0000FF"/>
        </w:rPr>
      </w:pPr>
    </w:p>
    <w:p>
      <w:pPr>
        <w:ind w:left="280"/>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7"/>
          <w:szCs w:val="17"/>
          <w:u w:val="single" w:color="auto"/>
          <w:color w:val="0000FF"/>
        </w:rPr>
        <w:t>Certification of Thomas G. Ondrof, Chief Financial Officer, pursuant to Section 302 of the Sarbanes-Oxley Act of 2002.</w:t>
      </w:r>
    </w:p>
    <w:p>
      <w:pPr>
        <w:spacing w:after="0" w:line="23" w:lineRule="exact"/>
        <w:rPr>
          <w:rFonts w:ascii="Times New Roman" w:cs="Times New Roman" w:eastAsia="Times New Roman" w:hAnsi="Times New Roman"/>
          <w:sz w:val="18"/>
          <w:szCs w:val="18"/>
          <w:u w:val="single" w:color="auto"/>
          <w:color w:val="0000FF"/>
        </w:rPr>
      </w:pPr>
    </w:p>
    <w:p>
      <w:pPr>
        <w:ind w:left="820" w:right="240" w:hanging="548"/>
        <w:spacing w:after="0" w:line="234" w:lineRule="auto"/>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32.1*</w:t>
        <w:tab/>
        <w:t>Certification of John J. Zillmer, Chief Executive Officer, and Thomas G. Ondrof, Chief Financial Officer, pursuant to Section 906 of the Sarbanes-Oxley Act of 2002.</w:t>
      </w:r>
    </w:p>
    <w:p>
      <w:pPr>
        <w:spacing w:after="0" w:line="10" w:lineRule="exact"/>
        <w:rPr>
          <w:rFonts w:ascii="Times New Roman" w:cs="Times New Roman" w:eastAsia="Times New Roman" w:hAnsi="Times New Roman"/>
          <w:sz w:val="18"/>
          <w:szCs w:val="18"/>
          <w:u w:val="single" w:color="auto"/>
          <w:color w:val="0000FF"/>
        </w:rPr>
      </w:pPr>
    </w:p>
    <w:p>
      <w:pPr>
        <w:ind w:left="820" w:right="80" w:hanging="414"/>
        <w:spacing w:after="0" w:line="217" w:lineRule="auto"/>
        <w:tabs>
          <w:tab w:leader="none" w:pos="820" w:val="left"/>
        </w:tabs>
        <w:numPr>
          <w:ilvl w:val="0"/>
          <w:numId w:val="1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following financial information from Aramark's Quarterly Report on Form 10-Q for the period ended December 30, 2022 formatted in inline XBRL: (i) Condensed Consolidated Balance Sheets as of December 30, 2022 and September 30, 2022; (ii) Condensed Consolidated Statements of Income for the three months ended December 30, 2022 and December 31, 2021; (iii) Condensed Consolidated Statements of Comprehensive Income for the three months ended December 30, 2022 and December 31, 2021; (iv) Condensed Consolidated Statements of Cash Flows for the three months ended December 30, 2022 and December 31, 2021; (v) Condensed Consolidated Statements of Stockholders' Equity for the three months ended December 30, 2022 and December 31, 2021; and (vi) Notes to condensed consolidated financial statements.</w:t>
      </w:r>
    </w:p>
    <w:p>
      <w:pPr>
        <w:spacing w:after="0" w:line="4" w:lineRule="exact"/>
        <w:rPr>
          <w:rFonts w:ascii="Times New Roman" w:cs="Times New Roman" w:eastAsia="Times New Roman" w:hAnsi="Times New Roman"/>
          <w:sz w:val="18"/>
          <w:szCs w:val="18"/>
          <w:u w:val="single" w:color="auto"/>
          <w:color w:val="0000FF"/>
        </w:rPr>
      </w:pPr>
    </w:p>
    <w:p>
      <w:pPr>
        <w:ind w:right="1080" w:firstLine="406"/>
        <w:spacing w:after="0" w:line="448" w:lineRule="auto"/>
        <w:tabs>
          <w:tab w:leader="none" w:pos="8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Exhibit 101 Inline XBRL document set. * Filed herewith.</w:t>
      </w:r>
    </w:p>
    <w:p>
      <w:pPr>
        <w:spacing w:after="0" w:line="181" w:lineRule="exact"/>
        <w:rPr>
          <w:rFonts w:ascii="Times New Roman" w:cs="Times New Roman" w:eastAsia="Times New Roman" w:hAnsi="Times New Roman"/>
          <w:sz w:val="18"/>
          <w:szCs w:val="18"/>
          <w:u w:val="single" w:color="auto"/>
          <w:color w:val="0000FF"/>
        </w:rPr>
      </w:pPr>
    </w:p>
    <w:p>
      <w:pPr>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58"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The XBRL instance document does not appear in the interactive data file because the XBRL tags are embedded within the inline XBRL document.</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jc w:val="center"/>
        <w:ind w:right="28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60"/>
          </w:cols>
          <w:pgMar w:left="660" w:top="1359" w:right="37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THIRD SUPPLEMENTAL INDENTURE</w:t>
      </w:r>
    </w:p>
    <w:p>
      <w:pPr>
        <w:spacing w:after="0" w:line="179"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THIS THIRD SUPPLEMENTAL INDENTURE (this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dated as of December 16, 2022, among the entities listed in Schedule I hereto (each a “</w:t>
      </w:r>
      <w:r>
        <w:rPr>
          <w:rFonts w:ascii="Times New Roman" w:cs="Times New Roman" w:eastAsia="Times New Roman" w:hAnsi="Times New Roman"/>
          <w:sz w:val="22"/>
          <w:szCs w:val="22"/>
          <w:u w:val="single" w:color="auto"/>
          <w:color w:val="auto"/>
        </w:rPr>
        <w:t>Guaranteeing Subsidiary</w:t>
      </w:r>
      <w:r>
        <w:rPr>
          <w:rFonts w:ascii="Times New Roman" w:cs="Times New Roman" w:eastAsia="Times New Roman" w:hAnsi="Times New Roman"/>
          <w:sz w:val="22"/>
          <w:szCs w:val="22"/>
          <w:color w:val="auto"/>
        </w:rPr>
        <w:t>” and together, the “Guaranteeing Subsidiaries”), each a subsidiary of Aramark Services,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Bank of New York Mellon,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175" w:lineRule="exact"/>
        <w:rPr>
          <w:sz w:val="20"/>
          <w:szCs w:val="20"/>
          <w:color w:val="auto"/>
        </w:rPr>
      </w:pPr>
    </w:p>
    <w:p>
      <w:pPr>
        <w:ind w:right="120" w:firstLine="648"/>
        <w:spacing w:after="0" w:line="216" w:lineRule="auto"/>
        <w:rPr>
          <w:sz w:val="20"/>
          <w:szCs w:val="20"/>
          <w:color w:val="auto"/>
        </w:rPr>
      </w:pPr>
      <w:r>
        <w:rPr>
          <w:rFonts w:ascii="Times New Roman" w:cs="Times New Roman" w:eastAsia="Times New Roman" w:hAnsi="Times New Roman"/>
          <w:sz w:val="22"/>
          <w:szCs w:val="22"/>
          <w:color w:val="auto"/>
        </w:rPr>
        <w:t xml:space="preserve">WHEREAS, Aramark International Finance S.à r.l., a </w:t>
      </w:r>
      <w:r>
        <w:rPr>
          <w:rFonts w:ascii="Times New Roman" w:cs="Times New Roman" w:eastAsia="Times New Roman" w:hAnsi="Times New Roman"/>
          <w:sz w:val="22"/>
          <w:szCs w:val="22"/>
          <w:i w:val="1"/>
          <w:iCs w:val="1"/>
          <w:color w:val="auto"/>
        </w:rPr>
        <w:t>société à responsabilité limitée</w:t>
      </w:r>
      <w:r>
        <w:rPr>
          <w:rFonts w:ascii="Times New Roman" w:cs="Times New Roman" w:eastAsia="Times New Roman" w:hAnsi="Times New Roman"/>
          <w:sz w:val="22"/>
          <w:szCs w:val="22"/>
          <w:color w:val="auto"/>
        </w:rPr>
        <w:t xml:space="preserve"> incorporated under the laws of Luxembourg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and a wholly owned subsidiary of the Parent Guarantor and the Company, the Parent Guarantor, the Company and the other Guarantors have heretofore executed and delivered to the Trustee an indenture, dated as of March 27, 2017, as supplemented by that first supplemental indenture, dated as of February 9, 2018 and as further supplemented by that second supplemental indenture, dated as of April 30, 2021 (collectively,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an unlimited aggregate principal amount of the Issuer’s 3.125% Senior Notes due 2025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auto"/>
        </w:rPr>
        <w:t>WHEREAS, the Indenture provides that under certain circumstances each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and</w:t>
      </w:r>
    </w:p>
    <w:p>
      <w:pPr>
        <w:spacing w:after="0" w:line="152"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WHEREAS, pursuant to Section 9.01 of the Indenture, the Trustee is authorized to execute and deliver this Supplemental Indenture.</w:t>
      </w:r>
    </w:p>
    <w:p>
      <w:pPr>
        <w:spacing w:after="0" w:line="150" w:lineRule="exact"/>
        <w:rPr>
          <w:sz w:val="20"/>
          <w:szCs w:val="20"/>
          <w:color w:val="auto"/>
        </w:rPr>
      </w:pPr>
    </w:p>
    <w:p>
      <w:pPr>
        <w:ind w:right="300"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153" w:lineRule="exact"/>
        <w:rPr>
          <w:sz w:val="20"/>
          <w:szCs w:val="20"/>
          <w:color w:val="auto"/>
        </w:rPr>
      </w:pPr>
    </w:p>
    <w:p>
      <w:pPr>
        <w:ind w:left="660" w:right="240" w:firstLine="644"/>
        <w:spacing w:after="0" w:line="236" w:lineRule="auto"/>
        <w:tabs>
          <w:tab w:leader="none" w:pos="195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used herein without definition shall have the meanings assigned to them in the Indenture.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Guarantee</w:t>
      </w:r>
      <w:r>
        <w:rPr>
          <w:rFonts w:ascii="Times New Roman" w:cs="Times New Roman" w:eastAsia="Times New Roman" w:hAnsi="Times New Roman"/>
          <w:sz w:val="22"/>
          <w:szCs w:val="22"/>
          <w:color w:val="auto"/>
        </w:rPr>
        <w:t>. Each Guaranteeing Subsidiary hereby agrees as follows:</w:t>
      </w:r>
    </w:p>
    <w:p>
      <w:pPr>
        <w:spacing w:after="0" w:line="179" w:lineRule="exact"/>
        <w:rPr>
          <w:rFonts w:ascii="Times New Roman" w:cs="Times New Roman" w:eastAsia="Times New Roman" w:hAnsi="Times New Roman"/>
          <w:sz w:val="22"/>
          <w:szCs w:val="22"/>
          <w:color w:val="auto"/>
        </w:rPr>
      </w:pPr>
    </w:p>
    <w:p>
      <w:pPr>
        <w:ind w:left="1300" w:right="20" w:firstLine="652"/>
        <w:spacing w:after="0" w:line="220" w:lineRule="auto"/>
        <w:tabs>
          <w:tab w:leader="none" w:pos="2593"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Along with all other Guarantors, to jointly and severally unconditionally guarantee to each Holder of a Note authenticated and delivered by the Trustee and to the Trustee and its successors and assigns, irrespective of the validity and enforceability of the Indenture, the Notes or the obligations of the Issuer hereunder or thereunder, that:</w:t>
      </w:r>
    </w:p>
    <w:p>
      <w:pPr>
        <w:spacing w:after="0" w:line="150"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of, interest and premium and Additional Amounts, if any, on the Notes will be</w:t>
      </w:r>
    </w:p>
    <w:p>
      <w:pPr>
        <w:ind w:left="1960" w:right="20"/>
        <w:spacing w:after="0" w:line="211" w:lineRule="auto"/>
        <w:rPr>
          <w:sz w:val="20"/>
          <w:szCs w:val="20"/>
          <w:color w:val="auto"/>
        </w:rPr>
      </w:pPr>
      <w:r>
        <w:rPr>
          <w:rFonts w:ascii="Times New Roman" w:cs="Times New Roman" w:eastAsia="Times New Roman" w:hAnsi="Times New Roman"/>
          <w:sz w:val="22"/>
          <w:szCs w:val="22"/>
          <w:color w:val="auto"/>
        </w:rPr>
        <w:t>promptly paid in full when due, whether at maturity, by acceleration, redemption or otherwise, and interest on the overdue principal of and interest on the Notes, if any, if lawful, and all other obligations of the Issuer to the Holders or the Trustee hereunder or thereunder will be promptly paid in full or performed, all in accordance with the terms hereof and thereof; and (ii) in case of any extension of time of payment or renewal of any Notes or of any such other obligations, that same will be promptly paid in full when due or performed in accordance with the terms of the extension or renewal, whether at stated</w:t>
      </w:r>
    </w:p>
    <w:p>
      <w:pPr>
        <w:sectPr>
          <w:pgSz w:w="11900" w:h="16838" w:orient="portrait"/>
          <w:cols w:equalWidth="0" w:num="1">
            <w:col w:w="11180"/>
          </w:cols>
          <w:pgMar w:left="320" w:top="94" w:right="399" w:bottom="1440" w:gutter="0" w:footer="0" w:header="0"/>
        </w:sectPr>
      </w:pPr>
    </w:p>
    <w:bookmarkStart w:id="34" w:name="page35"/>
    <w:bookmarkEnd w:id="34"/>
    <w:p>
      <w:pPr>
        <w:ind w:left="840" w:right="60"/>
        <w:spacing w:after="0" w:line="220" w:lineRule="auto"/>
        <w:rPr>
          <w:sz w:val="20"/>
          <w:szCs w:val="20"/>
          <w:color w:val="auto"/>
        </w:rPr>
      </w:pPr>
      <w:r>
        <w:rPr>
          <w:rFonts w:ascii="Times New Roman" w:cs="Times New Roman" w:eastAsia="Times New Roman" w:hAnsi="Times New Roman"/>
          <w:sz w:val="22"/>
          <w:szCs w:val="22"/>
          <w:color w:val="auto"/>
        </w:rPr>
        <w:t>maturity, by acceleration or otherwise. Failing payment when due of any amount so guaranteed or any performance so guaranteed for whatever reason, the Guarantors and the Guaranteeing Subsidiaries shall be jointly and severally obligated to pay the same immediately. This is a guarantee of payment and not a guarantee of collection.</w:t>
      </w:r>
    </w:p>
    <w:p>
      <w:pPr>
        <w:spacing w:after="0" w:line="152" w:lineRule="exact"/>
        <w:rPr>
          <w:sz w:val="20"/>
          <w:szCs w:val="20"/>
          <w:color w:val="auto"/>
        </w:rPr>
      </w:pPr>
    </w:p>
    <w:p>
      <w:pPr>
        <w:ind w:left="180" w:right="120" w:firstLine="652"/>
        <w:spacing w:after="0" w:line="217" w:lineRule="auto"/>
        <w:tabs>
          <w:tab w:leader="none" w:pos="147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w:t>
      </w:r>
    </w:p>
    <w:p>
      <w:pPr>
        <w:spacing w:after="0" w:line="152" w:lineRule="exact"/>
        <w:rPr>
          <w:rFonts w:ascii="Times New Roman" w:cs="Times New Roman" w:eastAsia="Times New Roman" w:hAnsi="Times New Roman"/>
          <w:sz w:val="22"/>
          <w:szCs w:val="22"/>
          <w:color w:val="auto"/>
        </w:rPr>
      </w:pPr>
    </w:p>
    <w:p>
      <w:pPr>
        <w:ind w:left="180" w:right="140" w:firstLine="652"/>
        <w:spacing w:after="0" w:line="225" w:lineRule="auto"/>
        <w:tabs>
          <w:tab w:leader="none" w:pos="147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is hereby waived: diligence, presentment, demand of payment, filing of claims with a court in the event of insolvency or bankruptcy of the Issuer, any right to require a proceeding first against the Issuer, protest, notice and all demands whatsoever.</w:t>
      </w:r>
    </w:p>
    <w:p>
      <w:pPr>
        <w:spacing w:after="0" w:line="152" w:lineRule="exact"/>
        <w:rPr>
          <w:rFonts w:ascii="Times New Roman" w:cs="Times New Roman" w:eastAsia="Times New Roman" w:hAnsi="Times New Roman"/>
          <w:sz w:val="22"/>
          <w:szCs w:val="22"/>
          <w:color w:val="auto"/>
        </w:rPr>
      </w:pPr>
    </w:p>
    <w:p>
      <w:pPr>
        <w:ind w:left="180" w:right="140" w:firstLine="652"/>
        <w:spacing w:after="0" w:line="225" w:lineRule="auto"/>
        <w:tabs>
          <w:tab w:leader="none" w:pos="147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Guarantee shall not be discharged except by complete performance of the obligations contained in the Notes, the Indenture and this Supplemental Indenture, and each Guaranteeing Subsidiary accepts all obligations of a Guarantor under the Indenture.</w:t>
      </w:r>
    </w:p>
    <w:p>
      <w:pPr>
        <w:spacing w:after="0" w:line="152" w:lineRule="exact"/>
        <w:rPr>
          <w:rFonts w:ascii="Times New Roman" w:cs="Times New Roman" w:eastAsia="Times New Roman" w:hAnsi="Times New Roman"/>
          <w:sz w:val="22"/>
          <w:szCs w:val="22"/>
          <w:color w:val="auto"/>
        </w:rPr>
      </w:pPr>
    </w:p>
    <w:p>
      <w:pPr>
        <w:ind w:left="180" w:right="100" w:firstLine="652"/>
        <w:spacing w:after="0" w:line="220" w:lineRule="auto"/>
        <w:tabs>
          <w:tab w:leader="none" w:pos="147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Holder or the Trustee is required by any court or otherwise to return to the Issuer, the Guarantors (including the Guaranteeing Subsidiaries), or any custodian, trustee, liquidator or other similar official acting in relation to either the Issuer or the Guarantors, any amount paid either to the Trustee or such Holder, this Guarantee, to the extent theretofore discharged, shall be reinstated in full force and effect.</w:t>
      </w:r>
    </w:p>
    <w:p>
      <w:pPr>
        <w:spacing w:after="0" w:line="152" w:lineRule="exact"/>
        <w:rPr>
          <w:rFonts w:ascii="Times New Roman" w:cs="Times New Roman" w:eastAsia="Times New Roman" w:hAnsi="Times New Roman"/>
          <w:sz w:val="22"/>
          <w:szCs w:val="22"/>
          <w:color w:val="auto"/>
        </w:rPr>
      </w:pPr>
    </w:p>
    <w:p>
      <w:pPr>
        <w:ind w:left="180" w:right="80" w:firstLine="652"/>
        <w:spacing w:after="0" w:line="255" w:lineRule="auto"/>
        <w:tabs>
          <w:tab w:leader="none" w:pos="147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Guaranteeing Subsidiary shall not be entitled to any right of subrogation in relation to the Holders in respect of any obligations guaranteed hereby until payment in full of all obligations guaranteed hereby.</w:t>
      </w:r>
    </w:p>
    <w:p>
      <w:pPr>
        <w:spacing w:after="0" w:line="134" w:lineRule="exact"/>
        <w:rPr>
          <w:rFonts w:ascii="Times New Roman" w:cs="Times New Roman" w:eastAsia="Times New Roman" w:hAnsi="Times New Roman"/>
          <w:sz w:val="21"/>
          <w:szCs w:val="21"/>
          <w:color w:val="auto"/>
        </w:rPr>
      </w:pPr>
    </w:p>
    <w:p>
      <w:pPr>
        <w:ind w:left="180" w:firstLine="652"/>
        <w:spacing w:after="0" w:line="213" w:lineRule="auto"/>
        <w:tabs>
          <w:tab w:leader="none" w:pos="147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the Guaranteeing Subsidiaries, on the one hand, and the Holders and the Trustee, on the other hand, (x) the maturity of the obligations guaranteed hereby may be accelerated as provided in Article 6 of the Indenture for the purposes of this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Guaranteeing Subsidiaries for the purpose of this Guarantee.</w:t>
      </w:r>
    </w:p>
    <w:p>
      <w:pPr>
        <w:spacing w:after="0" w:line="143"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Guaranteeing Subsidiary shall have the right to seek contribution from any non-</w:t>
      </w:r>
    </w:p>
    <w:p>
      <w:pPr>
        <w:ind w:left="180" w:right="820"/>
        <w:spacing w:after="0" w:line="225" w:lineRule="auto"/>
        <w:rPr>
          <w:sz w:val="20"/>
          <w:szCs w:val="20"/>
          <w:color w:val="auto"/>
        </w:rPr>
      </w:pPr>
      <w:r>
        <w:rPr>
          <w:rFonts w:ascii="Times New Roman" w:cs="Times New Roman" w:eastAsia="Times New Roman" w:hAnsi="Times New Roman"/>
          <w:sz w:val="22"/>
          <w:szCs w:val="22"/>
          <w:color w:val="auto"/>
        </w:rPr>
        <w:t>paying Guarantor so long as the exercise of such right does not impair the rights of the Holders under this Guarantee.</w:t>
      </w:r>
    </w:p>
    <w:p>
      <w:pPr>
        <w:spacing w:after="0" w:line="150" w:lineRule="exact"/>
        <w:rPr>
          <w:sz w:val="20"/>
          <w:szCs w:val="20"/>
          <w:color w:val="auto"/>
        </w:rPr>
      </w:pPr>
    </w:p>
    <w:p>
      <w:pPr>
        <w:ind w:left="180" w:right="60" w:firstLine="652"/>
        <w:spacing w:after="0" w:line="220" w:lineRule="auto"/>
        <w:tabs>
          <w:tab w:leader="none" w:pos="146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10.02 of the Indenture, after giving effect to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120"/>
          </w:cols>
          <w:pgMar w:left="1440" w:top="1395" w:right="339" w:bottom="1440" w:gutter="0" w:footer="0" w:header="0"/>
        </w:sectPr>
      </w:pPr>
    </w:p>
    <w:bookmarkStart w:id="35" w:name="page36"/>
    <w:bookmarkEnd w:id="35"/>
    <w:p>
      <w:pPr>
        <w:ind w:left="180" w:right="40"/>
        <w:spacing w:after="0" w:line="225" w:lineRule="auto"/>
        <w:rPr>
          <w:sz w:val="20"/>
          <w:szCs w:val="20"/>
          <w:color w:val="auto"/>
        </w:rPr>
      </w:pPr>
      <w:r>
        <w:rPr>
          <w:rFonts w:ascii="Times New Roman" w:cs="Times New Roman" w:eastAsia="Times New Roman" w:hAnsi="Times New Roman"/>
          <w:sz w:val="22"/>
          <w:szCs w:val="22"/>
          <w:color w:val="auto"/>
        </w:rPr>
        <w:t>under Article 10 of the Indenture, this new Guarantee shall be limited to the maximum amount permissible such that the obligations of such Guaranteeing Subsidiary under this Guarantee will not constitute a fraudulent transfer or conveyance.</w:t>
      </w:r>
    </w:p>
    <w:p>
      <w:pPr>
        <w:spacing w:after="0" w:line="153" w:lineRule="exact"/>
        <w:rPr>
          <w:sz w:val="20"/>
          <w:szCs w:val="20"/>
          <w:color w:val="auto"/>
        </w:rPr>
      </w:pPr>
    </w:p>
    <w:p>
      <w:pPr>
        <w:ind w:left="180" w:firstLine="652"/>
        <w:spacing w:after="0" w:line="211" w:lineRule="auto"/>
        <w:tabs>
          <w:tab w:leader="none" w:pos="146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and Guarantee, whether as a “voidable preference,” “fraudulent transfer” or otherwise, all as though such payment or performance had not been made. In the event that any payment or any part thereof, is rescinded, reduced, restored or returned, the Note shall, to the fullest extent permitted by law, be reinstated and deemed reduced only by such amount paid and not so rescinded, reduced, restored or returned.</w:t>
      </w:r>
    </w:p>
    <w:p>
      <w:pPr>
        <w:spacing w:after="0" w:line="151" w:lineRule="exact"/>
        <w:rPr>
          <w:rFonts w:ascii="Times New Roman" w:cs="Times New Roman" w:eastAsia="Times New Roman" w:hAnsi="Times New Roman"/>
          <w:sz w:val="22"/>
          <w:szCs w:val="22"/>
          <w:color w:val="auto"/>
        </w:rPr>
      </w:pPr>
    </w:p>
    <w:p>
      <w:pPr>
        <w:jc w:val="both"/>
        <w:ind w:left="180" w:right="520" w:firstLine="652"/>
        <w:spacing w:after="0" w:line="255" w:lineRule="auto"/>
        <w:tabs>
          <w:tab w:leader="none" w:pos="1471"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any provision of this Guarantee shall be invalid, illegal or unenforceable, the validity, legality, and enforceability of the remaining provisions shall not in any way be affected or impaired thereby.</w:t>
      </w:r>
    </w:p>
    <w:p>
      <w:pPr>
        <w:spacing w:after="0" w:line="134" w:lineRule="exact"/>
        <w:rPr>
          <w:rFonts w:ascii="Times New Roman" w:cs="Times New Roman" w:eastAsia="Times New Roman" w:hAnsi="Times New Roman"/>
          <w:sz w:val="21"/>
          <w:szCs w:val="21"/>
          <w:color w:val="auto"/>
        </w:rPr>
      </w:pPr>
    </w:p>
    <w:p>
      <w:pPr>
        <w:ind w:left="180" w:right="320" w:firstLine="652"/>
        <w:spacing w:after="0" w:line="255" w:lineRule="auto"/>
        <w:tabs>
          <w:tab w:leader="none" w:pos="1464"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Guarantee shall be a general unsecured senior obligation of such Guaranteeing Subsidiary, ranking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any other future Senior Indebtedness of such Guaranteeing Subsidiary, if any.</w:t>
      </w:r>
    </w:p>
    <w:p>
      <w:pPr>
        <w:spacing w:after="0" w:line="134" w:lineRule="exact"/>
        <w:rPr>
          <w:rFonts w:ascii="Times New Roman" w:cs="Times New Roman" w:eastAsia="Times New Roman" w:hAnsi="Times New Roman"/>
          <w:sz w:val="21"/>
          <w:szCs w:val="21"/>
          <w:color w:val="auto"/>
        </w:rPr>
      </w:pPr>
    </w:p>
    <w:p>
      <w:pPr>
        <w:ind w:left="180" w:right="280" w:firstLine="652"/>
        <w:spacing w:after="0" w:line="236" w:lineRule="auto"/>
        <w:tabs>
          <w:tab w:leader="none" w:pos="146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to be made by the Guaranteeing Subsidiaries in respect of this Guarantee shall be made without set-off, counterclaim, reduction or diminution of any kind or nature.</w:t>
      </w:r>
    </w:p>
    <w:p>
      <w:pPr>
        <w:spacing w:after="0" w:line="150" w:lineRule="exact"/>
        <w:rPr>
          <w:rFonts w:ascii="Times New Roman" w:cs="Times New Roman" w:eastAsia="Times New Roman" w:hAnsi="Times New Roman"/>
          <w:sz w:val="22"/>
          <w:szCs w:val="22"/>
          <w:color w:val="auto"/>
        </w:rPr>
      </w:pPr>
    </w:p>
    <w:p>
      <w:pPr>
        <w:ind w:left="-460" w:firstLine="644"/>
        <w:spacing w:after="0" w:line="236" w:lineRule="auto"/>
        <w:tabs>
          <w:tab w:leader="none" w:pos="83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and Delivery</w:t>
      </w:r>
      <w:r>
        <w:rPr>
          <w:rFonts w:ascii="Times New Roman" w:cs="Times New Roman" w:eastAsia="Times New Roman" w:hAnsi="Times New Roman"/>
          <w:sz w:val="22"/>
          <w:szCs w:val="22"/>
          <w:color w:val="auto"/>
        </w:rPr>
        <w:t>. Each Guaranteeing Subsidiary agrees that the Guarantee shall remain in full force and effect notwithstanding the absence of the endorsement of any notation of such Guarantee on the Notes.</w:t>
      </w:r>
    </w:p>
    <w:p>
      <w:pPr>
        <w:spacing w:after="0" w:line="150"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 Consolidation or Sale of All or Substantially All Assets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80" w:right="120" w:firstLine="652"/>
        <w:spacing w:after="0" w:line="220" w:lineRule="auto"/>
        <w:tabs>
          <w:tab w:leader="none" w:pos="1473"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 5.01(c) of the Indenture, each Guaranteeing Subsidiary may not consolidate or merge with or into or wind up into (whether or not such Guaranteeing Subsidiary is the surviving corporation), or sell, assign, transfer, lease, convey or otherwise dispose of all or substantially all of its properties or assets, in one or more related transactions, to any Person unless:</w:t>
      </w:r>
    </w:p>
    <w:p>
      <w:pPr>
        <w:spacing w:after="0" w:line="152" w:lineRule="exact"/>
        <w:rPr>
          <w:rFonts w:ascii="Times New Roman" w:cs="Times New Roman" w:eastAsia="Times New Roman" w:hAnsi="Times New Roman"/>
          <w:sz w:val="22"/>
          <w:szCs w:val="22"/>
          <w:color w:val="auto"/>
        </w:rPr>
      </w:pPr>
    </w:p>
    <w:p>
      <w:pPr>
        <w:ind w:left="840" w:right="80" w:firstLine="640"/>
        <w:spacing w:after="0" w:line="215" w:lineRule="auto"/>
        <w:tabs>
          <w:tab w:leader="none" w:pos="2124"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Guaranteeing Subsidiary is the surviving corporation or the Person formed by or surviving any such consolidation or merger (if other than such Guaranteeing Subsidiary) or to which such sale, assignment, transfer, lease, conveyance or other disposition will have been made is a corporation, partnership, limited partnership, limited liability company or trust organized or existing under the laws of the jurisdiction of organization of such Guaranteeing Subsidiary, as the case may be, or the laws of the United States, any state thereof, the District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040"/>
          </w:cols>
          <w:pgMar w:left="1440" w:top="1395" w:right="419" w:bottom="1440" w:gutter="0" w:footer="0" w:header="0"/>
        </w:sectPr>
      </w:pPr>
    </w:p>
    <w:bookmarkStart w:id="36" w:name="page37"/>
    <w:bookmarkEnd w:id="36"/>
    <w:p>
      <w:pPr>
        <w:ind w:left="840"/>
        <w:spacing w:after="0" w:line="236" w:lineRule="auto"/>
        <w:rPr>
          <w:sz w:val="20"/>
          <w:szCs w:val="20"/>
          <w:color w:val="auto"/>
        </w:rPr>
      </w:pPr>
      <w:r>
        <w:rPr>
          <w:rFonts w:ascii="Times New Roman" w:cs="Times New Roman" w:eastAsia="Times New Roman" w:hAnsi="Times New Roman"/>
          <w:sz w:val="22"/>
          <w:szCs w:val="22"/>
          <w:color w:val="auto"/>
        </w:rPr>
        <w:t>Columbia, or any territory thereof (such Guaranteeing Subsidiary or such Person, as the case may be, being herein called the “</w:t>
      </w:r>
      <w:r>
        <w:rPr>
          <w:rFonts w:ascii="Times New Roman" w:cs="Times New Roman" w:eastAsia="Times New Roman" w:hAnsi="Times New Roman"/>
          <w:sz w:val="22"/>
          <w:szCs w:val="22"/>
          <w:u w:val="single" w:color="auto"/>
          <w:color w:val="auto"/>
        </w:rPr>
        <w:t>Successor Person</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480" w:right="40" w:firstLine="648"/>
        <w:spacing w:after="0" w:line="220" w:lineRule="auto"/>
        <w:tabs>
          <w:tab w:leader="none" w:pos="2765" w:val="left"/>
        </w:tabs>
        <w:numPr>
          <w:ilvl w:val="3"/>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Successor Person, if other than such Guaranteeing Subsidiary, expressly assumes all the obligations of such Guaranteeing Subsidiary under the Indenture and such Guaranteeing Subsidiary’s related Guarantee pursuant to supplemental indentures or other documents or instruments in form reasonably satisfactory to the Trustee;</w:t>
      </w:r>
    </w:p>
    <w:p>
      <w:pPr>
        <w:spacing w:after="0" w:line="152" w:lineRule="exact"/>
        <w:rPr>
          <w:rFonts w:ascii="Times New Roman" w:cs="Times New Roman" w:eastAsia="Times New Roman" w:hAnsi="Times New Roman"/>
          <w:sz w:val="22"/>
          <w:szCs w:val="22"/>
          <w:color w:val="010000"/>
        </w:rPr>
      </w:pPr>
    </w:p>
    <w:p>
      <w:pPr>
        <w:ind w:left="2760" w:hanging="632"/>
        <w:spacing w:after="0"/>
        <w:tabs>
          <w:tab w:leader="none" w:pos="2760" w:val="left"/>
        </w:tabs>
        <w:numPr>
          <w:ilvl w:val="3"/>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immediately after such transaction, no Default exists; and</w:t>
      </w:r>
    </w:p>
    <w:p>
      <w:pPr>
        <w:spacing w:after="0" w:line="179" w:lineRule="exact"/>
        <w:rPr>
          <w:rFonts w:ascii="Times New Roman" w:cs="Times New Roman" w:eastAsia="Times New Roman" w:hAnsi="Times New Roman"/>
          <w:sz w:val="22"/>
          <w:szCs w:val="22"/>
          <w:color w:val="010000"/>
        </w:rPr>
      </w:pPr>
    </w:p>
    <w:p>
      <w:pPr>
        <w:ind w:left="1480" w:right="80" w:firstLine="648"/>
        <w:spacing w:after="0" w:line="225" w:lineRule="auto"/>
        <w:tabs>
          <w:tab w:leader="none" w:pos="2767" w:val="left"/>
        </w:tabs>
        <w:numPr>
          <w:ilvl w:val="3"/>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have delivered to the Trustee an Officers’ Certificate and an Opinion of Counsel, each stating that such consolidation, merger or transfer and such supplemental indentures, if any, comply with the Indenture; or</w:t>
      </w:r>
    </w:p>
    <w:p>
      <w:pPr>
        <w:spacing w:after="0" w:line="152" w:lineRule="exact"/>
        <w:rPr>
          <w:rFonts w:ascii="Times New Roman" w:cs="Times New Roman" w:eastAsia="Times New Roman" w:hAnsi="Times New Roman"/>
          <w:sz w:val="22"/>
          <w:szCs w:val="22"/>
          <w:color w:val="010000"/>
        </w:rPr>
      </w:pPr>
    </w:p>
    <w:p>
      <w:pPr>
        <w:ind w:left="2120" w:hanging="640"/>
        <w:spacing w:after="0"/>
        <w:tabs>
          <w:tab w:leader="none" w:pos="2120"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is made in compliance with Section 4.10 of the Indenture;</w:t>
      </w:r>
    </w:p>
    <w:p>
      <w:pPr>
        <w:spacing w:after="0" w:line="179" w:lineRule="exact"/>
        <w:rPr>
          <w:rFonts w:ascii="Times New Roman" w:cs="Times New Roman" w:eastAsia="Times New Roman" w:hAnsi="Times New Roman"/>
          <w:sz w:val="22"/>
          <w:szCs w:val="22"/>
          <w:color w:val="auto"/>
        </w:rPr>
      </w:pPr>
    </w:p>
    <w:p>
      <w:pPr>
        <w:ind w:left="180" w:right="100" w:firstLine="652"/>
        <w:spacing w:after="0" w:line="220" w:lineRule="auto"/>
        <w:tabs>
          <w:tab w:leader="none" w:pos="147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certain limitations described in the Indenture, the Successor Person will succeed to, and be substituted for, such Guaranteeing Subsidiary under the Indenture and such Guaranteeing Subsidiary’s Guarantee. Notwithstanding the foregoing, such Guaranteeing Subsidiary may merge into or transfer all or part of its properties and assets to another Guarantor, including the Company, or the Issuer.</w:t>
      </w:r>
    </w:p>
    <w:p>
      <w:pPr>
        <w:spacing w:after="0" w:line="152" w:lineRule="exact"/>
        <w:rPr>
          <w:rFonts w:ascii="Times New Roman" w:cs="Times New Roman" w:eastAsia="Times New Roman" w:hAnsi="Times New Roman"/>
          <w:sz w:val="22"/>
          <w:szCs w:val="22"/>
          <w:color w:val="auto"/>
        </w:rPr>
      </w:pPr>
    </w:p>
    <w:p>
      <w:pPr>
        <w:ind w:left="-460" w:right="240" w:firstLine="644"/>
        <w:spacing w:after="0" w:line="225" w:lineRule="auto"/>
        <w:tabs>
          <w:tab w:leader="none" w:pos="83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Releases</w:t>
      </w:r>
      <w:r>
        <w:rPr>
          <w:rFonts w:ascii="Times New Roman" w:cs="Times New Roman" w:eastAsia="Times New Roman" w:hAnsi="Times New Roman"/>
          <w:sz w:val="22"/>
          <w:szCs w:val="22"/>
          <w:color w:val="auto"/>
        </w:rPr>
        <w:t>. The Guarantee of each Guaranteeing Subsidiary shall be automatically and unconditionally released and discharged, and no further action by such Guaranteeing Subsidiary, the Issuer or the Trustee is required for the release of such Guaranteeing Subsidiary’s Guarantee, upon:</w:t>
      </w:r>
    </w:p>
    <w:p>
      <w:pPr>
        <w:spacing w:after="0" w:line="152" w:lineRule="exact"/>
        <w:rPr>
          <w:rFonts w:ascii="Times New Roman" w:cs="Times New Roman" w:eastAsia="Times New Roman" w:hAnsi="Times New Roman"/>
          <w:sz w:val="22"/>
          <w:szCs w:val="22"/>
          <w:color w:val="auto"/>
        </w:rPr>
      </w:pPr>
    </w:p>
    <w:p>
      <w:pPr>
        <w:ind w:left="180" w:right="120" w:firstLine="652"/>
        <w:spacing w:after="0" w:line="220" w:lineRule="auto"/>
        <w:tabs>
          <w:tab w:leader="none" w:pos="1473"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sale, exchange or transfer (by merger or otherwise) of the Capital Stock of such Guaranteeing Subsidiary (including any sale, exchange or transfer), after which such Guaranteeing Subsidiary is no longer a Restricted Subsidiary or all or substantially all the assets of such Guaranteeing Subsidiary which sale, exchange or transfer is made in compliance with the applicable provisions of the Indenture;</w:t>
      </w:r>
    </w:p>
    <w:p>
      <w:pPr>
        <w:spacing w:after="0" w:line="152" w:lineRule="exact"/>
        <w:rPr>
          <w:rFonts w:ascii="Times New Roman" w:cs="Times New Roman" w:eastAsia="Times New Roman" w:hAnsi="Times New Roman"/>
          <w:sz w:val="22"/>
          <w:szCs w:val="22"/>
          <w:color w:val="auto"/>
        </w:rPr>
      </w:pPr>
    </w:p>
    <w:p>
      <w:pPr>
        <w:jc w:val="both"/>
        <w:ind w:left="840" w:right="160" w:firstLine="640"/>
        <w:spacing w:after="0" w:line="225" w:lineRule="auto"/>
        <w:tabs>
          <w:tab w:leader="none" w:pos="2124"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 or discharge of the guarantee by such Guaranteeing Subsidiary of the guarantee which resulted in the creation of the Guarantee, except a discharge or release by or as a result of payment under such guarantee;</w:t>
      </w:r>
    </w:p>
    <w:p>
      <w:pPr>
        <w:spacing w:after="0" w:line="152" w:lineRule="exact"/>
        <w:rPr>
          <w:sz w:val="20"/>
          <w:szCs w:val="20"/>
          <w:color w:val="auto"/>
        </w:rPr>
      </w:pPr>
    </w:p>
    <w:p>
      <w:pPr>
        <w:ind w:left="2120" w:hanging="640"/>
        <w:spacing w:after="0"/>
        <w:tabs>
          <w:tab w:leader="none" w:pos="21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proper designation of such Guaranteeing Subsidiary as an Unrestricted Subsidiary; or</w:t>
      </w:r>
    </w:p>
    <w:p>
      <w:pPr>
        <w:spacing w:after="0" w:line="179" w:lineRule="exact"/>
        <w:rPr>
          <w:rFonts w:ascii="Times New Roman" w:cs="Times New Roman" w:eastAsia="Times New Roman" w:hAnsi="Times New Roman"/>
          <w:sz w:val="22"/>
          <w:szCs w:val="22"/>
          <w:color w:val="auto"/>
        </w:rPr>
      </w:pPr>
    </w:p>
    <w:p>
      <w:pPr>
        <w:ind w:left="840" w:right="80" w:firstLine="640"/>
        <w:spacing w:after="0" w:line="225" w:lineRule="auto"/>
        <w:tabs>
          <w:tab w:leader="none" w:pos="213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exercising its Legal Defeasance option or Covenant Defeasance option in accordance with Article 8 of the Indenture or the Issuer’s obligations under the Indenture being discharged in accordance with the terms of the Indenture;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20"/>
          </w:cols>
          <w:pgMar w:left="1440" w:top="1395" w:right="339" w:bottom="1440" w:gutter="0" w:footer="0" w:header="0"/>
        </w:sectPr>
      </w:pPr>
    </w:p>
    <w:bookmarkStart w:id="37" w:name="page38"/>
    <w:bookmarkEnd w:id="37"/>
    <w:p>
      <w:pPr>
        <w:jc w:val="both"/>
        <w:ind w:left="640" w:right="180" w:firstLine="652"/>
        <w:spacing w:after="0" w:line="225" w:lineRule="auto"/>
        <w:tabs>
          <w:tab w:leader="none" w:pos="1931"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Guaranteeing Subsidiary delivering to the Trustee an Officers’ Certificate and an Opinion of Counsel, each stating that all conditions precedent provided for in the Indenture relating to such transaction have been complied with.</w:t>
      </w:r>
    </w:p>
    <w:p>
      <w:pPr>
        <w:spacing w:after="0" w:line="152" w:lineRule="exact"/>
        <w:rPr>
          <w:rFonts w:ascii="Times New Roman" w:cs="Times New Roman" w:eastAsia="Times New Roman" w:hAnsi="Times New Roman"/>
          <w:sz w:val="22"/>
          <w:szCs w:val="22"/>
          <w:color w:val="auto"/>
        </w:rPr>
      </w:pPr>
    </w:p>
    <w:p>
      <w:pPr>
        <w:ind w:right="180" w:firstLine="644"/>
        <w:spacing w:after="0" w:line="217"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Recourse Against Others</w:t>
      </w:r>
      <w:r>
        <w:rPr>
          <w:rFonts w:ascii="Times New Roman" w:cs="Times New Roman" w:eastAsia="Times New Roman" w:hAnsi="Times New Roman"/>
          <w:sz w:val="22"/>
          <w:szCs w:val="22"/>
          <w:color w:val="auto"/>
        </w:rPr>
        <w:t>. No director, officer, employee, incorporator or stockholder of the Guaranteeing Subsidiaries shall have any liability for any obligations of the Issuer or the Guarantors (including the Guaranteeing Subsidiaries) under the Notes, any Guarantees, the Indenture or this Supplemental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152" w:lineRule="exact"/>
        <w:rPr>
          <w:rFonts w:ascii="Times New Roman" w:cs="Times New Roman" w:eastAsia="Times New Roman" w:hAnsi="Times New Roman"/>
          <w:sz w:val="22"/>
          <w:szCs w:val="22"/>
          <w:color w:val="auto"/>
        </w:rPr>
      </w:pPr>
    </w:p>
    <w:p>
      <w:pPr>
        <w:ind w:right="1280" w:firstLine="644"/>
        <w:spacing w:after="0" w:line="236"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WILL BE GOVERNED BY AND CONSTRUED IN ACCORDANCE WITH THE LAWS OF THE STATE OF NEW YORK.</w:t>
      </w:r>
    </w:p>
    <w:p>
      <w:pPr>
        <w:spacing w:after="0" w:line="150" w:lineRule="exact"/>
        <w:rPr>
          <w:rFonts w:ascii="Times New Roman" w:cs="Times New Roman" w:eastAsia="Times New Roman" w:hAnsi="Times New Roman"/>
          <w:sz w:val="22"/>
          <w:szCs w:val="22"/>
          <w:color w:val="auto"/>
        </w:rPr>
      </w:pPr>
    </w:p>
    <w:p>
      <w:pPr>
        <w:ind w:right="440" w:firstLine="644"/>
        <w:spacing w:after="0" w:line="236"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The parties may sign any number of copies of this Supplemental Indenture. Each signed copy shall be an original, but all of them together represent the same agreement.</w:t>
      </w:r>
    </w:p>
    <w:p>
      <w:pPr>
        <w:spacing w:after="0" w:line="150"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21"/>
          <w:szCs w:val="21"/>
          <w:color w:val="auto"/>
        </w:rPr>
        <w:t>The words “execution,” “signed,” “signature,” and words of like import in this Supplemental Indenture shall include images of manually executed signatures transmitted by facsimile or other electronic format (including, without limitation, “pdf”, “tif” or “jpg”) and other electronic signatures (including, without limitation, DocuSign and Adobe Sign or any other electronic process or digital signature provider as specified in writing to the Trustee and agreed to by the Trustee in its sole discretion).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Anything in this Supplemental Indenture or the Notes to the contrary notwithstanding, each party agrees that for the purposes of the transactions contemplated by this Supplemental Indenture, the Notes and any document to be signed in connection with the Indenture or the Notes (including the Notes and amendments, supplements, waivers, consents and other modifications, Officers’ Certificates, Issuer Orders and Opinions of Counsel) or the transactions contemplated hereby may be signed by manual signatures that are scanned, photocopied or faxed or other electronic signatures created on an electronic platform, such as DocuSign, or by digital signature, such as Adobe Sign, (or any other electronic process or digital signature provider as specified in writing to the Trustee and agreed to by the Trustee in its sole discretion),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52" w:lineRule="exact"/>
        <w:rPr>
          <w:sz w:val="20"/>
          <w:szCs w:val="20"/>
          <w:color w:val="auto"/>
        </w:rPr>
      </w:pPr>
    </w:p>
    <w:p>
      <w:pPr>
        <w:ind w:right="880" w:firstLine="644"/>
        <w:spacing w:after="0" w:line="236" w:lineRule="auto"/>
        <w:tabs>
          <w:tab w:leader="none" w:pos="129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headings herein are for convenience only and shall not affect the construction hereof.</w:t>
      </w:r>
    </w:p>
    <w:p>
      <w:pPr>
        <w:spacing w:after="0" w:line="150" w:lineRule="exact"/>
        <w:rPr>
          <w:rFonts w:ascii="Times New Roman" w:cs="Times New Roman" w:eastAsia="Times New Roman" w:hAnsi="Times New Roman"/>
          <w:sz w:val="22"/>
          <w:szCs w:val="22"/>
          <w:color w:val="auto"/>
        </w:rPr>
      </w:pPr>
    </w:p>
    <w:p>
      <w:pPr>
        <w:ind w:firstLine="644"/>
        <w:spacing w:after="0" w:line="236" w:lineRule="auto"/>
        <w:tabs>
          <w:tab w:leader="none" w:pos="129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Trustee</w:t>
      </w:r>
      <w:r>
        <w:rPr>
          <w:rFonts w:ascii="Times New Roman" w:cs="Times New Roman" w:eastAsia="Times New Roman" w:hAnsi="Times New Roman"/>
          <w:sz w:val="22"/>
          <w:szCs w:val="22"/>
          <w:color w:val="auto"/>
        </w:rPr>
        <w:t>. The Trustee shall not be responsible in any manner whatsoever for or in respect of the validity or sufficiency of this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60"/>
          </w:cols>
          <w:pgMar w:left="980" w:top="1395"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1"/>
          <w:szCs w:val="21"/>
          <w:color w:val="auto"/>
        </w:rPr>
        <w:t>or for or in respect of the recitals contained herein, all of which recitals are made solely by each Guaranteeing Subsidiary.</w:t>
      </w:r>
    </w:p>
    <w:p>
      <w:pPr>
        <w:spacing w:after="0" w:line="191" w:lineRule="exact"/>
        <w:rPr>
          <w:sz w:val="20"/>
          <w:szCs w:val="20"/>
          <w:color w:val="auto"/>
        </w:rPr>
      </w:pPr>
    </w:p>
    <w:p>
      <w:pPr>
        <w:ind w:right="40" w:firstLine="644"/>
        <w:spacing w:after="0" w:line="215" w:lineRule="auto"/>
        <w:tabs>
          <w:tab w:leader="none" w:pos="128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xml:space="preserve">. Each Guaranteeing Subsidiary shall be subrogated to all rights of Holders of Notes against the Issuer in respect of any amounts paid by such Guaranteeing Subsidiary pursuant to the provisions of Section 2 hereof and Section 10.01 of 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 Event of Default has occurred and is continuing, such Guaranteeing Subsidiary shall not be entitled to enforce or receive any payments arising out of, or based upon, such right of subrogation until all amounts then due and payable by the Issuer under the Indenture or the Notes shall have been paid in full.</w:t>
      </w:r>
    </w:p>
    <w:p>
      <w:pPr>
        <w:spacing w:after="0" w:line="152" w:lineRule="exact"/>
        <w:rPr>
          <w:rFonts w:ascii="Times New Roman" w:cs="Times New Roman" w:eastAsia="Times New Roman" w:hAnsi="Times New Roman"/>
          <w:sz w:val="22"/>
          <w:szCs w:val="22"/>
          <w:color w:val="auto"/>
        </w:rPr>
      </w:pPr>
    </w:p>
    <w:p>
      <w:pPr>
        <w:ind w:right="60" w:firstLine="644"/>
        <w:spacing w:after="0" w:line="231" w:lineRule="auto"/>
        <w:tabs>
          <w:tab w:leader="none" w:pos="1291"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 Acknowledged</w:t>
      </w:r>
      <w:r>
        <w:rPr>
          <w:rFonts w:ascii="Times New Roman" w:cs="Times New Roman" w:eastAsia="Times New Roman" w:hAnsi="Times New Roman"/>
          <w:sz w:val="21"/>
          <w:szCs w:val="21"/>
          <w:color w:val="auto"/>
        </w:rPr>
        <w:t>.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150" w:lineRule="exact"/>
        <w:rPr>
          <w:rFonts w:ascii="Times New Roman" w:cs="Times New Roman" w:eastAsia="Times New Roman" w:hAnsi="Times New Roman"/>
          <w:sz w:val="21"/>
          <w:szCs w:val="21"/>
          <w:color w:val="auto"/>
        </w:rPr>
      </w:pPr>
    </w:p>
    <w:p>
      <w:pPr>
        <w:jc w:val="both"/>
        <w:ind w:right="300" w:firstLine="644"/>
        <w:spacing w:after="0" w:line="225" w:lineRule="auto"/>
        <w:tabs>
          <w:tab w:leader="none" w:pos="12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All agreements of the Guaranteeing Subsidiaries in this Supplemental Indenture shall bind their Successors, except as otherwise provided in Section 2(k) hereof or elsewhere in this Supplemental Indenture. All agreements of the Trustee in this Supplemental Indenture shall bind its successors.</w:t>
      </w:r>
    </w:p>
    <w:p>
      <w:pPr>
        <w:spacing w:after="0" w:line="14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00"/>
          </w:cols>
          <w:pgMar w:left="980" w:top="1395" w:right="419" w:bottom="1440" w:gutter="0" w:footer="0" w:header="0"/>
        </w:sectPr>
      </w:pPr>
    </w:p>
    <w:bookmarkStart w:id="39" w:name="page40"/>
    <w:bookmarkEnd w:id="39"/>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caused this Supplemental Indenture to be duly executed, all as of the date first above written.</w:t>
      </w:r>
    </w:p>
    <w:p>
      <w:pPr>
        <w:spacing w:after="0" w:line="1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NEXT LEVEL HOSPITALITY SERVICES, LLC</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Aramark Healthcare Support Services, LLC, its sole member</w:t>
      </w:r>
    </w:p>
    <w:p>
      <w:pPr>
        <w:spacing w:after="0" w:line="2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JAMES J. TARANGELO</w:t>
      </w:r>
    </w:p>
    <w:p>
      <w:pPr>
        <w:spacing w:after="0" w:line="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James J. Tarangelo</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NEXT LEVEL PEO, LLC</w:t>
      </w:r>
    </w:p>
    <w:p>
      <w:pPr>
        <w:spacing w:after="0" w:line="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NLAL HOSPITALITY LLC</w:t>
      </w:r>
    </w:p>
    <w:p>
      <w:pPr>
        <w:ind w:left="3900"/>
        <w:spacing w:after="0"/>
        <w:rPr>
          <w:sz w:val="20"/>
          <w:szCs w:val="20"/>
          <w:color w:val="auto"/>
        </w:rPr>
      </w:pPr>
      <w:r>
        <w:rPr>
          <w:rFonts w:ascii="Times New Roman" w:cs="Times New Roman" w:eastAsia="Times New Roman" w:hAnsi="Times New Roman"/>
          <w:sz w:val="20"/>
          <w:szCs w:val="20"/>
          <w:b w:val="1"/>
          <w:bCs w:val="1"/>
          <w:color w:val="auto"/>
        </w:rPr>
        <w:t>NLNC HOSPITALITY LLC</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NLPA HOSPITALITY LLC</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NLSD HOSPITALITY LLC</w:t>
      </w:r>
    </w:p>
    <w:p>
      <w:pPr>
        <w:ind w:left="4540"/>
        <w:spacing w:after="0"/>
        <w:rPr>
          <w:sz w:val="20"/>
          <w:szCs w:val="20"/>
          <w:color w:val="auto"/>
        </w:rPr>
      </w:pPr>
      <w:r>
        <w:rPr>
          <w:rFonts w:ascii="Times New Roman" w:cs="Times New Roman" w:eastAsia="Times New Roman" w:hAnsi="Times New Roman"/>
          <w:sz w:val="20"/>
          <w:szCs w:val="20"/>
          <w:color w:val="auto"/>
        </w:rPr>
        <w:t>by Next Level Hospitality Services, LLC, its sole member</w:t>
      </w:r>
    </w:p>
    <w:p>
      <w:pPr>
        <w:spacing w:after="0" w:line="2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-6985</wp:posOffset>
            </wp:positionV>
            <wp:extent cx="16357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635760" cy="8890"/>
                    </a:xfrm>
                    <a:prstGeom prst="rect">
                      <a:avLst/>
                    </a:prstGeom>
                    <a:noFill/>
                  </pic:spPr>
                </pic:pic>
              </a:graphicData>
            </a:graphic>
          </wp:anchor>
        </w:drawing>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James J. Tarangelo</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UNION SUPPLY GROUP, INC.</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UNION SUPPLY COMMISSARY SOLUTIONS, INC.</w:t>
      </w:r>
    </w:p>
    <w:p>
      <w:pPr>
        <w:spacing w:after="0" w:line="26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JAMES J. TARANGELO</w:t>
      </w:r>
    </w:p>
    <w:p>
      <w:pPr>
        <w:spacing w:after="0" w:line="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James J. Tarangelo</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6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THOMAS G. ONDROF</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Thomas G. Ondrof</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THE BANK OF NEW YORK MELLON</w:t>
      </w:r>
      <w:r>
        <w:rPr>
          <w:rFonts w:ascii="Times New Roman" w:cs="Times New Roman" w:eastAsia="Times New Roman" w:hAnsi="Times New Roman"/>
          <w:sz w:val="22"/>
          <w:szCs w:val="22"/>
          <w:color w:val="auto"/>
        </w:rPr>
        <w:t>, as Trustee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00"/>
        <w:spacing w:after="0"/>
        <w:tabs>
          <w:tab w:leader="none" w:pos="46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7602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760220" cy="8255"/>
                    </a:xfrm>
                    <a:prstGeom prst="rect">
                      <a:avLst/>
                    </a:prstGeom>
                    <a:noFill/>
                  </pic:spPr>
                </pic:pic>
              </a:graphicData>
            </a:graphic>
          </wp:anchor>
        </w:drawing>
      </w:r>
    </w:p>
    <w:p>
      <w:pPr>
        <w:ind w:left="4120"/>
        <w:spacing w:after="0" w:line="204" w:lineRule="auto"/>
        <w:rPr>
          <w:sz w:val="20"/>
          <w:szCs w:val="20"/>
          <w:color w:val="auto"/>
        </w:rPr>
      </w:pPr>
      <w:r>
        <w:rPr>
          <w:rFonts w:ascii="Times New Roman" w:cs="Times New Roman" w:eastAsia="Times New Roman" w:hAnsi="Times New Roman"/>
          <w:sz w:val="22"/>
          <w:szCs w:val="22"/>
          <w:color w:val="auto"/>
        </w:rPr>
        <w:t>Name: Francine Kincaid</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2025 Euro Notes Supplemental Indenture</w:t>
      </w:r>
      <w:r>
        <w:rPr>
          <w:rFonts w:ascii="Times New Roman" w:cs="Times New Roman" w:eastAsia="Times New Roman" w:hAnsi="Times New Roman"/>
          <w:sz w:val="22"/>
          <w:szCs w:val="22"/>
          <w:color w:val="auto"/>
        </w:rPr>
        <w:t>]</w:t>
      </w:r>
    </w:p>
    <w:p>
      <w:pPr>
        <w:sectPr>
          <w:pgSz w:w="11900" w:h="16838" w:orient="portrait"/>
          <w:cols w:equalWidth="0" w:num="1">
            <w:col w:w="11000"/>
          </w:cols>
          <w:pgMar w:left="320" w:top="100" w:right="579" w:bottom="1440" w:gutter="0" w:footer="0" w:header="0"/>
        </w:sectPr>
      </w:pPr>
    </w:p>
    <w:bookmarkStart w:id="40" w:name="page41"/>
    <w:bookmarkEnd w:id="40"/>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Guaranteeing Subsidiaries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6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7240" w:type="dxa"/>
            <w:vAlign w:val="bottom"/>
            <w:tcBorders>
              <w:top w:val="single" w:sz="8" w:color="auto"/>
              <w:bottom w:val="single" w:sz="8" w:color="auto"/>
              <w:right w:val="single" w:sz="8" w:color="auto"/>
            </w:tcBorders>
          </w:tcPr>
          <w:p>
            <w:pPr>
              <w:ind w:left="3020"/>
              <w:spacing w:after="0"/>
              <w:rPr>
                <w:sz w:val="20"/>
                <w:szCs w:val="20"/>
                <w:color w:val="auto"/>
              </w:rPr>
            </w:pPr>
            <w:r>
              <w:rPr>
                <w:rFonts w:ascii="Times New Roman" w:cs="Times New Roman" w:eastAsia="Times New Roman" w:hAnsi="Times New Roman"/>
                <w:sz w:val="22"/>
                <w:szCs w:val="22"/>
                <w:b w:val="1"/>
                <w:bCs w:val="1"/>
                <w:color w:val="auto"/>
              </w:rPr>
              <w:t>Entity Name</w:t>
            </w:r>
          </w:p>
        </w:tc>
        <w:tc>
          <w:tcPr>
            <w:tcW w:w="23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Jurisdiction</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Union Supply Group, Inc.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California</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Union Supply Commissary Solutions, Inc.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California</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Next Level Hospitality Services,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Next Level PEO,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4"/>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NLAL Hospitality,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NLNC Hospitality,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NLPA Hospitality,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NLSD Hospitality,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bl>
    <w:p>
      <w:pPr>
        <w:sectPr>
          <w:pgSz w:w="11900" w:h="16838" w:orient="portrait"/>
          <w:cols w:equalWidth="0" w:num="1">
            <w:col w:w="11260"/>
          </w:cols>
          <w:pgMar w:left="320" w:top="100" w:right="3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THIRD SUPPLEMENTAL INDENTURE</w:t>
      </w:r>
    </w:p>
    <w:p>
      <w:pPr>
        <w:spacing w:after="0" w:line="179"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22"/>
          <w:szCs w:val="22"/>
          <w:color w:val="auto"/>
        </w:rPr>
        <w:t>THIS THIRD SUPPLEMENTAL INDENTURE (this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dated as of December 16, 2022, among the entities listed in Schedule I hereto (each a “</w:t>
      </w:r>
      <w:r>
        <w:rPr>
          <w:rFonts w:ascii="Times New Roman" w:cs="Times New Roman" w:eastAsia="Times New Roman" w:hAnsi="Times New Roman"/>
          <w:sz w:val="22"/>
          <w:szCs w:val="22"/>
          <w:u w:val="single" w:color="auto"/>
          <w:color w:val="auto"/>
        </w:rPr>
        <w:t>Guaranteeing Subsidiary</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u w:val="single" w:color="auto"/>
          <w:color w:val="auto"/>
        </w:rPr>
        <w:t>Guaranteeing Subsidiaries</w:t>
      </w:r>
      <w:r>
        <w:rPr>
          <w:rFonts w:ascii="Times New Roman" w:cs="Times New Roman" w:eastAsia="Times New Roman" w:hAnsi="Times New Roman"/>
          <w:sz w:val="22"/>
          <w:szCs w:val="22"/>
          <w:color w:val="auto"/>
        </w:rPr>
        <w:t>”), each a subsidiary of Aramark Services, Inc., a Delaware corporation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and The Bank of New York Mellon,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Issuer, the Parent Guarantor and the other Guarantors have heretofore executed and delivered to the</w:t>
      </w:r>
    </w:p>
    <w:p>
      <w:pPr>
        <w:spacing w:after="0" w:line="204" w:lineRule="auto"/>
        <w:rPr>
          <w:sz w:val="20"/>
          <w:szCs w:val="20"/>
          <w:color w:val="auto"/>
        </w:rPr>
      </w:pPr>
      <w:r>
        <w:rPr>
          <w:rFonts w:ascii="Times New Roman" w:cs="Times New Roman" w:eastAsia="Times New Roman" w:hAnsi="Times New Roman"/>
          <w:sz w:val="22"/>
          <w:szCs w:val="22"/>
          <w:color w:val="auto"/>
        </w:rPr>
        <w:t>Trustee an indenture, dated as of March 22, 2017, as supplemented by that first supplemental indenture, dated as of February 9,</w:t>
      </w:r>
    </w:p>
    <w:p>
      <w:pPr>
        <w:spacing w:after="0" w:line="205" w:lineRule="auto"/>
        <w:rPr>
          <w:sz w:val="20"/>
          <w:szCs w:val="20"/>
          <w:color w:val="auto"/>
        </w:rPr>
      </w:pPr>
      <w:r>
        <w:rPr>
          <w:rFonts w:ascii="Times New Roman" w:cs="Times New Roman" w:eastAsia="Times New Roman" w:hAnsi="Times New Roman"/>
          <w:sz w:val="22"/>
          <w:szCs w:val="22"/>
          <w:color w:val="auto"/>
        </w:rPr>
        <w:t>2018 and as further supplemented by that second supplemental indenture, dated as of April 30, 2021 (collectively, the</w:t>
      </w:r>
    </w:p>
    <w:p>
      <w:pPr>
        <w:spacing w:after="0" w:line="20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an unlimited aggregate principal amount of 5.000% Senior Notes due 2025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right="160" w:firstLine="648"/>
        <w:spacing w:after="0" w:line="220" w:lineRule="auto"/>
        <w:rPr>
          <w:sz w:val="20"/>
          <w:szCs w:val="20"/>
          <w:color w:val="auto"/>
        </w:rPr>
      </w:pPr>
      <w:r>
        <w:rPr>
          <w:rFonts w:ascii="Times New Roman" w:cs="Times New Roman" w:eastAsia="Times New Roman" w:hAnsi="Times New Roman"/>
          <w:sz w:val="22"/>
          <w:szCs w:val="22"/>
          <w:color w:val="auto"/>
        </w:rPr>
        <w:t>WHEREAS, the Indenture provides that under certain circumstances each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and</w:t>
      </w:r>
    </w:p>
    <w:p>
      <w:pPr>
        <w:spacing w:after="0" w:line="152"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WHEREAS, pursuant to Section 9.01 of the Indenture, the Trustee is authorized to execute and deliver this Supplemental Indenture.</w:t>
      </w:r>
    </w:p>
    <w:p>
      <w:pPr>
        <w:spacing w:after="0" w:line="150" w:lineRule="exact"/>
        <w:rPr>
          <w:sz w:val="20"/>
          <w:szCs w:val="20"/>
          <w:color w:val="auto"/>
        </w:rPr>
      </w:pPr>
    </w:p>
    <w:p>
      <w:pPr>
        <w:ind w:right="360"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153" w:lineRule="exact"/>
        <w:rPr>
          <w:sz w:val="20"/>
          <w:szCs w:val="20"/>
          <w:color w:val="auto"/>
        </w:rPr>
      </w:pPr>
    </w:p>
    <w:p>
      <w:pPr>
        <w:ind w:left="660" w:right="300" w:firstLine="644"/>
        <w:spacing w:after="0" w:line="236" w:lineRule="auto"/>
        <w:tabs>
          <w:tab w:leader="none" w:pos="195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used herein without definition shall have the meanings assigned to them in the Indenture.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Guarantee</w:t>
      </w:r>
      <w:r>
        <w:rPr>
          <w:rFonts w:ascii="Times New Roman" w:cs="Times New Roman" w:eastAsia="Times New Roman" w:hAnsi="Times New Roman"/>
          <w:sz w:val="22"/>
          <w:szCs w:val="22"/>
          <w:color w:val="auto"/>
        </w:rPr>
        <w:t>. Each Guaranteeing Subsidiary hereby agrees as follows:</w:t>
      </w:r>
    </w:p>
    <w:p>
      <w:pPr>
        <w:spacing w:after="0" w:line="179" w:lineRule="exact"/>
        <w:rPr>
          <w:rFonts w:ascii="Times New Roman" w:cs="Times New Roman" w:eastAsia="Times New Roman" w:hAnsi="Times New Roman"/>
          <w:sz w:val="22"/>
          <w:szCs w:val="22"/>
          <w:color w:val="auto"/>
        </w:rPr>
      </w:pPr>
    </w:p>
    <w:p>
      <w:pPr>
        <w:ind w:left="1300" w:right="80" w:firstLine="652"/>
        <w:spacing w:after="0" w:line="220" w:lineRule="auto"/>
        <w:tabs>
          <w:tab w:leader="none" w:pos="259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Along with all other Guarantors, to jointly and severally unconditionally guarantee to each Holder of a Note authenticated and delivered by the Trustee and to the Trustee and its successors and assigns, irrespective of the validity and enforceability of the Indenture, the Notes or the obligations of the Issuer hereunder or thereunder, that:</w:t>
      </w:r>
    </w:p>
    <w:p>
      <w:pPr>
        <w:spacing w:after="0" w:line="152" w:lineRule="exact"/>
        <w:rPr>
          <w:rFonts w:ascii="Times New Roman" w:cs="Times New Roman" w:eastAsia="Times New Roman" w:hAnsi="Times New Roman"/>
          <w:sz w:val="22"/>
          <w:szCs w:val="22"/>
          <w:color w:val="auto"/>
        </w:rPr>
      </w:pPr>
    </w:p>
    <w:p>
      <w:pPr>
        <w:ind w:left="1960" w:firstLine="640"/>
        <w:spacing w:after="0" w:line="211" w:lineRule="auto"/>
        <w:tabs>
          <w:tab w:leader="none" w:pos="3244"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interest and premium, if any, on the Notes will be promptly paid in full when due, whether at maturity, by acceleration, redemption or otherwise, and interest on the overdue principal of and interest on the Notes, if any, if lawful, and all other obligations of the Issuer to the Holders or the Trustee hereunder or thereunder will be promptly paid in full or performed, all in accordance with the terms hereof and thereof; and (ii) in case of any extension of time of payment or renewal of any Notes or of any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w:t>
      </w:r>
    </w:p>
    <w:p>
      <w:pPr>
        <w:sectPr>
          <w:pgSz w:w="11900" w:h="16838" w:orient="portrait"/>
          <w:cols w:equalWidth="0" w:num="1">
            <w:col w:w="11240"/>
          </w:cols>
          <w:pgMar w:left="320" w:top="94" w:right="339" w:bottom="1440" w:gutter="0" w:footer="0" w:header="0"/>
        </w:sectPr>
      </w:pPr>
    </w:p>
    <w:bookmarkStart w:id="42" w:name="page43"/>
    <w:bookmarkEnd w:id="42"/>
    <w:p>
      <w:pPr>
        <w:ind w:left="840" w:right="20"/>
        <w:spacing w:after="0" w:line="236" w:lineRule="auto"/>
        <w:rPr>
          <w:sz w:val="20"/>
          <w:szCs w:val="20"/>
          <w:color w:val="auto"/>
        </w:rPr>
      </w:pPr>
      <w:r>
        <w:rPr>
          <w:rFonts w:ascii="Times New Roman" w:cs="Times New Roman" w:eastAsia="Times New Roman" w:hAnsi="Times New Roman"/>
          <w:sz w:val="22"/>
          <w:szCs w:val="22"/>
          <w:color w:val="auto"/>
        </w:rPr>
        <w:t>reason, the Guarantors and the Guaranteeing Subsidiaries shall be jointly and severally obligated to pay the same immediately. This is a guarantee of payment and not a guarantee of collection.</w:t>
      </w:r>
    </w:p>
    <w:p>
      <w:pPr>
        <w:spacing w:after="0" w:line="150" w:lineRule="exact"/>
        <w:rPr>
          <w:sz w:val="20"/>
          <w:szCs w:val="20"/>
          <w:color w:val="auto"/>
        </w:rPr>
      </w:pPr>
    </w:p>
    <w:p>
      <w:pPr>
        <w:ind w:left="180" w:right="120" w:firstLine="652"/>
        <w:spacing w:after="0" w:line="217" w:lineRule="auto"/>
        <w:tabs>
          <w:tab w:leader="none" w:pos="147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w:t>
      </w:r>
    </w:p>
    <w:p>
      <w:pPr>
        <w:spacing w:after="0" w:line="152" w:lineRule="exact"/>
        <w:rPr>
          <w:rFonts w:ascii="Times New Roman" w:cs="Times New Roman" w:eastAsia="Times New Roman" w:hAnsi="Times New Roman"/>
          <w:sz w:val="22"/>
          <w:szCs w:val="22"/>
          <w:color w:val="auto"/>
        </w:rPr>
      </w:pPr>
    </w:p>
    <w:p>
      <w:pPr>
        <w:ind w:left="180" w:right="140" w:firstLine="652"/>
        <w:spacing w:after="0" w:line="225" w:lineRule="auto"/>
        <w:tabs>
          <w:tab w:leader="none" w:pos="147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is hereby waived: diligence, presentment, demand of payment, filing of claims with a court in the event of insolvency or bankruptcy of the Issuer, any right to require a proceeding first against the Issuer, protest, notice and all demands whatsoever.</w:t>
      </w:r>
    </w:p>
    <w:p>
      <w:pPr>
        <w:spacing w:after="0" w:line="152" w:lineRule="exact"/>
        <w:rPr>
          <w:rFonts w:ascii="Times New Roman" w:cs="Times New Roman" w:eastAsia="Times New Roman" w:hAnsi="Times New Roman"/>
          <w:sz w:val="22"/>
          <w:szCs w:val="22"/>
          <w:color w:val="auto"/>
        </w:rPr>
      </w:pPr>
    </w:p>
    <w:p>
      <w:pPr>
        <w:ind w:left="180" w:right="140" w:firstLine="652"/>
        <w:spacing w:after="0" w:line="225" w:lineRule="auto"/>
        <w:tabs>
          <w:tab w:leader="none" w:pos="147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Guarantee shall not be discharged except by complete performance of the obligations contained in the Notes, the Indenture and this Supplemental Indenture, and each Guaranteeing Subsidiary accepts all obligations of a Guarantor under the Indenture.</w:t>
      </w:r>
    </w:p>
    <w:p>
      <w:pPr>
        <w:spacing w:after="0" w:line="152" w:lineRule="exact"/>
        <w:rPr>
          <w:rFonts w:ascii="Times New Roman" w:cs="Times New Roman" w:eastAsia="Times New Roman" w:hAnsi="Times New Roman"/>
          <w:sz w:val="22"/>
          <w:szCs w:val="22"/>
          <w:color w:val="auto"/>
        </w:rPr>
      </w:pPr>
    </w:p>
    <w:p>
      <w:pPr>
        <w:ind w:left="180" w:right="100" w:firstLine="652"/>
        <w:spacing w:after="0" w:line="220" w:lineRule="auto"/>
        <w:tabs>
          <w:tab w:leader="none" w:pos="147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Holder or the Trustee is required by any court or otherwise to return to the Issuer, the Guarantors (including the Guaranteeing Subsidiaries), or any custodian, trustee, liquidator or other similar official acting in relation to either the Issuer or the Guarantors, any amount paid either to the Trustee or such Holder, this Guarantee, to the extent theretofore discharged, shall be reinstated in full force and effect.</w:t>
      </w:r>
    </w:p>
    <w:p>
      <w:pPr>
        <w:spacing w:after="0" w:line="152" w:lineRule="exact"/>
        <w:rPr>
          <w:rFonts w:ascii="Times New Roman" w:cs="Times New Roman" w:eastAsia="Times New Roman" w:hAnsi="Times New Roman"/>
          <w:sz w:val="22"/>
          <w:szCs w:val="22"/>
          <w:color w:val="auto"/>
        </w:rPr>
      </w:pPr>
    </w:p>
    <w:p>
      <w:pPr>
        <w:ind w:left="180" w:right="80" w:firstLine="652"/>
        <w:spacing w:after="0" w:line="255" w:lineRule="auto"/>
        <w:tabs>
          <w:tab w:leader="none" w:pos="147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Guaranteeing Subsidiary shall not be entitled to any right of subrogation in relation to the Holders in respect of any obligations guaranteed hereby until payment in full of all obligations guaranteed hereby.</w:t>
      </w:r>
    </w:p>
    <w:p>
      <w:pPr>
        <w:spacing w:after="0" w:line="134" w:lineRule="exact"/>
        <w:rPr>
          <w:rFonts w:ascii="Times New Roman" w:cs="Times New Roman" w:eastAsia="Times New Roman" w:hAnsi="Times New Roman"/>
          <w:sz w:val="21"/>
          <w:szCs w:val="21"/>
          <w:color w:val="auto"/>
        </w:rPr>
      </w:pPr>
    </w:p>
    <w:p>
      <w:pPr>
        <w:ind w:left="180" w:firstLine="652"/>
        <w:spacing w:after="0" w:line="213" w:lineRule="auto"/>
        <w:tabs>
          <w:tab w:leader="none" w:pos="147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the Guaranteeing Subsidiaries, on the one hand, and the Holders and the Trustee, on the other hand, (x) the maturity of the obligations guaranteed hereby may be accelerated as provided in Article 6 of the Indenture for the purposes of this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Guaranteeing Subsidiaries for the purpose of this Guarantee.</w:t>
      </w:r>
    </w:p>
    <w:p>
      <w:pPr>
        <w:spacing w:after="0" w:line="156" w:lineRule="exact"/>
        <w:rPr>
          <w:rFonts w:ascii="Times New Roman" w:cs="Times New Roman" w:eastAsia="Times New Roman" w:hAnsi="Times New Roman"/>
          <w:sz w:val="22"/>
          <w:szCs w:val="22"/>
          <w:color w:val="auto"/>
        </w:rPr>
      </w:pPr>
    </w:p>
    <w:p>
      <w:pPr>
        <w:ind w:left="180" w:right="460" w:firstLine="652"/>
        <w:spacing w:after="0" w:line="255" w:lineRule="auto"/>
        <w:tabs>
          <w:tab w:leader="none" w:pos="1471"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Guaranteeing Subsidiary shall have the right to seek contribution from any non-paying Guarantor so long as the exercise of such right does not impair the rights of the Holders under this Guarantee.</w:t>
      </w:r>
    </w:p>
    <w:p>
      <w:pPr>
        <w:spacing w:after="0" w:line="134" w:lineRule="exact"/>
        <w:rPr>
          <w:rFonts w:ascii="Times New Roman" w:cs="Times New Roman" w:eastAsia="Times New Roman" w:hAnsi="Times New Roman"/>
          <w:sz w:val="21"/>
          <w:szCs w:val="21"/>
          <w:color w:val="auto"/>
        </w:rPr>
      </w:pPr>
    </w:p>
    <w:p>
      <w:pPr>
        <w:ind w:left="180" w:right="60" w:firstLine="652"/>
        <w:spacing w:after="0" w:line="217" w:lineRule="auto"/>
        <w:tabs>
          <w:tab w:leader="none" w:pos="146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10.02 of the Indenture, after giving effect to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10 of the Indenture, this new Guarantee shall be limited to the maximum amount permissible such that the obligations of such Guaranteeing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120"/>
          </w:cols>
          <w:pgMar w:left="1440" w:top="1395" w:right="339" w:bottom="1440" w:gutter="0" w:footer="0" w:header="0"/>
        </w:sectPr>
      </w:pPr>
    </w:p>
    <w:bookmarkStart w:id="43" w:name="page44"/>
    <w:bookmarkEnd w:id="43"/>
    <w:p>
      <w:pPr>
        <w:ind w:left="180"/>
        <w:spacing w:after="0"/>
        <w:rPr>
          <w:sz w:val="20"/>
          <w:szCs w:val="20"/>
          <w:color w:val="auto"/>
        </w:rPr>
      </w:pPr>
      <w:r>
        <w:rPr>
          <w:rFonts w:ascii="Times New Roman" w:cs="Times New Roman" w:eastAsia="Times New Roman" w:hAnsi="Times New Roman"/>
          <w:sz w:val="22"/>
          <w:szCs w:val="22"/>
          <w:color w:val="auto"/>
        </w:rPr>
        <w:t>Subsidiary under this Guarantee will not constitute a fraudulent transfer or conveyance.</w:t>
      </w:r>
    </w:p>
    <w:p>
      <w:pPr>
        <w:spacing w:after="0" w:line="179" w:lineRule="exact"/>
        <w:rPr>
          <w:sz w:val="20"/>
          <w:szCs w:val="20"/>
          <w:color w:val="auto"/>
        </w:rPr>
      </w:pPr>
    </w:p>
    <w:p>
      <w:pPr>
        <w:ind w:left="180" w:firstLine="652"/>
        <w:spacing w:after="0" w:line="211" w:lineRule="auto"/>
        <w:tabs>
          <w:tab w:leader="none" w:pos="146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and Guarantee, whether as a “voidable preference,” “fraudulent transfer” or otherwise, all as though such payment or performance had not been made. In the event that any payment or any part thereof, is rescinded, reduced, restored or returned, the Note shall, to the fullest extent permitted by law, be reinstated and deemed reduced only by such amount paid and not so rescinded, reduced, restored or returned.</w:t>
      </w:r>
    </w:p>
    <w:p>
      <w:pPr>
        <w:spacing w:after="0" w:line="151" w:lineRule="exact"/>
        <w:rPr>
          <w:rFonts w:ascii="Times New Roman" w:cs="Times New Roman" w:eastAsia="Times New Roman" w:hAnsi="Times New Roman"/>
          <w:sz w:val="22"/>
          <w:szCs w:val="22"/>
          <w:color w:val="auto"/>
        </w:rPr>
      </w:pPr>
    </w:p>
    <w:p>
      <w:pPr>
        <w:jc w:val="both"/>
        <w:ind w:left="180" w:right="520" w:firstLine="652"/>
        <w:spacing w:after="0" w:line="255" w:lineRule="auto"/>
        <w:tabs>
          <w:tab w:leader="none" w:pos="1471"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any provision of this Guarantee shall be invalid, illegal or unenforceable, the validity, legality, and enforceability of the remaining provisions shall not in any way be affected or impaired thereby.</w:t>
      </w:r>
    </w:p>
    <w:p>
      <w:pPr>
        <w:spacing w:after="0" w:line="134" w:lineRule="exact"/>
        <w:rPr>
          <w:rFonts w:ascii="Times New Roman" w:cs="Times New Roman" w:eastAsia="Times New Roman" w:hAnsi="Times New Roman"/>
          <w:sz w:val="21"/>
          <w:szCs w:val="21"/>
          <w:color w:val="auto"/>
        </w:rPr>
      </w:pPr>
    </w:p>
    <w:p>
      <w:pPr>
        <w:ind w:left="180" w:right="320" w:firstLine="652"/>
        <w:spacing w:after="0" w:line="255" w:lineRule="auto"/>
        <w:tabs>
          <w:tab w:leader="none" w:pos="1464"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Guarantee shall be a general unsecured senior obligation of such Guaranteeing Subsidiary, ranking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any other future Senior Indebtedness of such Guaranteeing Subsidiary, if any.</w:t>
      </w:r>
    </w:p>
    <w:p>
      <w:pPr>
        <w:spacing w:after="0" w:line="134" w:lineRule="exact"/>
        <w:rPr>
          <w:rFonts w:ascii="Times New Roman" w:cs="Times New Roman" w:eastAsia="Times New Roman" w:hAnsi="Times New Roman"/>
          <w:sz w:val="21"/>
          <w:szCs w:val="21"/>
          <w:color w:val="auto"/>
        </w:rPr>
      </w:pPr>
    </w:p>
    <w:p>
      <w:pPr>
        <w:ind w:left="180" w:right="280" w:firstLine="652"/>
        <w:spacing w:after="0" w:line="236" w:lineRule="auto"/>
        <w:tabs>
          <w:tab w:leader="none" w:pos="146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to be made by the Guaranteeing Subsidiaries in respect of this Guarantee shall be made without set-off, counterclaim, reduction or diminution of any kind or nature.</w:t>
      </w:r>
    </w:p>
    <w:p>
      <w:pPr>
        <w:spacing w:after="0" w:line="150" w:lineRule="exact"/>
        <w:rPr>
          <w:rFonts w:ascii="Times New Roman" w:cs="Times New Roman" w:eastAsia="Times New Roman" w:hAnsi="Times New Roman"/>
          <w:sz w:val="22"/>
          <w:szCs w:val="22"/>
          <w:color w:val="auto"/>
        </w:rPr>
      </w:pPr>
    </w:p>
    <w:p>
      <w:pPr>
        <w:ind w:left="-460" w:firstLine="644"/>
        <w:spacing w:after="0" w:line="236" w:lineRule="auto"/>
        <w:tabs>
          <w:tab w:leader="none" w:pos="83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and Delivery</w:t>
      </w:r>
      <w:r>
        <w:rPr>
          <w:rFonts w:ascii="Times New Roman" w:cs="Times New Roman" w:eastAsia="Times New Roman" w:hAnsi="Times New Roman"/>
          <w:sz w:val="22"/>
          <w:szCs w:val="22"/>
          <w:color w:val="auto"/>
        </w:rPr>
        <w:t>. Each Guaranteeing Subsidiary agrees that the Guarantee shall remain in full force and effect notwithstanding the absence of the endorsement of any notation of such Guarantee on the Notes.</w:t>
      </w:r>
    </w:p>
    <w:p>
      <w:pPr>
        <w:spacing w:after="0" w:line="150"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 Consolidation or Sale of All or Substantially All Assets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80" w:right="280" w:firstLine="652"/>
        <w:spacing w:after="0" w:line="231" w:lineRule="auto"/>
        <w:tabs>
          <w:tab w:leader="none" w:pos="1473"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Section 5.01(c) of the Indenture, each Guaranteeing Subsidiary may not consolidate or merge with or into or wind up into (whether or not the Issuer or such Guaranteeing Subsidiary is the surviving corporation), or sell, assign, transfer, lease, convey or otherwise dispose of all or substantially all of its properties or assets, in one or more related transactions, to any Person unless:</w:t>
      </w:r>
    </w:p>
    <w:p>
      <w:pPr>
        <w:spacing w:after="0" w:line="150" w:lineRule="exact"/>
        <w:rPr>
          <w:rFonts w:ascii="Times New Roman" w:cs="Times New Roman" w:eastAsia="Times New Roman" w:hAnsi="Times New Roman"/>
          <w:sz w:val="21"/>
          <w:szCs w:val="21"/>
          <w:color w:val="auto"/>
        </w:rPr>
      </w:pPr>
    </w:p>
    <w:p>
      <w:pPr>
        <w:ind w:left="840" w:right="80" w:firstLine="640"/>
        <w:spacing w:after="0" w:line="224" w:lineRule="auto"/>
        <w:tabs>
          <w:tab w:leader="none" w:pos="2124" w:val="left"/>
        </w:tabs>
        <w:numPr>
          <w:ilvl w:val="2"/>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Guaranteeing Subsidiary is the surviving corporation or the Person formed by or surviving any such consolidation or merger (if other than such Guaranteeing Subsidiary) or to which such sale, assignment, transfer, lease, conveyance or other disposition will have been made is a corporation, partnership, limited partnership, limited liability company or trust organized or existing under the laws of the jurisdiction of organization of such Guaranteeing Subsidiary, as the case may be, or the laws of the United States, any state thereof, the District of Columbia, or any territory thereof (such Guaranteeing Subsidiary or such Person, as the case may be, being herein called the “</w:t>
      </w:r>
      <w:r>
        <w:rPr>
          <w:rFonts w:ascii="Times New Roman" w:cs="Times New Roman" w:eastAsia="Times New Roman" w:hAnsi="Times New Roman"/>
          <w:sz w:val="21"/>
          <w:szCs w:val="21"/>
          <w:u w:val="single" w:color="auto"/>
          <w:color w:val="auto"/>
        </w:rPr>
        <w:t>Successor Person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040"/>
          </w:cols>
          <w:pgMar w:left="1440" w:top="1395" w:right="419" w:bottom="1440" w:gutter="0" w:footer="0" w:header="0"/>
        </w:sectPr>
      </w:pPr>
    </w:p>
    <w:bookmarkStart w:id="44" w:name="page45"/>
    <w:bookmarkEnd w:id="44"/>
    <w:p>
      <w:pPr>
        <w:ind w:left="1480" w:firstLine="648"/>
        <w:spacing w:after="0" w:line="220" w:lineRule="auto"/>
        <w:tabs>
          <w:tab w:leader="none" w:pos="2765" w:val="left"/>
        </w:tabs>
        <w:numPr>
          <w:ilvl w:val="3"/>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Successor Person, if other than such Guaranteeing Subsidiary, expressly assumes all the obligations of such Guaranteeing Subsidiary under the Indenture and such Guaranteeing Subsidiary’s related Guarantee pursuant to supplemental indentures or other documents or instruments in form reasonably satisfactory to the Trustee;</w:t>
      </w:r>
    </w:p>
    <w:p>
      <w:pPr>
        <w:spacing w:after="0" w:line="152" w:lineRule="exact"/>
        <w:rPr>
          <w:rFonts w:ascii="Times New Roman" w:cs="Times New Roman" w:eastAsia="Times New Roman" w:hAnsi="Times New Roman"/>
          <w:sz w:val="22"/>
          <w:szCs w:val="22"/>
          <w:color w:val="010000"/>
        </w:rPr>
      </w:pPr>
    </w:p>
    <w:p>
      <w:pPr>
        <w:ind w:left="2760" w:hanging="632"/>
        <w:spacing w:after="0"/>
        <w:tabs>
          <w:tab w:leader="none" w:pos="2760" w:val="left"/>
        </w:tabs>
        <w:numPr>
          <w:ilvl w:val="3"/>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immediately after such transaction, no Default exists; and</w:t>
      </w:r>
    </w:p>
    <w:p>
      <w:pPr>
        <w:spacing w:after="0" w:line="179" w:lineRule="exact"/>
        <w:rPr>
          <w:rFonts w:ascii="Times New Roman" w:cs="Times New Roman" w:eastAsia="Times New Roman" w:hAnsi="Times New Roman"/>
          <w:sz w:val="22"/>
          <w:szCs w:val="22"/>
          <w:color w:val="010000"/>
        </w:rPr>
      </w:pPr>
    </w:p>
    <w:p>
      <w:pPr>
        <w:ind w:left="1480" w:right="20" w:firstLine="648"/>
        <w:spacing w:after="0" w:line="225" w:lineRule="auto"/>
        <w:tabs>
          <w:tab w:leader="none" w:pos="2767" w:val="left"/>
        </w:tabs>
        <w:numPr>
          <w:ilvl w:val="3"/>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Issuer shall have delivered to the Trustee an Officers’ Certificate and an Opinion of Counsel, each stating that such consolidation, merger or transfer and such supplemental indentures, if any, comply with the Indenture; or</w:t>
      </w:r>
    </w:p>
    <w:p>
      <w:pPr>
        <w:spacing w:after="0" w:line="152" w:lineRule="exact"/>
        <w:rPr>
          <w:rFonts w:ascii="Times New Roman" w:cs="Times New Roman" w:eastAsia="Times New Roman" w:hAnsi="Times New Roman"/>
          <w:sz w:val="22"/>
          <w:szCs w:val="22"/>
          <w:color w:val="010000"/>
        </w:rPr>
      </w:pPr>
    </w:p>
    <w:p>
      <w:pPr>
        <w:ind w:left="2120" w:hanging="640"/>
        <w:spacing w:after="0"/>
        <w:tabs>
          <w:tab w:leader="none" w:pos="212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is made in compliance with Section 4.10 of the Indenture;</w:t>
      </w:r>
    </w:p>
    <w:p>
      <w:pPr>
        <w:spacing w:after="0" w:line="179" w:lineRule="exact"/>
        <w:rPr>
          <w:rFonts w:ascii="Times New Roman" w:cs="Times New Roman" w:eastAsia="Times New Roman" w:hAnsi="Times New Roman"/>
          <w:sz w:val="22"/>
          <w:szCs w:val="22"/>
          <w:color w:val="auto"/>
        </w:rPr>
      </w:pPr>
    </w:p>
    <w:p>
      <w:pPr>
        <w:ind w:left="180" w:right="60" w:firstLine="652"/>
        <w:spacing w:after="0" w:line="220" w:lineRule="auto"/>
        <w:tabs>
          <w:tab w:leader="none" w:pos="147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certain limitations described in the Indenture, the Successor Person will succeed to, and be substituted for, such Guaranteeing Subsidiary under the Indenture and such Guaranteeing Subsidiary’s Guarantee. Notwithstanding the foregoing, such Guaranteeing Subsidiary may merge into or transfer all or part of its properties and assets to another Guarantor or the Issuer.</w:t>
      </w:r>
    </w:p>
    <w:p>
      <w:pPr>
        <w:spacing w:after="0" w:line="152" w:lineRule="exact"/>
        <w:rPr>
          <w:rFonts w:ascii="Times New Roman" w:cs="Times New Roman" w:eastAsia="Times New Roman" w:hAnsi="Times New Roman"/>
          <w:sz w:val="22"/>
          <w:szCs w:val="22"/>
          <w:color w:val="auto"/>
        </w:rPr>
      </w:pPr>
    </w:p>
    <w:p>
      <w:pPr>
        <w:ind w:left="-460" w:right="200" w:firstLine="644"/>
        <w:spacing w:after="0" w:line="225" w:lineRule="auto"/>
        <w:tabs>
          <w:tab w:leader="none" w:pos="83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Releases</w:t>
      </w:r>
      <w:r>
        <w:rPr>
          <w:rFonts w:ascii="Times New Roman" w:cs="Times New Roman" w:eastAsia="Times New Roman" w:hAnsi="Times New Roman"/>
          <w:sz w:val="22"/>
          <w:szCs w:val="22"/>
          <w:color w:val="auto"/>
        </w:rPr>
        <w:t>. The Guarantee of each Guaranteeing Subsidiary shall be automatically and unconditionally released and discharged, and no further action by such Guaranteeing Subsidiary, the Issuer or the Trustee is required for the release of such Guaranteeing Subsidiary’s Guarantee, upon:</w:t>
      </w:r>
    </w:p>
    <w:p>
      <w:pPr>
        <w:spacing w:after="0" w:line="152" w:lineRule="exact"/>
        <w:rPr>
          <w:rFonts w:ascii="Times New Roman" w:cs="Times New Roman" w:eastAsia="Times New Roman" w:hAnsi="Times New Roman"/>
          <w:sz w:val="22"/>
          <w:szCs w:val="22"/>
          <w:color w:val="auto"/>
        </w:rPr>
      </w:pPr>
    </w:p>
    <w:p>
      <w:pPr>
        <w:ind w:left="180" w:right="80" w:firstLine="652"/>
        <w:spacing w:after="0" w:line="220" w:lineRule="auto"/>
        <w:tabs>
          <w:tab w:leader="none" w:pos="1473"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sale, exchange or transfer (by merger or otherwise) of the Capital Stock of such Guaranteeing Subsidiary (including any sale, exchange or transfer), after which such Guaranteeing Subsidiary is no longer a Restricted Subsidiary or all or substantially all the assets of such Guaranteeing Subsidiary which sale, exchange or transfer is made in compliance with the applicable provisions of the Indenture;</w:t>
      </w:r>
    </w:p>
    <w:p>
      <w:pPr>
        <w:spacing w:after="0" w:line="152" w:lineRule="exact"/>
        <w:rPr>
          <w:rFonts w:ascii="Times New Roman" w:cs="Times New Roman" w:eastAsia="Times New Roman" w:hAnsi="Times New Roman"/>
          <w:sz w:val="22"/>
          <w:szCs w:val="22"/>
          <w:color w:val="auto"/>
        </w:rPr>
      </w:pPr>
    </w:p>
    <w:p>
      <w:pPr>
        <w:jc w:val="both"/>
        <w:ind w:left="840" w:right="120" w:firstLine="640"/>
        <w:spacing w:after="0" w:line="225" w:lineRule="auto"/>
        <w:tabs>
          <w:tab w:leader="none" w:pos="2124"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 or discharge of the guarantee by such Guaranteeing Subsidiary of the guarantee which resulted in the creation of the Guarantee, except a discharge or release by or as a result of payment under such guarantee;</w:t>
      </w:r>
    </w:p>
    <w:p>
      <w:pPr>
        <w:spacing w:after="0" w:line="153" w:lineRule="exact"/>
        <w:rPr>
          <w:sz w:val="20"/>
          <w:szCs w:val="20"/>
          <w:color w:val="auto"/>
        </w:rPr>
      </w:pPr>
    </w:p>
    <w:p>
      <w:pPr>
        <w:ind w:left="2120" w:hanging="640"/>
        <w:spacing w:after="0"/>
        <w:tabs>
          <w:tab w:leader="none" w:pos="21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proper designation of such Guaranteeing Subsidiary as an Unrestricted Subsidiary; or</w:t>
      </w:r>
    </w:p>
    <w:p>
      <w:pPr>
        <w:spacing w:after="0" w:line="179" w:lineRule="exact"/>
        <w:rPr>
          <w:rFonts w:ascii="Times New Roman" w:cs="Times New Roman" w:eastAsia="Times New Roman" w:hAnsi="Times New Roman"/>
          <w:sz w:val="22"/>
          <w:szCs w:val="22"/>
          <w:color w:val="auto"/>
        </w:rPr>
      </w:pPr>
    </w:p>
    <w:p>
      <w:pPr>
        <w:ind w:left="840" w:right="40" w:firstLine="640"/>
        <w:spacing w:after="0" w:line="225" w:lineRule="auto"/>
        <w:tabs>
          <w:tab w:leader="none" w:pos="213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exercising its Legal Defeasance option or Covenant Defeasance option in accordance with Article 8 of the Indenture or the Issuer’s obligations under the Indenture being discharged in accordance with the terms of the Indenture; and</w:t>
      </w:r>
    </w:p>
    <w:p>
      <w:pPr>
        <w:spacing w:after="0" w:line="152" w:lineRule="exact"/>
        <w:rPr>
          <w:rFonts w:ascii="Times New Roman" w:cs="Times New Roman" w:eastAsia="Times New Roman" w:hAnsi="Times New Roman"/>
          <w:sz w:val="22"/>
          <w:szCs w:val="22"/>
          <w:color w:val="auto"/>
        </w:rPr>
      </w:pPr>
    </w:p>
    <w:p>
      <w:pPr>
        <w:jc w:val="both"/>
        <w:ind w:left="180" w:right="160" w:firstLine="652"/>
        <w:spacing w:after="0" w:line="225" w:lineRule="auto"/>
        <w:tabs>
          <w:tab w:leader="none" w:pos="147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Guaranteeing Subsidiary delivering to the Trustee an Officers’ Certificate and an Opinion of Counsel, each stating that all conditions precedent provided for in the Indenture relating to such transaction have been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080"/>
          </w:cols>
          <w:pgMar w:left="1440" w:top="1395" w:right="379" w:bottom="1440" w:gutter="0" w:footer="0" w:header="0"/>
        </w:sectPr>
      </w:pPr>
    </w:p>
    <w:bookmarkStart w:id="45" w:name="page46"/>
    <w:bookmarkEnd w:id="45"/>
    <w:p>
      <w:pPr>
        <w:ind w:right="180" w:firstLine="644"/>
        <w:spacing w:after="0" w:line="217" w:lineRule="auto"/>
        <w:tabs>
          <w:tab w:leader="none" w:pos="129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Recourse Against Others</w:t>
      </w:r>
      <w:r>
        <w:rPr>
          <w:rFonts w:ascii="Times New Roman" w:cs="Times New Roman" w:eastAsia="Times New Roman" w:hAnsi="Times New Roman"/>
          <w:sz w:val="22"/>
          <w:szCs w:val="22"/>
          <w:color w:val="auto"/>
        </w:rPr>
        <w:t>. No director, officer, employee, incorporator or stockholder of the Guaranteeing Subsidiaries shall have any liability for any obligations of the Issuer or the Guarantors (including the Guaranteeing Subsidiaries) under the Notes, any Guarantees, the Indenture or this Supplemental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152" w:lineRule="exact"/>
        <w:rPr>
          <w:rFonts w:ascii="Times New Roman" w:cs="Times New Roman" w:eastAsia="Times New Roman" w:hAnsi="Times New Roman"/>
          <w:sz w:val="22"/>
          <w:szCs w:val="22"/>
          <w:color w:val="auto"/>
        </w:rPr>
      </w:pPr>
    </w:p>
    <w:p>
      <w:pPr>
        <w:ind w:right="1280" w:firstLine="644"/>
        <w:spacing w:after="0" w:line="236" w:lineRule="auto"/>
        <w:tabs>
          <w:tab w:leader="none" w:pos="129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WILL BE GOVERNED BY AND CONSTRUED IN ACCORDANCE WITH THE LAWS OF THE STATE OF NEW YORK.</w:t>
      </w:r>
    </w:p>
    <w:p>
      <w:pPr>
        <w:spacing w:after="0" w:line="150" w:lineRule="exact"/>
        <w:rPr>
          <w:rFonts w:ascii="Times New Roman" w:cs="Times New Roman" w:eastAsia="Times New Roman" w:hAnsi="Times New Roman"/>
          <w:sz w:val="22"/>
          <w:szCs w:val="22"/>
          <w:color w:val="auto"/>
        </w:rPr>
      </w:pPr>
    </w:p>
    <w:p>
      <w:pPr>
        <w:ind w:right="440" w:firstLine="644"/>
        <w:spacing w:after="0" w:line="236" w:lineRule="auto"/>
        <w:tabs>
          <w:tab w:leader="none" w:pos="129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The parties may sign any number of copies of this Supplemental Indenture. Each signed copy shall be an original, but all of them together represent the same agreement.</w:t>
      </w:r>
    </w:p>
    <w:p>
      <w:pPr>
        <w:spacing w:after="0" w:line="150"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21"/>
          <w:szCs w:val="21"/>
          <w:color w:val="auto"/>
        </w:rPr>
        <w:t>The words “execution,” “signed,” “signature,” and words of like import in this Supplemental Indenture shall include images of manually executed signatures transmitted by facsimile or other electronic format (including, without limitation, “pdf”, “tif” or “jpg”) and other electronic signatures (including, without limitation, DocuSign and Adobe Sign or any other electronic process or digital signature provider as specified in writing to the Trustee and agreed to by the Trustee in its sole discretion).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Anything in this Supplemental Indenture or the Notes to the contrary notwithstanding, each party agrees that for the purposes of the transactions contemplated by this Supplemental Indenture, the Notes and any document to be signed in connection with the Indenture or the Notes (including the Notes and amendments, supplements, waivers, consents and other modifications, Officers’ Certificates, Issuer Orders and Opinions of Counsel) or the transactions contemplated hereby may be signed by manual signatures that are scanned, photocopied or faxed or other electronic signatures created on an electronic platform, such as DocuSign, or by digital signature, such as Adobe Sign, (or any other electronic process or digital signature provider as specified in writing to the Trustee and agreed to by the Trustee in its sole discretion),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52" w:lineRule="exact"/>
        <w:rPr>
          <w:sz w:val="20"/>
          <w:szCs w:val="20"/>
          <w:color w:val="auto"/>
        </w:rPr>
      </w:pPr>
    </w:p>
    <w:p>
      <w:pPr>
        <w:ind w:right="880" w:firstLine="644"/>
        <w:spacing w:after="0" w:line="236" w:lineRule="auto"/>
        <w:tabs>
          <w:tab w:leader="none" w:pos="129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headings herein are for convenience only and shall not affect the construction hereof.</w:t>
      </w:r>
    </w:p>
    <w:p>
      <w:pPr>
        <w:spacing w:after="0" w:line="150" w:lineRule="exact"/>
        <w:rPr>
          <w:rFonts w:ascii="Times New Roman" w:cs="Times New Roman" w:eastAsia="Times New Roman" w:hAnsi="Times New Roman"/>
          <w:sz w:val="22"/>
          <w:szCs w:val="22"/>
          <w:color w:val="auto"/>
        </w:rPr>
      </w:pPr>
    </w:p>
    <w:p>
      <w:pPr>
        <w:ind w:firstLine="644"/>
        <w:spacing w:after="0" w:line="225" w:lineRule="auto"/>
        <w:tabs>
          <w:tab w:leader="none" w:pos="129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Trustee</w:t>
      </w:r>
      <w:r>
        <w:rPr>
          <w:rFonts w:ascii="Times New Roman" w:cs="Times New Roman" w:eastAsia="Times New Roman" w:hAnsi="Times New Roman"/>
          <w:sz w:val="22"/>
          <w:szCs w:val="22"/>
          <w:color w:val="auto"/>
        </w:rPr>
        <w:t>. The Trustee shall not be responsible in any manner whatsoever for or in respect of the validity or sufficiency of this Supplemental Indenture or for or in respect of the recitals contained herein, all of which recitals are made solely by each Guaranteeing Subsidiary.</w:t>
      </w:r>
    </w:p>
    <w:p>
      <w:pPr>
        <w:spacing w:after="0" w:line="152" w:lineRule="exact"/>
        <w:rPr>
          <w:rFonts w:ascii="Times New Roman" w:cs="Times New Roman" w:eastAsia="Times New Roman" w:hAnsi="Times New Roman"/>
          <w:sz w:val="22"/>
          <w:szCs w:val="22"/>
          <w:color w:val="auto"/>
        </w:rPr>
      </w:pPr>
    </w:p>
    <w:p>
      <w:pPr>
        <w:ind w:right="120" w:firstLine="644"/>
        <w:spacing w:after="0" w:line="225" w:lineRule="auto"/>
        <w:tabs>
          <w:tab w:leader="none" w:pos="128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Each Guaranteeing Subsidiary shall be subrogated to all rights of Holders of Notes against the Issuer in respect of any amounts paid by such Guaranteeing Subsidiary pursuant to the provisions of Section 2 hereof and Section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60"/>
          </w:cols>
          <w:pgMar w:left="980" w:top="1395" w:right="359" w:bottom="1440" w:gutter="0" w:footer="0" w:header="0"/>
        </w:sectPr>
      </w:pPr>
    </w:p>
    <w:bookmarkStart w:id="46" w:name="page47"/>
    <w:bookmarkEnd w:id="46"/>
    <w:p>
      <w:pPr>
        <w:spacing w:after="0" w:line="225" w:lineRule="auto"/>
        <w:rPr>
          <w:sz w:val="20"/>
          <w:szCs w:val="20"/>
          <w:color w:val="auto"/>
        </w:rPr>
      </w:pPr>
      <w:r>
        <w:rPr>
          <w:rFonts w:ascii="Times New Roman" w:cs="Times New Roman" w:eastAsia="Times New Roman" w:hAnsi="Times New Roman"/>
          <w:sz w:val="22"/>
          <w:szCs w:val="22"/>
          <w:color w:val="auto"/>
        </w:rPr>
        <w:t xml:space="preserve">of 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 Event of Default has occurred and is continuing, such Guaranteeing Subsidiary shall not be entitled to enforce or receive any payments arising out of, or based upon, such right of subrogation until all amounts then due and payable by the Issuer under the Indenture or the Notes shall have been paid in full.</w:t>
      </w:r>
    </w:p>
    <w:p>
      <w:pPr>
        <w:spacing w:after="0" w:line="153" w:lineRule="exact"/>
        <w:rPr>
          <w:sz w:val="20"/>
          <w:szCs w:val="20"/>
          <w:color w:val="auto"/>
        </w:rPr>
      </w:pPr>
    </w:p>
    <w:p>
      <w:pPr>
        <w:ind w:right="40" w:firstLine="644"/>
        <w:spacing w:after="0" w:line="231" w:lineRule="auto"/>
        <w:tabs>
          <w:tab w:leader="none" w:pos="129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 Acknowledged</w:t>
      </w:r>
      <w:r>
        <w:rPr>
          <w:rFonts w:ascii="Times New Roman" w:cs="Times New Roman" w:eastAsia="Times New Roman" w:hAnsi="Times New Roman"/>
          <w:sz w:val="21"/>
          <w:szCs w:val="21"/>
          <w:color w:val="auto"/>
        </w:rPr>
        <w:t>.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150" w:lineRule="exact"/>
        <w:rPr>
          <w:rFonts w:ascii="Times New Roman" w:cs="Times New Roman" w:eastAsia="Times New Roman" w:hAnsi="Times New Roman"/>
          <w:sz w:val="21"/>
          <w:szCs w:val="21"/>
          <w:color w:val="auto"/>
        </w:rPr>
      </w:pPr>
    </w:p>
    <w:p>
      <w:pPr>
        <w:jc w:val="both"/>
        <w:ind w:right="280" w:firstLine="644"/>
        <w:spacing w:after="0" w:line="225" w:lineRule="auto"/>
        <w:tabs>
          <w:tab w:leader="none" w:pos="129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All agreements of the Guaranteeing Subsidiaries in this Supplemental Indenture shall bind their Successors, except as otherwise provided in Section 2(k) hereof or elsewhere in this Supplemental Indenture. All agreements of the Trustee in this Supplemental Indenture shall bind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480"/>
          </w:cols>
          <w:pgMar w:left="980" w:top="1395" w:right="439" w:bottom="1440" w:gutter="0" w:footer="0" w:header="0"/>
        </w:sectPr>
      </w:pPr>
    </w:p>
    <w:bookmarkStart w:id="47" w:name="page48"/>
    <w:bookmarkEnd w:id="47"/>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caused this Supplemental Indenture to be duly executed, all as of the date first above written.</w:t>
      </w:r>
    </w:p>
    <w:p>
      <w:pPr>
        <w:spacing w:after="0" w:line="1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NEXT LEVEL HOSPITALITY SERVICES, LLC</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Aramark Healthcare Support Services, LLC, its sole member</w:t>
      </w:r>
    </w:p>
    <w:p>
      <w:pPr>
        <w:spacing w:after="0" w:line="2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JAMES J. TARANGELO</w:t>
      </w:r>
    </w:p>
    <w:p>
      <w:pPr>
        <w:spacing w:after="0" w:line="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James J. Tarangelo</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NEXT LEVEL PEO, LLC</w:t>
      </w:r>
    </w:p>
    <w:p>
      <w:pPr>
        <w:spacing w:after="0" w:line="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NLAL HOSPITALITY LLC</w:t>
      </w:r>
    </w:p>
    <w:p>
      <w:pPr>
        <w:ind w:left="3900"/>
        <w:spacing w:after="0"/>
        <w:rPr>
          <w:sz w:val="20"/>
          <w:szCs w:val="20"/>
          <w:color w:val="auto"/>
        </w:rPr>
      </w:pPr>
      <w:r>
        <w:rPr>
          <w:rFonts w:ascii="Times New Roman" w:cs="Times New Roman" w:eastAsia="Times New Roman" w:hAnsi="Times New Roman"/>
          <w:sz w:val="20"/>
          <w:szCs w:val="20"/>
          <w:b w:val="1"/>
          <w:bCs w:val="1"/>
          <w:color w:val="auto"/>
        </w:rPr>
        <w:t>NLNC HOSPITALITY LLC</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NLPA HOSPITALITY LLC</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NLSD HOSPITALITY LLC</w:t>
      </w:r>
    </w:p>
    <w:p>
      <w:pPr>
        <w:ind w:left="4540"/>
        <w:spacing w:after="0"/>
        <w:rPr>
          <w:sz w:val="20"/>
          <w:szCs w:val="20"/>
          <w:color w:val="auto"/>
        </w:rPr>
      </w:pPr>
      <w:r>
        <w:rPr>
          <w:rFonts w:ascii="Times New Roman" w:cs="Times New Roman" w:eastAsia="Times New Roman" w:hAnsi="Times New Roman"/>
          <w:sz w:val="20"/>
          <w:szCs w:val="20"/>
          <w:color w:val="auto"/>
        </w:rPr>
        <w:t>by Next Level Hospitality Services, LLC, its sole member</w:t>
      </w:r>
    </w:p>
    <w:p>
      <w:pPr>
        <w:spacing w:after="0" w:line="2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JAMES J. TARANGELO</w:t>
      </w:r>
    </w:p>
    <w:p>
      <w:pPr>
        <w:spacing w:after="0" w:line="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James J. Tarangelo</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UNION SUPPLY GROUP, INC.</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UNION SUPPLY COMMISSARY SOLUTIONS, INC.</w:t>
      </w:r>
    </w:p>
    <w:p>
      <w:pPr>
        <w:spacing w:after="0" w:line="26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JAMES J. TARANGELO</w:t>
      </w:r>
    </w:p>
    <w:p>
      <w:pPr>
        <w:spacing w:after="0" w:line="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James J. Tarangelo</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6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THOMAS G. ONDROF</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Thomas G. Ondrof</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3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THE BANK OF NEW YORK MELLON</w:t>
      </w:r>
      <w:r>
        <w:rPr>
          <w:rFonts w:ascii="Times New Roman" w:cs="Times New Roman" w:eastAsia="Times New Roman" w:hAnsi="Times New Roman"/>
          <w:sz w:val="22"/>
          <w:szCs w:val="22"/>
          <w:color w:val="auto"/>
        </w:rPr>
        <w:t>, as Trustee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00"/>
        <w:spacing w:after="0"/>
        <w:tabs>
          <w:tab w:leader="none" w:pos="46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7602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760220" cy="8890"/>
                    </a:xfrm>
                    <a:prstGeom prst="rect">
                      <a:avLst/>
                    </a:prstGeom>
                    <a:noFill/>
                  </pic:spPr>
                </pic:pic>
              </a:graphicData>
            </a:graphic>
          </wp:anchor>
        </w:drawing>
      </w:r>
    </w:p>
    <w:p>
      <w:pPr>
        <w:ind w:left="4120"/>
        <w:spacing w:after="0" w:line="204" w:lineRule="auto"/>
        <w:rPr>
          <w:sz w:val="20"/>
          <w:szCs w:val="20"/>
          <w:color w:val="auto"/>
        </w:rPr>
      </w:pPr>
      <w:r>
        <w:rPr>
          <w:rFonts w:ascii="Times New Roman" w:cs="Times New Roman" w:eastAsia="Times New Roman" w:hAnsi="Times New Roman"/>
          <w:sz w:val="22"/>
          <w:szCs w:val="22"/>
          <w:color w:val="auto"/>
        </w:rPr>
        <w:t>Name: Francine Kincaid</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2025 5.000% Notes Supplemental Indenture</w:t>
      </w:r>
      <w:r>
        <w:rPr>
          <w:rFonts w:ascii="Times New Roman" w:cs="Times New Roman" w:eastAsia="Times New Roman" w:hAnsi="Times New Roman"/>
          <w:sz w:val="22"/>
          <w:szCs w:val="22"/>
          <w:color w:val="auto"/>
        </w:rPr>
        <w:t>]</w:t>
      </w:r>
    </w:p>
    <w:p>
      <w:pPr>
        <w:sectPr>
          <w:pgSz w:w="11900" w:h="16838" w:orient="portrait"/>
          <w:cols w:equalWidth="0" w:num="1">
            <w:col w:w="11000"/>
          </w:cols>
          <w:pgMar w:left="320" w:top="1395" w:right="579" w:bottom="1440" w:gutter="0" w:footer="0" w:header="0"/>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Guaranteeing Subsidiaries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6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7240" w:type="dxa"/>
            <w:vAlign w:val="bottom"/>
            <w:tcBorders>
              <w:top w:val="single" w:sz="8" w:color="auto"/>
              <w:bottom w:val="single" w:sz="8" w:color="auto"/>
              <w:right w:val="single" w:sz="8" w:color="auto"/>
            </w:tcBorders>
          </w:tcPr>
          <w:p>
            <w:pPr>
              <w:ind w:left="3020"/>
              <w:spacing w:after="0"/>
              <w:rPr>
                <w:sz w:val="20"/>
                <w:szCs w:val="20"/>
                <w:color w:val="auto"/>
              </w:rPr>
            </w:pPr>
            <w:r>
              <w:rPr>
                <w:rFonts w:ascii="Times New Roman" w:cs="Times New Roman" w:eastAsia="Times New Roman" w:hAnsi="Times New Roman"/>
                <w:sz w:val="22"/>
                <w:szCs w:val="22"/>
                <w:b w:val="1"/>
                <w:bCs w:val="1"/>
                <w:color w:val="auto"/>
              </w:rPr>
              <w:t>Entity Name</w:t>
            </w:r>
          </w:p>
        </w:tc>
        <w:tc>
          <w:tcPr>
            <w:tcW w:w="23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Jurisdiction</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Union Supply Group, Inc.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California</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Union Supply Commissary Solutions, Inc.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California</w:t>
            </w:r>
          </w:p>
        </w:tc>
      </w:tr>
      <w:tr>
        <w:trPr>
          <w:trHeight w:val="264"/>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Next Level Hospitality Services,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Next Level PEO,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NLAL Hospitality,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NLNC Hospitality,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NLPA Hospitality,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NLSD Hospitality,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bl>
    <w:p>
      <w:pPr>
        <w:sectPr>
          <w:pgSz w:w="11900" w:h="16838" w:orient="portrait"/>
          <w:cols w:equalWidth="0" w:num="1">
            <w:col w:w="11260"/>
          </w:cols>
          <w:pgMar w:left="320" w:top="1391" w:right="319"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22"/>
          <w:szCs w:val="22"/>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SECOND SUPPLEMENTAL INDENTURE</w:t>
      </w:r>
    </w:p>
    <w:p>
      <w:pPr>
        <w:spacing w:after="0" w:line="179" w:lineRule="exact"/>
        <w:rPr>
          <w:sz w:val="20"/>
          <w:szCs w:val="20"/>
          <w:color w:val="auto"/>
        </w:rPr>
      </w:pPr>
    </w:p>
    <w:p>
      <w:pPr>
        <w:ind w:right="140" w:firstLine="648"/>
        <w:spacing w:after="0" w:line="220" w:lineRule="auto"/>
        <w:rPr>
          <w:sz w:val="20"/>
          <w:szCs w:val="20"/>
          <w:color w:val="auto"/>
        </w:rPr>
      </w:pPr>
      <w:r>
        <w:rPr>
          <w:rFonts w:ascii="Times New Roman" w:cs="Times New Roman" w:eastAsia="Times New Roman" w:hAnsi="Times New Roman"/>
          <w:sz w:val="22"/>
          <w:szCs w:val="22"/>
          <w:color w:val="auto"/>
        </w:rPr>
        <w:t>THIS SECOND SUPPLEMENTAL INDENTURE (this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dated as of December 16, 2022, among the entities listed in Schedule I hereto (each a “Guaranteeing Subsidiary” and together, the “Guaranteeing Subsidiaries”), each a subsidiary of Aramark Services, Inc., a Delaware corporation (the “Issuer”), and U.S. Bank Trust Company, National Association, as successor trustee (the “Trustee”).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179"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WHEREAS, the Issuer, the Parent Guarantor and the other Guarantors have heretofore executed and delivered to the Trustee an indenture, dated as of April 27, 2020, as supplemented by that first supplemental indenture, dated as of April 30, 2021 (collectively,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an unlimited aggregate principal amount of 6.375% Senior Notes due 2025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xml:space="preserve"> ”);</w:t>
      </w:r>
    </w:p>
    <w:p>
      <w:pPr>
        <w:spacing w:after="0" w:line="152" w:lineRule="exact"/>
        <w:rPr>
          <w:sz w:val="20"/>
          <w:szCs w:val="20"/>
          <w:color w:val="auto"/>
        </w:rPr>
      </w:pPr>
    </w:p>
    <w:p>
      <w:pPr>
        <w:ind w:right="160" w:firstLine="648"/>
        <w:spacing w:after="0" w:line="220" w:lineRule="auto"/>
        <w:rPr>
          <w:sz w:val="20"/>
          <w:szCs w:val="20"/>
          <w:color w:val="auto"/>
        </w:rPr>
      </w:pPr>
      <w:r>
        <w:rPr>
          <w:rFonts w:ascii="Times New Roman" w:cs="Times New Roman" w:eastAsia="Times New Roman" w:hAnsi="Times New Roman"/>
          <w:sz w:val="22"/>
          <w:szCs w:val="22"/>
          <w:color w:val="auto"/>
        </w:rPr>
        <w:t>WHEREAS, the Indenture provides that under certain circumstances each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and</w:t>
      </w:r>
    </w:p>
    <w:p>
      <w:pPr>
        <w:spacing w:after="0" w:line="152"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WHEREAS, pursuant to Section 9.01 of the Indenture, the Trustee is authorized to execute and deliver this Supplemental Indenture.</w:t>
      </w:r>
    </w:p>
    <w:p>
      <w:pPr>
        <w:spacing w:after="0" w:line="150" w:lineRule="exact"/>
        <w:rPr>
          <w:sz w:val="20"/>
          <w:szCs w:val="20"/>
          <w:color w:val="auto"/>
        </w:rPr>
      </w:pPr>
    </w:p>
    <w:p>
      <w:pPr>
        <w:ind w:right="360"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153" w:lineRule="exact"/>
        <w:rPr>
          <w:sz w:val="20"/>
          <w:szCs w:val="20"/>
          <w:color w:val="auto"/>
        </w:rPr>
      </w:pPr>
    </w:p>
    <w:p>
      <w:pPr>
        <w:ind w:left="660" w:right="300" w:firstLine="644"/>
        <w:spacing w:after="0" w:line="236" w:lineRule="auto"/>
        <w:tabs>
          <w:tab w:leader="none" w:pos="195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used herein without definition shall have the meanings assigned to them in the Indenture.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Guarantee</w:t>
      </w:r>
      <w:r>
        <w:rPr>
          <w:rFonts w:ascii="Times New Roman" w:cs="Times New Roman" w:eastAsia="Times New Roman" w:hAnsi="Times New Roman"/>
          <w:sz w:val="22"/>
          <w:szCs w:val="22"/>
          <w:color w:val="auto"/>
        </w:rPr>
        <w:t>. Each Guaranteeing Subsidiary hereby agrees as follows:</w:t>
      </w:r>
    </w:p>
    <w:p>
      <w:pPr>
        <w:spacing w:after="0" w:line="179" w:lineRule="exact"/>
        <w:rPr>
          <w:rFonts w:ascii="Times New Roman" w:cs="Times New Roman" w:eastAsia="Times New Roman" w:hAnsi="Times New Roman"/>
          <w:sz w:val="22"/>
          <w:szCs w:val="22"/>
          <w:color w:val="auto"/>
        </w:rPr>
      </w:pPr>
    </w:p>
    <w:p>
      <w:pPr>
        <w:ind w:left="1300" w:right="80" w:firstLine="652"/>
        <w:spacing w:after="0" w:line="220" w:lineRule="auto"/>
        <w:tabs>
          <w:tab w:leader="none" w:pos="2593"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Along with all other Guarantors, to jointly and severally unconditionally guarantee to each Holder of a Note authenticated and delivered by the Trustee and to the Trustee and its successors and assigns, irrespective of the validity and enforceability of the Indenture, the Notes or the obligations of the Issuer hereunder or thereunder, that:</w:t>
      </w:r>
    </w:p>
    <w:p>
      <w:pPr>
        <w:spacing w:after="0" w:line="152" w:lineRule="exact"/>
        <w:rPr>
          <w:rFonts w:ascii="Times New Roman" w:cs="Times New Roman" w:eastAsia="Times New Roman" w:hAnsi="Times New Roman"/>
          <w:sz w:val="22"/>
          <w:szCs w:val="22"/>
          <w:color w:val="auto"/>
        </w:rPr>
      </w:pPr>
    </w:p>
    <w:p>
      <w:pPr>
        <w:ind w:left="1960" w:right="40" w:firstLine="640"/>
        <w:spacing w:after="0" w:line="217" w:lineRule="auto"/>
        <w:tabs>
          <w:tab w:leader="none" w:pos="3244"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interest and premium, if any, on the Notes will be promptly paid in full when due, whether at maturity, by acceleration, redemption or otherwise, and interest on the overdue principal of and interest on the Notes, if any, if lawful, and all other obligations of the Issuer to the Holders or the Trustee hereunder or thereunder will be promptly paid in full or performed, all in accordance with the terms hereof and thereof; and</w:t>
      </w:r>
    </w:p>
    <w:p>
      <w:pPr>
        <w:spacing w:after="0" w:line="152" w:lineRule="exact"/>
        <w:rPr>
          <w:rFonts w:ascii="Times New Roman" w:cs="Times New Roman" w:eastAsia="Times New Roman" w:hAnsi="Times New Roman"/>
          <w:sz w:val="22"/>
          <w:szCs w:val="22"/>
          <w:color w:val="auto"/>
        </w:rPr>
      </w:pPr>
    </w:p>
    <w:p>
      <w:pPr>
        <w:ind w:left="1960" w:right="60" w:firstLine="640"/>
        <w:spacing w:after="0" w:line="220" w:lineRule="auto"/>
        <w:tabs>
          <w:tab w:leader="none" w:pos="3250"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any extension of time of payment or renewal of any Notes or of any such other obligations, that same will be promptly paid in full when due or performed in accordance with the terms of the extension or renewal, whether at stated maturity, by acceleration or otherwise. Failing payment when due of any amount so guaranteed or any</w:t>
      </w:r>
    </w:p>
    <w:p>
      <w:pPr>
        <w:sectPr>
          <w:pgSz w:w="11900" w:h="16838" w:orient="portrait"/>
          <w:cols w:equalWidth="0" w:num="1">
            <w:col w:w="11240"/>
          </w:cols>
          <w:pgMar w:left="320" w:top="94" w:right="339" w:bottom="1440" w:gutter="0" w:footer="0" w:header="0"/>
        </w:sectPr>
      </w:pPr>
    </w:p>
    <w:bookmarkStart w:id="50" w:name="page51"/>
    <w:bookmarkEnd w:id="50"/>
    <w:p>
      <w:pPr>
        <w:ind w:left="840" w:right="60"/>
        <w:spacing w:after="0" w:line="225" w:lineRule="auto"/>
        <w:rPr>
          <w:sz w:val="20"/>
          <w:szCs w:val="20"/>
          <w:color w:val="auto"/>
        </w:rPr>
      </w:pPr>
      <w:r>
        <w:rPr>
          <w:rFonts w:ascii="Times New Roman" w:cs="Times New Roman" w:eastAsia="Times New Roman" w:hAnsi="Times New Roman"/>
          <w:sz w:val="22"/>
          <w:szCs w:val="22"/>
          <w:color w:val="auto"/>
        </w:rPr>
        <w:t>performance so guaranteed for whatever reason, the Guarantors and the Guaranteeing Subsidiaries shall be jointly and severally obligated to pay the same immediately. This is a guarantee of payment and not a guarantee of collection.</w:t>
      </w:r>
    </w:p>
    <w:p>
      <w:pPr>
        <w:spacing w:after="0" w:line="153" w:lineRule="exact"/>
        <w:rPr>
          <w:sz w:val="20"/>
          <w:szCs w:val="20"/>
          <w:color w:val="auto"/>
        </w:rPr>
      </w:pPr>
    </w:p>
    <w:p>
      <w:pPr>
        <w:ind w:left="180" w:right="120" w:firstLine="652"/>
        <w:spacing w:after="0" w:line="217" w:lineRule="auto"/>
        <w:tabs>
          <w:tab w:leader="none" w:pos="147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w:t>
      </w:r>
    </w:p>
    <w:p>
      <w:pPr>
        <w:spacing w:after="0" w:line="152" w:lineRule="exact"/>
        <w:rPr>
          <w:rFonts w:ascii="Times New Roman" w:cs="Times New Roman" w:eastAsia="Times New Roman" w:hAnsi="Times New Roman"/>
          <w:sz w:val="22"/>
          <w:szCs w:val="22"/>
          <w:color w:val="auto"/>
        </w:rPr>
      </w:pPr>
    </w:p>
    <w:p>
      <w:pPr>
        <w:ind w:left="180" w:right="140" w:firstLine="652"/>
        <w:spacing w:after="0" w:line="225" w:lineRule="auto"/>
        <w:tabs>
          <w:tab w:leader="none" w:pos="147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is hereby waived: diligence, presentment, demand of payment, filing of claims with a court in the event of insolvency or bankruptcy of the Issuer, any right to require a proceeding first against the Issuer, protest, notice and all demands whatsoever.</w:t>
      </w:r>
    </w:p>
    <w:p>
      <w:pPr>
        <w:spacing w:after="0" w:line="152" w:lineRule="exact"/>
        <w:rPr>
          <w:rFonts w:ascii="Times New Roman" w:cs="Times New Roman" w:eastAsia="Times New Roman" w:hAnsi="Times New Roman"/>
          <w:sz w:val="22"/>
          <w:szCs w:val="22"/>
          <w:color w:val="auto"/>
        </w:rPr>
      </w:pPr>
    </w:p>
    <w:p>
      <w:pPr>
        <w:ind w:left="180" w:right="140" w:firstLine="652"/>
        <w:spacing w:after="0" w:line="225" w:lineRule="auto"/>
        <w:tabs>
          <w:tab w:leader="none" w:pos="147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Guarantee shall not be discharged except by complete performance of the obligations contained in the Notes, the Indenture and this Supplemental Indenture, and each Guaranteeing Subsidiary accepts all obligations of a Guarantor under the Indenture.</w:t>
      </w:r>
    </w:p>
    <w:p>
      <w:pPr>
        <w:spacing w:after="0" w:line="152" w:lineRule="exact"/>
        <w:rPr>
          <w:rFonts w:ascii="Times New Roman" w:cs="Times New Roman" w:eastAsia="Times New Roman" w:hAnsi="Times New Roman"/>
          <w:sz w:val="22"/>
          <w:szCs w:val="22"/>
          <w:color w:val="auto"/>
        </w:rPr>
      </w:pPr>
    </w:p>
    <w:p>
      <w:pPr>
        <w:ind w:left="180" w:right="100" w:firstLine="652"/>
        <w:spacing w:after="0" w:line="220" w:lineRule="auto"/>
        <w:tabs>
          <w:tab w:leader="none" w:pos="147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Holder or the Trustee is required by any court or otherwise to return to the Issuer, the Guarantors (including the Guaranteeing Subsidiaries), or any custodian, trustee, liquidator or other similar official acting in relation to either the Issuer or the Guarantors, any amount paid either to the Trustee or such Holder, this Guarantee, to the extent theretofore discharged, shall be reinstated in full force and effect.</w:t>
      </w:r>
    </w:p>
    <w:p>
      <w:pPr>
        <w:spacing w:after="0" w:line="152" w:lineRule="exact"/>
        <w:rPr>
          <w:rFonts w:ascii="Times New Roman" w:cs="Times New Roman" w:eastAsia="Times New Roman" w:hAnsi="Times New Roman"/>
          <w:sz w:val="22"/>
          <w:szCs w:val="22"/>
          <w:color w:val="auto"/>
        </w:rPr>
      </w:pPr>
    </w:p>
    <w:p>
      <w:pPr>
        <w:ind w:left="180" w:right="80" w:firstLine="652"/>
        <w:spacing w:after="0" w:line="255" w:lineRule="auto"/>
        <w:tabs>
          <w:tab w:leader="none" w:pos="147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Guaranteeing Subsidiary shall not be entitled to any right of subrogation in relation to the Holders in respect of any obligations guaranteed hereby until payment in full of all obligations guaranteed hereby.</w:t>
      </w:r>
    </w:p>
    <w:p>
      <w:pPr>
        <w:spacing w:after="0" w:line="134" w:lineRule="exact"/>
        <w:rPr>
          <w:rFonts w:ascii="Times New Roman" w:cs="Times New Roman" w:eastAsia="Times New Roman" w:hAnsi="Times New Roman"/>
          <w:sz w:val="21"/>
          <w:szCs w:val="21"/>
          <w:color w:val="auto"/>
        </w:rPr>
      </w:pPr>
    </w:p>
    <w:p>
      <w:pPr>
        <w:ind w:left="180" w:firstLine="652"/>
        <w:spacing w:after="0" w:line="213" w:lineRule="auto"/>
        <w:tabs>
          <w:tab w:leader="none" w:pos="147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the Guaranteeing Subsidiaries, on the one hand, and the Holders and the Trustee, on the other hand, (x) the maturity of the obligations guaranteed hereby may be accelerated as provided in Article 6 of the Indenture for the purposes of this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Guaranteeing Subsidiaries for the purpose of this Guarantee.</w:t>
      </w:r>
    </w:p>
    <w:p>
      <w:pPr>
        <w:spacing w:after="0" w:line="143"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Guaranteeing Subsidiary shall have the right to seek contribution from any non-</w:t>
      </w:r>
    </w:p>
    <w:p>
      <w:pPr>
        <w:ind w:left="180" w:right="820"/>
        <w:spacing w:after="0" w:line="225" w:lineRule="auto"/>
        <w:rPr>
          <w:sz w:val="20"/>
          <w:szCs w:val="20"/>
          <w:color w:val="auto"/>
        </w:rPr>
      </w:pPr>
      <w:r>
        <w:rPr>
          <w:rFonts w:ascii="Times New Roman" w:cs="Times New Roman" w:eastAsia="Times New Roman" w:hAnsi="Times New Roman"/>
          <w:sz w:val="22"/>
          <w:szCs w:val="22"/>
          <w:color w:val="auto"/>
        </w:rPr>
        <w:t>paying Guarantor so long as the exercise of such right does not impair the rights of the Holders under this Guarantee.</w:t>
      </w:r>
    </w:p>
    <w:p>
      <w:pPr>
        <w:spacing w:after="0" w:line="150" w:lineRule="exact"/>
        <w:rPr>
          <w:sz w:val="20"/>
          <w:szCs w:val="20"/>
          <w:color w:val="auto"/>
        </w:rPr>
      </w:pPr>
    </w:p>
    <w:p>
      <w:pPr>
        <w:ind w:left="180" w:right="60" w:firstLine="652"/>
        <w:spacing w:after="0" w:line="217" w:lineRule="auto"/>
        <w:tabs>
          <w:tab w:leader="none" w:pos="146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10.02 of the Indenture, after giving effect to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10 of the Indenture, this new Guarantee shall be limited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120"/>
          </w:cols>
          <w:pgMar w:left="1440" w:top="1395" w:right="339" w:bottom="1440" w:gutter="0" w:footer="0" w:header="0"/>
        </w:sectPr>
      </w:pPr>
    </w:p>
    <w:bookmarkStart w:id="51" w:name="page52"/>
    <w:bookmarkEnd w:id="51"/>
    <w:p>
      <w:pPr>
        <w:ind w:left="180"/>
        <w:spacing w:after="0" w:line="236" w:lineRule="auto"/>
        <w:rPr>
          <w:sz w:val="20"/>
          <w:szCs w:val="20"/>
          <w:color w:val="auto"/>
        </w:rPr>
      </w:pPr>
      <w:r>
        <w:rPr>
          <w:rFonts w:ascii="Times New Roman" w:cs="Times New Roman" w:eastAsia="Times New Roman" w:hAnsi="Times New Roman"/>
          <w:sz w:val="22"/>
          <w:szCs w:val="22"/>
          <w:color w:val="auto"/>
        </w:rPr>
        <w:t>maximum amount permissible such that the obligations of such Guaranteeing Subsidiary under this Guarantee will not constitute a fraudulent transfer or conveyance.</w:t>
      </w:r>
    </w:p>
    <w:p>
      <w:pPr>
        <w:spacing w:after="0" w:line="150" w:lineRule="exact"/>
        <w:rPr>
          <w:sz w:val="20"/>
          <w:szCs w:val="20"/>
          <w:color w:val="auto"/>
        </w:rPr>
      </w:pPr>
    </w:p>
    <w:p>
      <w:pPr>
        <w:ind w:left="180" w:right="60" w:firstLine="652"/>
        <w:spacing w:after="0" w:line="211" w:lineRule="auto"/>
        <w:tabs>
          <w:tab w:leader="none" w:pos="146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and Guarantee, whether as a “voidable preference,” “fraudulent transfer” or otherwise, all as though such payment or performance had not been made. In the event that any payment or any part thereof, is rescinded, reduced, restored or returned, the Note shall, to the fullest extent permitted by law, be reinstated and deemed reduced only by such amount paid and not so rescinded, reduced, restored or returned.</w:t>
      </w:r>
    </w:p>
    <w:p>
      <w:pPr>
        <w:spacing w:after="0" w:line="151" w:lineRule="exact"/>
        <w:rPr>
          <w:rFonts w:ascii="Times New Roman" w:cs="Times New Roman" w:eastAsia="Times New Roman" w:hAnsi="Times New Roman"/>
          <w:sz w:val="22"/>
          <w:szCs w:val="22"/>
          <w:color w:val="auto"/>
        </w:rPr>
      </w:pPr>
    </w:p>
    <w:p>
      <w:pPr>
        <w:jc w:val="both"/>
        <w:ind w:left="180" w:right="580" w:firstLine="652"/>
        <w:spacing w:after="0" w:line="255" w:lineRule="auto"/>
        <w:tabs>
          <w:tab w:leader="none" w:pos="1471"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any provision of this Guarantee shall be invalid, illegal or unenforceable, the validity, legality, and enforceability of the remaining provisions shall not in any way be affected or impaired thereby.</w:t>
      </w:r>
    </w:p>
    <w:p>
      <w:pPr>
        <w:spacing w:after="0" w:line="134" w:lineRule="exact"/>
        <w:rPr>
          <w:rFonts w:ascii="Times New Roman" w:cs="Times New Roman" w:eastAsia="Times New Roman" w:hAnsi="Times New Roman"/>
          <w:sz w:val="21"/>
          <w:szCs w:val="21"/>
          <w:color w:val="auto"/>
        </w:rPr>
      </w:pPr>
    </w:p>
    <w:p>
      <w:pPr>
        <w:ind w:left="180" w:right="380" w:firstLine="652"/>
        <w:spacing w:after="0" w:line="255" w:lineRule="auto"/>
        <w:tabs>
          <w:tab w:leader="none" w:pos="1464"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Guarantee shall be a general unsecured senior obligation of such Guaranteeing Subsidiary, ranking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any other future Senior Indebtedness of such Guaranteeing Subsidiary, if any.</w:t>
      </w:r>
    </w:p>
    <w:p>
      <w:pPr>
        <w:spacing w:after="0" w:line="134" w:lineRule="exact"/>
        <w:rPr>
          <w:rFonts w:ascii="Times New Roman" w:cs="Times New Roman" w:eastAsia="Times New Roman" w:hAnsi="Times New Roman"/>
          <w:sz w:val="21"/>
          <w:szCs w:val="21"/>
          <w:color w:val="auto"/>
        </w:rPr>
      </w:pPr>
    </w:p>
    <w:p>
      <w:pPr>
        <w:ind w:left="180" w:right="340" w:firstLine="652"/>
        <w:spacing w:after="0" w:line="236" w:lineRule="auto"/>
        <w:tabs>
          <w:tab w:leader="none" w:pos="146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to be made by the Guaranteeing Subsidiaries in respect of this Guarantee shall be made without set-off, counterclaim, reduction or diminution of any kind or nature.</w:t>
      </w:r>
    </w:p>
    <w:p>
      <w:pPr>
        <w:spacing w:after="0" w:line="150" w:lineRule="exact"/>
        <w:rPr>
          <w:rFonts w:ascii="Times New Roman" w:cs="Times New Roman" w:eastAsia="Times New Roman" w:hAnsi="Times New Roman"/>
          <w:sz w:val="22"/>
          <w:szCs w:val="22"/>
          <w:color w:val="auto"/>
        </w:rPr>
      </w:pPr>
    </w:p>
    <w:p>
      <w:pPr>
        <w:ind w:left="-460" w:right="60" w:firstLine="644"/>
        <w:spacing w:after="0" w:line="236" w:lineRule="auto"/>
        <w:tabs>
          <w:tab w:leader="none" w:pos="83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and Delivery</w:t>
      </w:r>
      <w:r>
        <w:rPr>
          <w:rFonts w:ascii="Times New Roman" w:cs="Times New Roman" w:eastAsia="Times New Roman" w:hAnsi="Times New Roman"/>
          <w:sz w:val="22"/>
          <w:szCs w:val="22"/>
          <w:color w:val="auto"/>
        </w:rPr>
        <w:t>. Each Guaranteeing Subsidiary agrees that the Guarantee shall remain in full force and effect notwithstanding the absence of the endorsement of any notation of such Guarantee on the Notes.</w:t>
      </w:r>
    </w:p>
    <w:p>
      <w:pPr>
        <w:spacing w:after="0" w:line="150"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 Consolidation or Sale of All or Substantially All Assets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80" w:right="340" w:firstLine="652"/>
        <w:spacing w:after="0" w:line="231" w:lineRule="auto"/>
        <w:tabs>
          <w:tab w:leader="none" w:pos="1473"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Section 5.01(c) of the Indenture, each Guaranteeing Subsidiary may not consolidate or merge with or into or wind up into (whether or not the Issuer or such Guaranteeing Subsidiary is the surviving corporation), or sell, assign, transfer, lease, convey or otherwise dispose of all or substantially all of its properties or assets, in one or more related transactions, to any Person unless:</w:t>
      </w:r>
    </w:p>
    <w:p>
      <w:pPr>
        <w:spacing w:after="0" w:line="150" w:lineRule="exact"/>
        <w:rPr>
          <w:rFonts w:ascii="Times New Roman" w:cs="Times New Roman" w:eastAsia="Times New Roman" w:hAnsi="Times New Roman"/>
          <w:sz w:val="21"/>
          <w:szCs w:val="21"/>
          <w:color w:val="auto"/>
        </w:rPr>
      </w:pPr>
    </w:p>
    <w:p>
      <w:pPr>
        <w:ind w:left="840" w:right="140" w:firstLine="640"/>
        <w:spacing w:after="0" w:line="224" w:lineRule="auto"/>
        <w:tabs>
          <w:tab w:leader="none" w:pos="2124"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Guaranteeing Subsidiary is the surviving corporation or the Person formed by or surviving any such consolidation or merger (if other than such Guaranteeing Subsidiary) or to which such sale, assignment, transfer, lease, conveyance or other disposition will have been made is a corporation, partnership, limited partnership, limited liability company or trust organized or existing under the laws of the jurisdiction of organization of such Guaranteeing Subsidiary, as the case may be, or the laws of the United States, any state thereof, the District of Columbia, or any territory thereof (such Guaranteeing Subsidiary or such Person, as the case may be, being herein called the “</w:t>
      </w:r>
      <w:r>
        <w:rPr>
          <w:rFonts w:ascii="Times New Roman" w:cs="Times New Roman" w:eastAsia="Times New Roman" w:hAnsi="Times New Roman"/>
          <w:sz w:val="21"/>
          <w:szCs w:val="21"/>
          <w:u w:val="single" w:color="auto"/>
          <w:color w:val="auto"/>
        </w:rPr>
        <w:t>Successor Person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100"/>
          </w:cols>
          <w:pgMar w:left="1440" w:top="1395" w:right="359" w:bottom="1440" w:gutter="0" w:footer="0" w:header="0"/>
        </w:sectPr>
      </w:pPr>
    </w:p>
    <w:bookmarkStart w:id="52" w:name="page53"/>
    <w:bookmarkEnd w:id="52"/>
    <w:p>
      <w:pPr>
        <w:ind w:left="1480" w:firstLine="648"/>
        <w:spacing w:after="0" w:line="220" w:lineRule="auto"/>
        <w:tabs>
          <w:tab w:leader="none" w:pos="2765" w:val="left"/>
        </w:tabs>
        <w:numPr>
          <w:ilvl w:val="3"/>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Successor Person, if other than such Guaranteeing Subsidiary, expressly assumes all the obligations of such Guaranteeing Subsidiary under the Indenture and such Guaranteeing Subsidiary’s related Guarantee pursuant to supplemental indentures or other documents or instruments in form reasonably satisfactory to the Trustee;</w:t>
      </w:r>
    </w:p>
    <w:p>
      <w:pPr>
        <w:spacing w:after="0" w:line="152" w:lineRule="exact"/>
        <w:rPr>
          <w:rFonts w:ascii="Times New Roman" w:cs="Times New Roman" w:eastAsia="Times New Roman" w:hAnsi="Times New Roman"/>
          <w:sz w:val="22"/>
          <w:szCs w:val="22"/>
          <w:color w:val="010000"/>
        </w:rPr>
      </w:pPr>
    </w:p>
    <w:p>
      <w:pPr>
        <w:ind w:left="2760" w:hanging="632"/>
        <w:spacing w:after="0"/>
        <w:tabs>
          <w:tab w:leader="none" w:pos="2760" w:val="left"/>
        </w:tabs>
        <w:numPr>
          <w:ilvl w:val="3"/>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immediately after such transaction, no Default exists; and</w:t>
      </w:r>
    </w:p>
    <w:p>
      <w:pPr>
        <w:spacing w:after="0" w:line="179" w:lineRule="exact"/>
        <w:rPr>
          <w:rFonts w:ascii="Times New Roman" w:cs="Times New Roman" w:eastAsia="Times New Roman" w:hAnsi="Times New Roman"/>
          <w:sz w:val="22"/>
          <w:szCs w:val="22"/>
          <w:color w:val="010000"/>
        </w:rPr>
      </w:pPr>
    </w:p>
    <w:p>
      <w:pPr>
        <w:ind w:left="1480" w:right="20" w:firstLine="648"/>
        <w:spacing w:after="0" w:line="225" w:lineRule="auto"/>
        <w:tabs>
          <w:tab w:leader="none" w:pos="2767" w:val="left"/>
        </w:tabs>
        <w:numPr>
          <w:ilvl w:val="3"/>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Issuer shall have delivered to the Trustee an Officers’ Certificate and an Opinion of Counsel, each stating that such consolidation, merger or transfer and such supplemental indentures, if any, comply with the Indenture; or</w:t>
      </w:r>
    </w:p>
    <w:p>
      <w:pPr>
        <w:spacing w:after="0" w:line="152" w:lineRule="exact"/>
        <w:rPr>
          <w:rFonts w:ascii="Times New Roman" w:cs="Times New Roman" w:eastAsia="Times New Roman" w:hAnsi="Times New Roman"/>
          <w:sz w:val="22"/>
          <w:szCs w:val="22"/>
          <w:color w:val="010000"/>
        </w:rPr>
      </w:pPr>
    </w:p>
    <w:p>
      <w:pPr>
        <w:ind w:left="2120" w:hanging="640"/>
        <w:spacing w:after="0"/>
        <w:tabs>
          <w:tab w:leader="none" w:pos="2120"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is made in compliance with Section 4.10 of the Indenture;</w:t>
      </w:r>
    </w:p>
    <w:p>
      <w:pPr>
        <w:spacing w:after="0" w:line="179" w:lineRule="exact"/>
        <w:rPr>
          <w:rFonts w:ascii="Times New Roman" w:cs="Times New Roman" w:eastAsia="Times New Roman" w:hAnsi="Times New Roman"/>
          <w:sz w:val="22"/>
          <w:szCs w:val="22"/>
          <w:color w:val="auto"/>
        </w:rPr>
      </w:pPr>
    </w:p>
    <w:p>
      <w:pPr>
        <w:ind w:left="180" w:right="60" w:firstLine="652"/>
        <w:spacing w:after="0" w:line="220" w:lineRule="auto"/>
        <w:tabs>
          <w:tab w:leader="none" w:pos="1471"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certain limitations described in the Indenture, the Successor Person will succeed to, and be substituted for, such Guaranteeing Subsidiary under the Indenture and such Guaranteeing Subsidiary’s Guarantee. Notwithstanding the foregoing, such Guaranteeing Subsidiary may merge into or transfer all or part of its properties and assets to another Guarantor or the Issuer.</w:t>
      </w:r>
    </w:p>
    <w:p>
      <w:pPr>
        <w:spacing w:after="0" w:line="152" w:lineRule="exact"/>
        <w:rPr>
          <w:rFonts w:ascii="Times New Roman" w:cs="Times New Roman" w:eastAsia="Times New Roman" w:hAnsi="Times New Roman"/>
          <w:sz w:val="22"/>
          <w:szCs w:val="22"/>
          <w:color w:val="auto"/>
        </w:rPr>
      </w:pPr>
    </w:p>
    <w:p>
      <w:pPr>
        <w:ind w:left="-460" w:right="200" w:firstLine="644"/>
        <w:spacing w:after="0" w:line="225" w:lineRule="auto"/>
        <w:tabs>
          <w:tab w:leader="none" w:pos="83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Releases</w:t>
      </w:r>
      <w:r>
        <w:rPr>
          <w:rFonts w:ascii="Times New Roman" w:cs="Times New Roman" w:eastAsia="Times New Roman" w:hAnsi="Times New Roman"/>
          <w:sz w:val="22"/>
          <w:szCs w:val="22"/>
          <w:color w:val="auto"/>
        </w:rPr>
        <w:t>. The Guarantee of each Guaranteeing Subsidiary shall be automatically and unconditionally released and discharged, and no further action by such Guaranteeing Subsidiary, the Issuer or the Trustee is required for the release of such Guaranteeing Subsidiary’s Guarantee, upon:</w:t>
      </w:r>
    </w:p>
    <w:p>
      <w:pPr>
        <w:spacing w:after="0" w:line="152" w:lineRule="exact"/>
        <w:rPr>
          <w:rFonts w:ascii="Times New Roman" w:cs="Times New Roman" w:eastAsia="Times New Roman" w:hAnsi="Times New Roman"/>
          <w:sz w:val="22"/>
          <w:szCs w:val="22"/>
          <w:color w:val="auto"/>
        </w:rPr>
      </w:pPr>
    </w:p>
    <w:p>
      <w:pPr>
        <w:ind w:left="180" w:right="80" w:firstLine="652"/>
        <w:spacing w:after="0" w:line="220" w:lineRule="auto"/>
        <w:tabs>
          <w:tab w:leader="none" w:pos="1473"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sale, exchange or transfer (by merger or otherwise) of the Capital Stock of such Guaranteeing Subsidiary (including any sale, exchange or transfer), after which such Guaranteeing Subsidiary is no longer a Restricted Subsidiary or all or substantially all the assets of such Guaranteeing Subsidiary which sale, exchange or transfer is made in compliance with the applicable provisions of the Indenture;</w:t>
      </w:r>
    </w:p>
    <w:p>
      <w:pPr>
        <w:spacing w:after="0" w:line="152" w:lineRule="exact"/>
        <w:rPr>
          <w:rFonts w:ascii="Times New Roman" w:cs="Times New Roman" w:eastAsia="Times New Roman" w:hAnsi="Times New Roman"/>
          <w:sz w:val="22"/>
          <w:szCs w:val="22"/>
          <w:color w:val="auto"/>
        </w:rPr>
      </w:pPr>
    </w:p>
    <w:p>
      <w:pPr>
        <w:jc w:val="both"/>
        <w:ind w:left="840" w:right="120" w:firstLine="640"/>
        <w:spacing w:after="0" w:line="225" w:lineRule="auto"/>
        <w:tabs>
          <w:tab w:leader="none" w:pos="2124"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 or discharge of the guarantee by such Guaranteeing Subsidiary of the guarantee which resulted in the creation of the Guarantee, except a discharge or release by or as a result of payment under such guarantee;</w:t>
      </w:r>
    </w:p>
    <w:p>
      <w:pPr>
        <w:spacing w:after="0" w:line="153" w:lineRule="exact"/>
        <w:rPr>
          <w:sz w:val="20"/>
          <w:szCs w:val="20"/>
          <w:color w:val="auto"/>
        </w:rPr>
      </w:pPr>
    </w:p>
    <w:p>
      <w:pPr>
        <w:ind w:left="2120" w:hanging="640"/>
        <w:spacing w:after="0"/>
        <w:tabs>
          <w:tab w:leader="none" w:pos="212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proper designation of such Guaranteeing Subsidiary as an Unrestricted Subsidiary; or</w:t>
      </w:r>
    </w:p>
    <w:p>
      <w:pPr>
        <w:spacing w:after="0" w:line="179" w:lineRule="exact"/>
        <w:rPr>
          <w:rFonts w:ascii="Times New Roman" w:cs="Times New Roman" w:eastAsia="Times New Roman" w:hAnsi="Times New Roman"/>
          <w:sz w:val="22"/>
          <w:szCs w:val="22"/>
          <w:color w:val="auto"/>
        </w:rPr>
      </w:pPr>
    </w:p>
    <w:p>
      <w:pPr>
        <w:ind w:left="840" w:right="40" w:firstLine="640"/>
        <w:spacing w:after="0" w:line="225" w:lineRule="auto"/>
        <w:tabs>
          <w:tab w:leader="none" w:pos="213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exercising its Legal Defeasance option or Covenant Defeasance option in accordance with Article 8 of the Indenture or the Issuer’s obligations under the Indenture being discharged in accordance with the terms of the Indenture; and</w:t>
      </w:r>
    </w:p>
    <w:p>
      <w:pPr>
        <w:spacing w:after="0" w:line="152" w:lineRule="exact"/>
        <w:rPr>
          <w:rFonts w:ascii="Times New Roman" w:cs="Times New Roman" w:eastAsia="Times New Roman" w:hAnsi="Times New Roman"/>
          <w:sz w:val="22"/>
          <w:szCs w:val="22"/>
          <w:color w:val="auto"/>
        </w:rPr>
      </w:pPr>
    </w:p>
    <w:p>
      <w:pPr>
        <w:jc w:val="both"/>
        <w:ind w:left="180" w:right="160" w:firstLine="652"/>
        <w:spacing w:after="0" w:line="225" w:lineRule="auto"/>
        <w:tabs>
          <w:tab w:leader="none" w:pos="147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Guaranteeing Subsidiary delivering to the Trustee an Officers’ Certificate and an Opinion of Counsel, each stating that all conditions precedent provided for in the Indenture relating to such transaction have been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080"/>
          </w:cols>
          <w:pgMar w:left="1440" w:top="1395" w:right="379" w:bottom="1440" w:gutter="0" w:footer="0" w:header="0"/>
        </w:sectPr>
      </w:pPr>
    </w:p>
    <w:bookmarkStart w:id="53" w:name="page54"/>
    <w:bookmarkEnd w:id="53"/>
    <w:p>
      <w:pPr>
        <w:ind w:right="180" w:firstLine="644"/>
        <w:spacing w:after="0" w:line="217" w:lineRule="auto"/>
        <w:tabs>
          <w:tab w:leader="none" w:pos="129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Recourse Against Others</w:t>
      </w:r>
      <w:r>
        <w:rPr>
          <w:rFonts w:ascii="Times New Roman" w:cs="Times New Roman" w:eastAsia="Times New Roman" w:hAnsi="Times New Roman"/>
          <w:sz w:val="22"/>
          <w:szCs w:val="22"/>
          <w:color w:val="auto"/>
        </w:rPr>
        <w:t>. No director, officer, employee, incorporator or stockholder of the Guaranteeing Subsidiaries shall have any liability for any obligations of the Issuer or the Guarantors (including the Guaranteeing Subsidiaries) under the Notes, any Guarantees, the Indenture or this Supplemental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152" w:lineRule="exact"/>
        <w:rPr>
          <w:rFonts w:ascii="Times New Roman" w:cs="Times New Roman" w:eastAsia="Times New Roman" w:hAnsi="Times New Roman"/>
          <w:sz w:val="22"/>
          <w:szCs w:val="22"/>
          <w:color w:val="auto"/>
        </w:rPr>
      </w:pPr>
    </w:p>
    <w:p>
      <w:pPr>
        <w:ind w:right="1280" w:firstLine="644"/>
        <w:spacing w:after="0" w:line="236" w:lineRule="auto"/>
        <w:tabs>
          <w:tab w:leader="none" w:pos="129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WILL BE GOVERNED BY AND CONSTRUED IN ACCORDANCE WITH THE LAWS OF THE STATE OF NEW YORK.</w:t>
      </w:r>
    </w:p>
    <w:p>
      <w:pPr>
        <w:spacing w:after="0" w:line="150" w:lineRule="exact"/>
        <w:rPr>
          <w:rFonts w:ascii="Times New Roman" w:cs="Times New Roman" w:eastAsia="Times New Roman" w:hAnsi="Times New Roman"/>
          <w:sz w:val="22"/>
          <w:szCs w:val="22"/>
          <w:color w:val="auto"/>
        </w:rPr>
      </w:pPr>
    </w:p>
    <w:p>
      <w:pPr>
        <w:ind w:right="440" w:firstLine="644"/>
        <w:spacing w:after="0" w:line="236" w:lineRule="auto"/>
        <w:tabs>
          <w:tab w:leader="none" w:pos="129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The parties may sign any number of copies of this Supplemental Indenture. Each signed copy shall be an original, but all of them together represent the same agreement.</w:t>
      </w:r>
    </w:p>
    <w:p>
      <w:pPr>
        <w:spacing w:after="0" w:line="150"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21"/>
          <w:szCs w:val="21"/>
          <w:color w:val="auto"/>
        </w:rPr>
        <w:t>The words “execution,” “signed,” “signature,” and words of like import in this Supplemental Indenture shall include images of manually executed signatures transmitted by facsimile or other electronic format (including, without limitation, “pdf”, “tif” or “jpg”) and other electronic signatures (including, without limitation, DocuSign and Adobe Sign or any other electronic process or digital signature provider as specified in writing to the Trustee and agreed to by the Trustee in its sole discretion).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Anything in this Supplemental Indenture or the Notes to the contrary notwithstanding, each party agrees that for the purposes of the transactions contemplated by this Supplemental Indenture, the Notes and any document to be signed in connection with the Indenture or the Notes (including the Notes and amendments, supplements, waivers, consents and other modifications, Officers’ Certificates, Issuer Orders and Opinions of Counsel) or the transactions contemplated hereby may be signed by manual signatures that are scanned, photocopied or faxed or other electronic signatures created on an electronic platform, such as DocuSign, or by digital signature, such as Adobe Sign, (or any other electronic process or digital signature provider as specified in writing to the Trustee and agreed to by the Trustee in its sole discretion),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52" w:lineRule="exact"/>
        <w:rPr>
          <w:sz w:val="20"/>
          <w:szCs w:val="20"/>
          <w:color w:val="auto"/>
        </w:rPr>
      </w:pPr>
    </w:p>
    <w:p>
      <w:pPr>
        <w:ind w:right="880" w:firstLine="644"/>
        <w:spacing w:after="0" w:line="236" w:lineRule="auto"/>
        <w:tabs>
          <w:tab w:leader="none" w:pos="129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headings herein are for convenience only and shall not affect the construction hereof.</w:t>
      </w:r>
    </w:p>
    <w:p>
      <w:pPr>
        <w:spacing w:after="0" w:line="150" w:lineRule="exact"/>
        <w:rPr>
          <w:rFonts w:ascii="Times New Roman" w:cs="Times New Roman" w:eastAsia="Times New Roman" w:hAnsi="Times New Roman"/>
          <w:sz w:val="22"/>
          <w:szCs w:val="22"/>
          <w:color w:val="auto"/>
        </w:rPr>
      </w:pPr>
    </w:p>
    <w:p>
      <w:pPr>
        <w:ind w:firstLine="644"/>
        <w:spacing w:after="0" w:line="225" w:lineRule="auto"/>
        <w:tabs>
          <w:tab w:leader="none" w:pos="129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Trustee</w:t>
      </w:r>
      <w:r>
        <w:rPr>
          <w:rFonts w:ascii="Times New Roman" w:cs="Times New Roman" w:eastAsia="Times New Roman" w:hAnsi="Times New Roman"/>
          <w:sz w:val="22"/>
          <w:szCs w:val="22"/>
          <w:color w:val="auto"/>
        </w:rPr>
        <w:t>. The Trustee shall not be responsible in any manner whatsoever for or in respect of the validity or sufficiency of this Supplemental Indenture or for or in respect of the recitals contained herein, all of which recitals are made solely by each Guaranteeing Subsidiary.</w:t>
      </w:r>
    </w:p>
    <w:p>
      <w:pPr>
        <w:spacing w:after="0" w:line="152" w:lineRule="exact"/>
        <w:rPr>
          <w:rFonts w:ascii="Times New Roman" w:cs="Times New Roman" w:eastAsia="Times New Roman" w:hAnsi="Times New Roman"/>
          <w:sz w:val="22"/>
          <w:szCs w:val="22"/>
          <w:color w:val="auto"/>
        </w:rPr>
      </w:pPr>
    </w:p>
    <w:p>
      <w:pPr>
        <w:ind w:right="120" w:firstLine="644"/>
        <w:spacing w:after="0" w:line="225" w:lineRule="auto"/>
        <w:tabs>
          <w:tab w:leader="none" w:pos="128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Each Guaranteeing Subsidiary shall be subrogated to all rights of Holders of Notes against the Issuer in respect of any amounts paid by such Guaranteeing Subsidiary pursuant to the provisions of Section 2 hereof and Section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60"/>
          </w:cols>
          <w:pgMar w:left="980" w:top="1395" w:right="359" w:bottom="1440" w:gutter="0" w:footer="0" w:header="0"/>
        </w:sectPr>
      </w:pPr>
    </w:p>
    <w:bookmarkStart w:id="54" w:name="page55"/>
    <w:bookmarkEnd w:id="54"/>
    <w:p>
      <w:pPr>
        <w:spacing w:after="0" w:line="225" w:lineRule="auto"/>
        <w:rPr>
          <w:sz w:val="20"/>
          <w:szCs w:val="20"/>
          <w:color w:val="auto"/>
        </w:rPr>
      </w:pPr>
      <w:r>
        <w:rPr>
          <w:rFonts w:ascii="Times New Roman" w:cs="Times New Roman" w:eastAsia="Times New Roman" w:hAnsi="Times New Roman"/>
          <w:sz w:val="22"/>
          <w:szCs w:val="22"/>
          <w:color w:val="auto"/>
        </w:rPr>
        <w:t xml:space="preserve">of 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 Event of Default has occurred and is continuing, such Guaranteeing Subsidiary shall not be entitled to enforce or receive any payments arising out of, or based upon, such right of subrogation until all amounts then due and payable by the Issuer under the Indenture or the Notes shall have been paid in full.</w:t>
      </w:r>
    </w:p>
    <w:p>
      <w:pPr>
        <w:spacing w:after="0" w:line="153" w:lineRule="exact"/>
        <w:rPr>
          <w:sz w:val="20"/>
          <w:szCs w:val="20"/>
          <w:color w:val="auto"/>
        </w:rPr>
      </w:pPr>
    </w:p>
    <w:p>
      <w:pPr>
        <w:ind w:right="40" w:firstLine="644"/>
        <w:spacing w:after="0" w:line="231" w:lineRule="auto"/>
        <w:tabs>
          <w:tab w:leader="none" w:pos="1291"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 Acknowledged</w:t>
      </w:r>
      <w:r>
        <w:rPr>
          <w:rFonts w:ascii="Times New Roman" w:cs="Times New Roman" w:eastAsia="Times New Roman" w:hAnsi="Times New Roman"/>
          <w:sz w:val="21"/>
          <w:szCs w:val="21"/>
          <w:color w:val="auto"/>
        </w:rPr>
        <w:t>.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150" w:lineRule="exact"/>
        <w:rPr>
          <w:rFonts w:ascii="Times New Roman" w:cs="Times New Roman" w:eastAsia="Times New Roman" w:hAnsi="Times New Roman"/>
          <w:sz w:val="21"/>
          <w:szCs w:val="21"/>
          <w:color w:val="auto"/>
        </w:rPr>
      </w:pPr>
    </w:p>
    <w:p>
      <w:pPr>
        <w:jc w:val="both"/>
        <w:ind w:right="280" w:firstLine="644"/>
        <w:spacing w:after="0" w:line="225" w:lineRule="auto"/>
        <w:tabs>
          <w:tab w:leader="none" w:pos="129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All agreements of the Guaranteeing Subsidiaries in this Supplemental Indenture shall bind their Successors, except as otherwise provided in Section 2(k) hereof or elsewhere in this Supplemental Indenture. All agreements of the Trustee in this Supplemental Indenture shall bind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480"/>
          </w:cols>
          <w:pgMar w:left="980" w:top="1395" w:right="439" w:bottom="1440" w:gutter="0" w:footer="0" w:header="0"/>
        </w:sectPr>
      </w:pPr>
    </w:p>
    <w:bookmarkStart w:id="55" w:name="page56"/>
    <w:bookmarkEnd w:id="55"/>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caused this Supplemental Indenture to be duly executed, all as of the date first above written.</w:t>
      </w:r>
    </w:p>
    <w:p>
      <w:pPr>
        <w:spacing w:after="0" w:line="1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NEXT LEVEL HOSPITALITY SERVICES, LLC</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Aramark Healthcare Support Services, LLC, its sole member</w:t>
      </w:r>
    </w:p>
    <w:p>
      <w:pPr>
        <w:spacing w:after="0" w:line="2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JAMES J. TARANGELO</w:t>
      </w:r>
    </w:p>
    <w:p>
      <w:pPr>
        <w:spacing w:after="0" w:line="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James J. Tarangelo</w:t>
      </w:r>
    </w:p>
    <w:p>
      <w:pPr>
        <w:ind w:left="454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NEXT LEVEL PEO, LLC</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NLAL HOSPITALITY LLC</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NLNC HOSPITALITY LLC</w:t>
      </w:r>
    </w:p>
    <w:p>
      <w:pPr>
        <w:ind w:left="3900"/>
        <w:spacing w:after="0"/>
        <w:rPr>
          <w:sz w:val="20"/>
          <w:szCs w:val="20"/>
          <w:color w:val="auto"/>
        </w:rPr>
      </w:pPr>
      <w:r>
        <w:rPr>
          <w:rFonts w:ascii="Times New Roman" w:cs="Times New Roman" w:eastAsia="Times New Roman" w:hAnsi="Times New Roman"/>
          <w:sz w:val="20"/>
          <w:szCs w:val="20"/>
          <w:b w:val="1"/>
          <w:bCs w:val="1"/>
          <w:color w:val="auto"/>
        </w:rPr>
        <w:t>NLPA HOSPITALITY LLC</w:t>
      </w:r>
    </w:p>
    <w:p>
      <w:pPr>
        <w:ind w:left="3900"/>
        <w:spacing w:after="0"/>
        <w:rPr>
          <w:sz w:val="20"/>
          <w:szCs w:val="20"/>
          <w:color w:val="auto"/>
        </w:rPr>
      </w:pPr>
      <w:r>
        <w:rPr>
          <w:rFonts w:ascii="Times New Roman" w:cs="Times New Roman" w:eastAsia="Times New Roman" w:hAnsi="Times New Roman"/>
          <w:sz w:val="20"/>
          <w:szCs w:val="20"/>
          <w:b w:val="1"/>
          <w:bCs w:val="1"/>
          <w:color w:val="auto"/>
        </w:rPr>
        <w:t>NLSD HOSPITALITY LLC</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Next Level Hospitality Services, LLC, its sole member</w:t>
      </w:r>
    </w:p>
    <w:p>
      <w:pPr>
        <w:spacing w:after="0" w:line="26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JAMES J. TARANGELO</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James J. Tarangelo</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UNION SUPPLY GROUP, INC.</w:t>
      </w:r>
    </w:p>
    <w:p>
      <w:pPr>
        <w:spacing w:after="0" w:line="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UNION SUPPLY COMMISSARY SOLUTIONS, INC.</w:t>
      </w:r>
    </w:p>
    <w:p>
      <w:pPr>
        <w:spacing w:after="0" w:line="2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JAMES J. TARANGELO</w:t>
      </w:r>
    </w:p>
    <w:p>
      <w:pPr>
        <w:spacing w:after="0" w:line="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James J. Tarangelo</w:t>
      </w:r>
    </w:p>
    <w:p>
      <w:pPr>
        <w:ind w:left="4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6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THOMAS G. ONDROF</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Thomas G. Ondrof</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U.S. BANK TRUST COMPANY, NATIONAL ASSOCIATION</w:t>
      </w:r>
      <w:r>
        <w:rPr>
          <w:rFonts w:ascii="Times New Roman" w:cs="Times New Roman" w:eastAsia="Times New Roman" w:hAnsi="Times New Roman"/>
          <w:sz w:val="22"/>
          <w:szCs w:val="22"/>
          <w:color w:val="auto"/>
        </w:rPr>
        <w:t>, as Trustee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00"/>
        <w:spacing w:after="0"/>
        <w:tabs>
          <w:tab w:leader="none" w:pos="46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GREGORY P. GUIM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6459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ind w:left="4120"/>
        <w:spacing w:after="0" w:line="204" w:lineRule="auto"/>
        <w:rPr>
          <w:sz w:val="20"/>
          <w:szCs w:val="20"/>
          <w:color w:val="auto"/>
        </w:rPr>
      </w:pPr>
      <w:r>
        <w:rPr>
          <w:rFonts w:ascii="Times New Roman" w:cs="Times New Roman" w:eastAsia="Times New Roman" w:hAnsi="Times New Roman"/>
          <w:sz w:val="22"/>
          <w:szCs w:val="22"/>
          <w:color w:val="auto"/>
        </w:rPr>
        <w:t>Name: Gregory P. Guim</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2025 6.375% Supplemental Indenture</w:t>
      </w:r>
      <w:r>
        <w:rPr>
          <w:rFonts w:ascii="Times New Roman" w:cs="Times New Roman" w:eastAsia="Times New Roman" w:hAnsi="Times New Roman"/>
          <w:sz w:val="22"/>
          <w:szCs w:val="22"/>
          <w:color w:val="auto"/>
        </w:rPr>
        <w:t>]</w:t>
      </w:r>
    </w:p>
    <w:p>
      <w:pPr>
        <w:sectPr>
          <w:pgSz w:w="11900" w:h="16838" w:orient="portrait"/>
          <w:cols w:equalWidth="0" w:num="1">
            <w:col w:w="11000"/>
          </w:cols>
          <w:pgMar w:left="320" w:top="1395" w:right="579" w:bottom="1440" w:gutter="0" w:footer="0" w:header="0"/>
        </w:sectPr>
      </w:pPr>
    </w:p>
    <w:bookmarkStart w:id="56" w:name="page57"/>
    <w:bookmarkEnd w:id="56"/>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Guaranteeing Subsidiaries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6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7240" w:type="dxa"/>
            <w:vAlign w:val="bottom"/>
            <w:tcBorders>
              <w:top w:val="single" w:sz="8" w:color="auto"/>
              <w:bottom w:val="single" w:sz="8" w:color="auto"/>
              <w:right w:val="single" w:sz="8" w:color="auto"/>
            </w:tcBorders>
          </w:tcPr>
          <w:p>
            <w:pPr>
              <w:ind w:left="3020"/>
              <w:spacing w:after="0"/>
              <w:rPr>
                <w:sz w:val="20"/>
                <w:szCs w:val="20"/>
                <w:color w:val="auto"/>
              </w:rPr>
            </w:pPr>
            <w:r>
              <w:rPr>
                <w:rFonts w:ascii="Times New Roman" w:cs="Times New Roman" w:eastAsia="Times New Roman" w:hAnsi="Times New Roman"/>
                <w:sz w:val="22"/>
                <w:szCs w:val="22"/>
                <w:b w:val="1"/>
                <w:bCs w:val="1"/>
                <w:color w:val="auto"/>
              </w:rPr>
              <w:t>Entity Name</w:t>
            </w:r>
          </w:p>
        </w:tc>
        <w:tc>
          <w:tcPr>
            <w:tcW w:w="23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Jurisdiction</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Union Supply Group, Inc.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California</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Union Supply Commissary Solutions, Inc.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California</w:t>
            </w:r>
          </w:p>
        </w:tc>
      </w:tr>
      <w:tr>
        <w:trPr>
          <w:trHeight w:val="264"/>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Next Level Hospitality Services,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Next Level PEO,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NLAL Hospitality,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NLNC Hospitality,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NLPA Hospitality,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NLSD Hospitality,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bl>
    <w:p>
      <w:pPr>
        <w:sectPr>
          <w:pgSz w:w="11900" w:h="16838" w:orient="portrait"/>
          <w:cols w:equalWidth="0" w:num="1">
            <w:col w:w="11260"/>
          </w:cols>
          <w:pgMar w:left="320" w:top="1391" w:right="3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THIRD SUPPLEMENTAL INDENTURE</w:t>
      </w:r>
    </w:p>
    <w:p>
      <w:pPr>
        <w:spacing w:after="0" w:line="179"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22"/>
          <w:szCs w:val="22"/>
          <w:color w:val="auto"/>
        </w:rPr>
        <w:t>THIS THIRD SUPPLEMENTAL INDENTURE (this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dated as of December 16, 2022, among the entities listed in Schedule I hereto (each a “</w:t>
      </w:r>
      <w:r>
        <w:rPr>
          <w:rFonts w:ascii="Times New Roman" w:cs="Times New Roman" w:eastAsia="Times New Roman" w:hAnsi="Times New Roman"/>
          <w:sz w:val="22"/>
          <w:szCs w:val="22"/>
          <w:u w:val="single" w:color="auto"/>
          <w:color w:val="auto"/>
        </w:rPr>
        <w:t>Guaranteeing Subsidiary</w:t>
      </w:r>
      <w:r>
        <w:rPr>
          <w:rFonts w:ascii="Times New Roman" w:cs="Times New Roman" w:eastAsia="Times New Roman" w:hAnsi="Times New Roman"/>
          <w:sz w:val="22"/>
          <w:szCs w:val="22"/>
          <w:color w:val="auto"/>
        </w:rPr>
        <w:t>” and together, the “Guaranteeing Subsidiaries”), each a subsidiary of Aramark Services, Inc., a Delaware corporation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and U.S. Bank Trust Company, National Association, as successor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Issuer, the Parent Guarantor and the other Guarantors have heretofore executed and delivered to the</w:t>
      </w:r>
    </w:p>
    <w:p>
      <w:pPr>
        <w:spacing w:after="0" w:line="214" w:lineRule="auto"/>
        <w:rPr>
          <w:sz w:val="20"/>
          <w:szCs w:val="20"/>
          <w:color w:val="auto"/>
        </w:rPr>
      </w:pPr>
      <w:r>
        <w:rPr>
          <w:rFonts w:ascii="Times New Roman" w:cs="Times New Roman" w:eastAsia="Times New Roman" w:hAnsi="Times New Roman"/>
          <w:sz w:val="21"/>
          <w:szCs w:val="21"/>
          <w:color w:val="auto"/>
        </w:rPr>
        <w:t>Trustee an indenture, dated as of January 18, 2018, as supplemented by that first supplemental indenture, dated as of February 9,</w:t>
      </w:r>
    </w:p>
    <w:p>
      <w:pPr>
        <w:spacing w:after="0" w:line="205" w:lineRule="auto"/>
        <w:rPr>
          <w:sz w:val="20"/>
          <w:szCs w:val="20"/>
          <w:color w:val="auto"/>
        </w:rPr>
      </w:pPr>
      <w:r>
        <w:rPr>
          <w:rFonts w:ascii="Times New Roman" w:cs="Times New Roman" w:eastAsia="Times New Roman" w:hAnsi="Times New Roman"/>
          <w:sz w:val="22"/>
          <w:szCs w:val="22"/>
          <w:color w:val="auto"/>
        </w:rPr>
        <w:t>2018 and as further supplemented by that second supplemental indenture, dated as of April 30, 2021 (collectively, the</w:t>
      </w:r>
    </w:p>
    <w:p>
      <w:pPr>
        <w:spacing w:after="0" w:line="20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an unlimited aggregate principal amount of 5.000% Senior Notes due 2028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right="160" w:firstLine="648"/>
        <w:spacing w:after="0" w:line="220" w:lineRule="auto"/>
        <w:rPr>
          <w:sz w:val="20"/>
          <w:szCs w:val="20"/>
          <w:color w:val="auto"/>
        </w:rPr>
      </w:pPr>
      <w:r>
        <w:rPr>
          <w:rFonts w:ascii="Times New Roman" w:cs="Times New Roman" w:eastAsia="Times New Roman" w:hAnsi="Times New Roman"/>
          <w:sz w:val="22"/>
          <w:szCs w:val="22"/>
          <w:color w:val="auto"/>
        </w:rPr>
        <w:t>WHEREAS, the Indenture provides that under certain circumstances each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and</w:t>
      </w:r>
    </w:p>
    <w:p>
      <w:pPr>
        <w:spacing w:after="0" w:line="152"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WHEREAS, pursuant to Section 9.01 of the Indenture, the Trustee is authorized to execute and deliver this Supplemental Indenture.</w:t>
      </w:r>
    </w:p>
    <w:p>
      <w:pPr>
        <w:spacing w:after="0" w:line="150" w:lineRule="exact"/>
        <w:rPr>
          <w:sz w:val="20"/>
          <w:szCs w:val="20"/>
          <w:color w:val="auto"/>
        </w:rPr>
      </w:pPr>
    </w:p>
    <w:p>
      <w:pPr>
        <w:ind w:right="360"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152" w:lineRule="exact"/>
        <w:rPr>
          <w:sz w:val="20"/>
          <w:szCs w:val="20"/>
          <w:color w:val="auto"/>
        </w:rPr>
      </w:pPr>
    </w:p>
    <w:p>
      <w:pPr>
        <w:ind w:left="660" w:right="300" w:firstLine="644"/>
        <w:spacing w:after="0" w:line="236" w:lineRule="auto"/>
        <w:tabs>
          <w:tab w:leader="none" w:pos="195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used herein without definition shall have the meanings assigned to them in the Indenture.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Guarantee</w:t>
      </w:r>
      <w:r>
        <w:rPr>
          <w:rFonts w:ascii="Times New Roman" w:cs="Times New Roman" w:eastAsia="Times New Roman" w:hAnsi="Times New Roman"/>
          <w:sz w:val="22"/>
          <w:szCs w:val="22"/>
          <w:color w:val="auto"/>
        </w:rPr>
        <w:t>. Each Guaranteeing Subsidiary hereby agrees as follows:</w:t>
      </w:r>
    </w:p>
    <w:p>
      <w:pPr>
        <w:spacing w:after="0" w:line="179" w:lineRule="exact"/>
        <w:rPr>
          <w:rFonts w:ascii="Times New Roman" w:cs="Times New Roman" w:eastAsia="Times New Roman" w:hAnsi="Times New Roman"/>
          <w:sz w:val="22"/>
          <w:szCs w:val="22"/>
          <w:color w:val="auto"/>
        </w:rPr>
      </w:pPr>
    </w:p>
    <w:p>
      <w:pPr>
        <w:ind w:left="1300" w:right="80" w:firstLine="652"/>
        <w:spacing w:after="0" w:line="220" w:lineRule="auto"/>
        <w:tabs>
          <w:tab w:leader="none" w:pos="2593"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Along with all other Guarantors, to jointly and severally unconditionally guarantee to each Holder of a Note authenticated and delivered by the Trustee and to the Trustee and its successors and assigns, irrespective of the validity and enforceability of the Indenture, the Notes or the obligations of the Issuer hereunder or thereunder, that:</w:t>
      </w:r>
    </w:p>
    <w:p>
      <w:pPr>
        <w:spacing w:after="0" w:line="152" w:lineRule="exact"/>
        <w:rPr>
          <w:rFonts w:ascii="Times New Roman" w:cs="Times New Roman" w:eastAsia="Times New Roman" w:hAnsi="Times New Roman"/>
          <w:sz w:val="22"/>
          <w:szCs w:val="22"/>
          <w:color w:val="auto"/>
        </w:rPr>
      </w:pPr>
    </w:p>
    <w:p>
      <w:pPr>
        <w:ind w:left="1960" w:right="40" w:firstLine="640"/>
        <w:spacing w:after="0" w:line="217" w:lineRule="auto"/>
        <w:tabs>
          <w:tab w:leader="none" w:pos="3244"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interest and premium, if any, on the Notes will be promptly paid in full when due, whether at maturity, by acceleration, redemption or otherwise, and interest on the overdue principal of and interest on the Notes, if any, if lawful, and all other obligations of the Issuer to the Holders or the Trustee hereunder or thereunder will be promptly paid in full or performed, all in accordance with the terms hereof and thereof; and</w:t>
      </w:r>
    </w:p>
    <w:p>
      <w:pPr>
        <w:spacing w:after="0" w:line="152" w:lineRule="exact"/>
        <w:rPr>
          <w:rFonts w:ascii="Times New Roman" w:cs="Times New Roman" w:eastAsia="Times New Roman" w:hAnsi="Times New Roman"/>
          <w:sz w:val="22"/>
          <w:szCs w:val="22"/>
          <w:color w:val="auto"/>
        </w:rPr>
      </w:pPr>
    </w:p>
    <w:p>
      <w:pPr>
        <w:ind w:left="1960" w:right="60" w:firstLine="640"/>
        <w:spacing w:after="0" w:line="225" w:lineRule="auto"/>
        <w:tabs>
          <w:tab w:leader="none" w:pos="3250"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any extension of time of payment or renewal of any Notes or of any such other obligations, that same will be promptly paid in full when due or performed in accordance with the terms of the extension or renewal, whether at stated maturity, by acceleration or</w:t>
      </w:r>
    </w:p>
    <w:p>
      <w:pPr>
        <w:sectPr>
          <w:pgSz w:w="11900" w:h="16838" w:orient="portrait"/>
          <w:cols w:equalWidth="0" w:num="1">
            <w:col w:w="11240"/>
          </w:cols>
          <w:pgMar w:left="320" w:top="94" w:right="339" w:bottom="1440" w:gutter="0" w:footer="0" w:header="0"/>
        </w:sectPr>
      </w:pPr>
    </w:p>
    <w:bookmarkStart w:id="58" w:name="page59"/>
    <w:bookmarkEnd w:id="58"/>
    <w:p>
      <w:pPr>
        <w:jc w:val="both"/>
        <w:ind w:left="840" w:right="80"/>
        <w:spacing w:after="0" w:line="236" w:lineRule="auto"/>
        <w:rPr>
          <w:sz w:val="20"/>
          <w:szCs w:val="20"/>
          <w:color w:val="auto"/>
        </w:rPr>
      </w:pPr>
      <w:r>
        <w:rPr>
          <w:rFonts w:ascii="Times New Roman" w:cs="Times New Roman" w:eastAsia="Times New Roman" w:hAnsi="Times New Roman"/>
          <w:sz w:val="21"/>
          <w:szCs w:val="21"/>
          <w:color w:val="auto"/>
        </w:rPr>
        <w:t>otherwise. Failing payment when due of any amount so guaranteed or any performance so guaranteed for whatever reason, the Guarantors and the Guaranteeing Subsidiaries shall be jointly and severally obligated to pay the same immediately. This is a guarantee of payment and not a guarantee of collection.</w:t>
      </w:r>
    </w:p>
    <w:p>
      <w:pPr>
        <w:spacing w:after="0" w:line="152" w:lineRule="exact"/>
        <w:rPr>
          <w:sz w:val="20"/>
          <w:szCs w:val="20"/>
          <w:color w:val="auto"/>
        </w:rPr>
      </w:pPr>
    </w:p>
    <w:p>
      <w:pPr>
        <w:ind w:left="180" w:right="120" w:firstLine="652"/>
        <w:spacing w:after="0" w:line="217" w:lineRule="auto"/>
        <w:tabs>
          <w:tab w:leader="none" w:pos="147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w:t>
      </w:r>
    </w:p>
    <w:p>
      <w:pPr>
        <w:spacing w:after="0" w:line="152" w:lineRule="exact"/>
        <w:rPr>
          <w:rFonts w:ascii="Times New Roman" w:cs="Times New Roman" w:eastAsia="Times New Roman" w:hAnsi="Times New Roman"/>
          <w:sz w:val="22"/>
          <w:szCs w:val="22"/>
          <w:color w:val="auto"/>
        </w:rPr>
      </w:pPr>
    </w:p>
    <w:p>
      <w:pPr>
        <w:ind w:left="180" w:right="140" w:firstLine="652"/>
        <w:spacing w:after="0" w:line="225" w:lineRule="auto"/>
        <w:tabs>
          <w:tab w:leader="none" w:pos="147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is hereby waived: diligence, presentment, demand of payment, filing of claims with a court in the event of insolvency or bankruptcy of the Issuer, any right to require a proceeding first against the Issuer, protest, notice and all demands whatsoever.</w:t>
      </w:r>
    </w:p>
    <w:p>
      <w:pPr>
        <w:spacing w:after="0" w:line="152" w:lineRule="exact"/>
        <w:rPr>
          <w:rFonts w:ascii="Times New Roman" w:cs="Times New Roman" w:eastAsia="Times New Roman" w:hAnsi="Times New Roman"/>
          <w:sz w:val="22"/>
          <w:szCs w:val="22"/>
          <w:color w:val="auto"/>
        </w:rPr>
      </w:pPr>
    </w:p>
    <w:p>
      <w:pPr>
        <w:ind w:left="180" w:right="140" w:firstLine="652"/>
        <w:spacing w:after="0" w:line="225" w:lineRule="auto"/>
        <w:tabs>
          <w:tab w:leader="none" w:pos="147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Guarantee shall not be discharged except by complete performance of the obligations contained in the Notes, the Indenture and this Supplemental Indenture, and each Guaranteeing Subsidiary accepts all obligations of a Guarantor under the Indenture.</w:t>
      </w:r>
    </w:p>
    <w:p>
      <w:pPr>
        <w:spacing w:after="0" w:line="152" w:lineRule="exact"/>
        <w:rPr>
          <w:rFonts w:ascii="Times New Roman" w:cs="Times New Roman" w:eastAsia="Times New Roman" w:hAnsi="Times New Roman"/>
          <w:sz w:val="22"/>
          <w:szCs w:val="22"/>
          <w:color w:val="auto"/>
        </w:rPr>
      </w:pPr>
    </w:p>
    <w:p>
      <w:pPr>
        <w:ind w:left="180" w:right="100" w:firstLine="652"/>
        <w:spacing w:after="0" w:line="220" w:lineRule="auto"/>
        <w:tabs>
          <w:tab w:leader="none" w:pos="147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Holder or the Trustee is required by any court or otherwise to return to the Issuer, the Guarantors (including the Guaranteeing Subsidiaries), or any custodian, trustee, liquidator or other similar official acting in relation to either the Issuer or the Guarantors, any amount paid either to the Trustee or such Holder, this Guarantee, to the extent theretofore discharged, shall be reinstated in full force and effect.</w:t>
      </w:r>
    </w:p>
    <w:p>
      <w:pPr>
        <w:spacing w:after="0" w:line="152" w:lineRule="exact"/>
        <w:rPr>
          <w:rFonts w:ascii="Times New Roman" w:cs="Times New Roman" w:eastAsia="Times New Roman" w:hAnsi="Times New Roman"/>
          <w:sz w:val="22"/>
          <w:szCs w:val="22"/>
          <w:color w:val="auto"/>
        </w:rPr>
      </w:pPr>
    </w:p>
    <w:p>
      <w:pPr>
        <w:ind w:left="180" w:right="80" w:firstLine="652"/>
        <w:spacing w:after="0" w:line="255" w:lineRule="auto"/>
        <w:tabs>
          <w:tab w:leader="none" w:pos="147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Guaranteeing Subsidiary shall not be entitled to any right of subrogation in relation to the Holders in respect of any obligations guaranteed hereby until payment in full of all obligations guaranteed hereby.</w:t>
      </w:r>
    </w:p>
    <w:p>
      <w:pPr>
        <w:spacing w:after="0" w:line="134" w:lineRule="exact"/>
        <w:rPr>
          <w:rFonts w:ascii="Times New Roman" w:cs="Times New Roman" w:eastAsia="Times New Roman" w:hAnsi="Times New Roman"/>
          <w:sz w:val="21"/>
          <w:szCs w:val="21"/>
          <w:color w:val="auto"/>
        </w:rPr>
      </w:pPr>
    </w:p>
    <w:p>
      <w:pPr>
        <w:ind w:left="180" w:firstLine="652"/>
        <w:spacing w:after="0" w:line="213" w:lineRule="auto"/>
        <w:tabs>
          <w:tab w:leader="none" w:pos="147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the Guaranteeing Subsidiaries, on the one hand, and the Holders and the Trustee, on the other hand, (x) the maturity of the obligations guaranteed hereby may be accelerated as provided in Article 6 of the Indenture for the purposes of this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Guaranteeing Subsidiaries for the purpose of this Guarantee.</w:t>
      </w:r>
    </w:p>
    <w:p>
      <w:pPr>
        <w:spacing w:after="0" w:line="156" w:lineRule="exact"/>
        <w:rPr>
          <w:rFonts w:ascii="Times New Roman" w:cs="Times New Roman" w:eastAsia="Times New Roman" w:hAnsi="Times New Roman"/>
          <w:sz w:val="22"/>
          <w:szCs w:val="22"/>
          <w:color w:val="auto"/>
        </w:rPr>
      </w:pPr>
    </w:p>
    <w:p>
      <w:pPr>
        <w:ind w:left="180" w:right="460" w:firstLine="652"/>
        <w:spacing w:after="0" w:line="255" w:lineRule="auto"/>
        <w:tabs>
          <w:tab w:leader="none" w:pos="1471"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Guaranteeing Subsidiary shall have the right to seek contribution from any non-paying Guarantor so long as the exercise of such right does not impair the rights of the Holders under this Guarantee.</w:t>
      </w:r>
    </w:p>
    <w:p>
      <w:pPr>
        <w:spacing w:after="0" w:line="134" w:lineRule="exact"/>
        <w:rPr>
          <w:rFonts w:ascii="Times New Roman" w:cs="Times New Roman" w:eastAsia="Times New Roman" w:hAnsi="Times New Roman"/>
          <w:sz w:val="21"/>
          <w:szCs w:val="21"/>
          <w:color w:val="auto"/>
        </w:rPr>
      </w:pPr>
    </w:p>
    <w:p>
      <w:pPr>
        <w:ind w:left="180" w:right="60" w:firstLine="652"/>
        <w:spacing w:after="0" w:line="220" w:lineRule="auto"/>
        <w:tabs>
          <w:tab w:leader="none" w:pos="146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10.02 of the Indenture, after giving effect to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120"/>
          </w:cols>
          <w:pgMar w:left="1440" w:top="1395" w:right="339" w:bottom="1440" w:gutter="0" w:footer="0" w:header="0"/>
        </w:sectPr>
      </w:pPr>
    </w:p>
    <w:bookmarkStart w:id="59" w:name="page60"/>
    <w:bookmarkEnd w:id="59"/>
    <w:p>
      <w:pPr>
        <w:ind w:left="180" w:right="40"/>
        <w:spacing w:after="0" w:line="225" w:lineRule="auto"/>
        <w:rPr>
          <w:sz w:val="20"/>
          <w:szCs w:val="20"/>
          <w:color w:val="auto"/>
        </w:rPr>
      </w:pPr>
      <w:r>
        <w:rPr>
          <w:rFonts w:ascii="Times New Roman" w:cs="Times New Roman" w:eastAsia="Times New Roman" w:hAnsi="Times New Roman"/>
          <w:sz w:val="22"/>
          <w:szCs w:val="22"/>
          <w:color w:val="auto"/>
        </w:rPr>
        <w:t>under Article 10 of the Indenture, this new Guarantee shall be limited to the maximum amount permissible such that the obligations of such Guaranteeing Subsidiary under this Guarantee will not constitute a fraudulent transfer or conveyance.</w:t>
      </w:r>
    </w:p>
    <w:p>
      <w:pPr>
        <w:spacing w:after="0" w:line="152" w:lineRule="exact"/>
        <w:rPr>
          <w:sz w:val="20"/>
          <w:szCs w:val="20"/>
          <w:color w:val="auto"/>
        </w:rPr>
      </w:pPr>
    </w:p>
    <w:p>
      <w:pPr>
        <w:ind w:left="180" w:firstLine="652"/>
        <w:spacing w:after="0" w:line="211" w:lineRule="auto"/>
        <w:tabs>
          <w:tab w:leader="none" w:pos="146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and Guarantee, whether as a “voidable preference,” “fraudulent transfer” or otherwise, all as though such payment or performance had not been made. In the event that any payment or any part thereof, is rescinded, reduced, restored or returned, the Note shall, to the fullest extent permitted by law, be reinstated and deemed reduced only by such amount paid and not so rescinded, reduced, restored or returned.</w:t>
      </w:r>
    </w:p>
    <w:p>
      <w:pPr>
        <w:spacing w:after="0" w:line="151" w:lineRule="exact"/>
        <w:rPr>
          <w:rFonts w:ascii="Times New Roman" w:cs="Times New Roman" w:eastAsia="Times New Roman" w:hAnsi="Times New Roman"/>
          <w:sz w:val="22"/>
          <w:szCs w:val="22"/>
          <w:color w:val="auto"/>
        </w:rPr>
      </w:pPr>
    </w:p>
    <w:p>
      <w:pPr>
        <w:jc w:val="both"/>
        <w:ind w:left="180" w:right="520" w:firstLine="652"/>
        <w:spacing w:after="0" w:line="255" w:lineRule="auto"/>
        <w:tabs>
          <w:tab w:leader="none" w:pos="1471"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any provision of this Guarantee shall be invalid, illegal or unenforceable, the validity, legality, and enforceability of the remaining provisions shall not in any way be affected or impaired thereby.</w:t>
      </w:r>
    </w:p>
    <w:p>
      <w:pPr>
        <w:spacing w:after="0" w:line="134" w:lineRule="exact"/>
        <w:rPr>
          <w:rFonts w:ascii="Times New Roman" w:cs="Times New Roman" w:eastAsia="Times New Roman" w:hAnsi="Times New Roman"/>
          <w:sz w:val="21"/>
          <w:szCs w:val="21"/>
          <w:color w:val="auto"/>
        </w:rPr>
      </w:pPr>
    </w:p>
    <w:p>
      <w:pPr>
        <w:ind w:left="180" w:right="320" w:firstLine="652"/>
        <w:spacing w:after="0" w:line="255" w:lineRule="auto"/>
        <w:tabs>
          <w:tab w:leader="none" w:pos="1464"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Guarantee shall be a general unsecured senior obligation of such Guaranteeing Subsidiary, ranking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any other future Senior Indebtedness of such Guaranteeing Subsidiary, if any.</w:t>
      </w:r>
    </w:p>
    <w:p>
      <w:pPr>
        <w:spacing w:after="0" w:line="134" w:lineRule="exact"/>
        <w:rPr>
          <w:rFonts w:ascii="Times New Roman" w:cs="Times New Roman" w:eastAsia="Times New Roman" w:hAnsi="Times New Roman"/>
          <w:sz w:val="21"/>
          <w:szCs w:val="21"/>
          <w:color w:val="auto"/>
        </w:rPr>
      </w:pPr>
    </w:p>
    <w:p>
      <w:pPr>
        <w:ind w:left="180" w:right="280" w:firstLine="652"/>
        <w:spacing w:after="0" w:line="236" w:lineRule="auto"/>
        <w:tabs>
          <w:tab w:leader="none" w:pos="146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to be made by the Guaranteeing Subsidiaries in respect of this Guarantee shall be made without set-off, counterclaim, reduction or diminution of any kind or nature.</w:t>
      </w:r>
    </w:p>
    <w:p>
      <w:pPr>
        <w:spacing w:after="0" w:line="150" w:lineRule="exact"/>
        <w:rPr>
          <w:rFonts w:ascii="Times New Roman" w:cs="Times New Roman" w:eastAsia="Times New Roman" w:hAnsi="Times New Roman"/>
          <w:sz w:val="22"/>
          <w:szCs w:val="22"/>
          <w:color w:val="auto"/>
        </w:rPr>
      </w:pPr>
    </w:p>
    <w:p>
      <w:pPr>
        <w:ind w:left="-460" w:firstLine="644"/>
        <w:spacing w:after="0" w:line="236" w:lineRule="auto"/>
        <w:tabs>
          <w:tab w:leader="none" w:pos="83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and Delivery</w:t>
      </w:r>
      <w:r>
        <w:rPr>
          <w:rFonts w:ascii="Times New Roman" w:cs="Times New Roman" w:eastAsia="Times New Roman" w:hAnsi="Times New Roman"/>
          <w:sz w:val="22"/>
          <w:szCs w:val="22"/>
          <w:color w:val="auto"/>
        </w:rPr>
        <w:t>. Each Guaranteeing Subsidiary agrees that the Guarantee shall remain in full force and effect notwithstanding the absence of the endorsement of any notation of such Guarantee on the Notes.</w:t>
      </w:r>
    </w:p>
    <w:p>
      <w:pPr>
        <w:spacing w:after="0" w:line="150"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 Consolidation or Sale of All or Substantially All Assets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80" w:right="280" w:firstLine="652"/>
        <w:spacing w:after="0" w:line="231" w:lineRule="auto"/>
        <w:tabs>
          <w:tab w:leader="none" w:pos="1473"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Section 5.01(c) of the Indenture, each Guaranteeing Subsidiary may not consolidate or merge with or into or wind up into (whether or not the Issuer or such Guaranteeing Subsidiary is the surviving corporation), or sell, assign, transfer, lease, convey or otherwise dispose of all or substantially all of its properties or assets, in one or more related transactions, to any Person unless:</w:t>
      </w:r>
    </w:p>
    <w:p>
      <w:pPr>
        <w:spacing w:after="0" w:line="150" w:lineRule="exact"/>
        <w:rPr>
          <w:rFonts w:ascii="Times New Roman" w:cs="Times New Roman" w:eastAsia="Times New Roman" w:hAnsi="Times New Roman"/>
          <w:sz w:val="21"/>
          <w:szCs w:val="21"/>
          <w:color w:val="auto"/>
        </w:rPr>
      </w:pPr>
    </w:p>
    <w:p>
      <w:pPr>
        <w:ind w:left="840" w:right="80" w:firstLine="640"/>
        <w:spacing w:after="0" w:line="215" w:lineRule="auto"/>
        <w:tabs>
          <w:tab w:leader="none" w:pos="2124"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Guaranteeing Subsidiary is the surviving corporation or the Person formed by or surviving any such consolidation or merger (if other than such Guaranteeing Subsidiary) or to which such sale, assignment, transfer, lease, conveyance or other disposition will have been made is a corporation, partnership, limited partnership, limited liability company or trust organized or existing under the laws of the jurisdiction of organization of such Guaranteeing Subsidiary, as the case may be, or the laws of the United States, any state thereof, the District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040"/>
          </w:cols>
          <w:pgMar w:left="1440" w:top="1395" w:right="419" w:bottom="1440" w:gutter="0" w:footer="0" w:header="0"/>
        </w:sectPr>
      </w:pPr>
    </w:p>
    <w:bookmarkStart w:id="60" w:name="page61"/>
    <w:bookmarkEnd w:id="60"/>
    <w:p>
      <w:pPr>
        <w:ind w:left="840"/>
        <w:spacing w:after="0" w:line="236" w:lineRule="auto"/>
        <w:rPr>
          <w:sz w:val="20"/>
          <w:szCs w:val="20"/>
          <w:color w:val="auto"/>
        </w:rPr>
      </w:pPr>
      <w:r>
        <w:rPr>
          <w:rFonts w:ascii="Times New Roman" w:cs="Times New Roman" w:eastAsia="Times New Roman" w:hAnsi="Times New Roman"/>
          <w:sz w:val="22"/>
          <w:szCs w:val="22"/>
          <w:color w:val="auto"/>
        </w:rPr>
        <w:t>Columbia, or any territory thereof (such Guaranteeing Subsidiary or such Person, as the case may be, being herein called the “</w:t>
      </w:r>
      <w:r>
        <w:rPr>
          <w:rFonts w:ascii="Times New Roman" w:cs="Times New Roman" w:eastAsia="Times New Roman" w:hAnsi="Times New Roman"/>
          <w:sz w:val="22"/>
          <w:szCs w:val="22"/>
          <w:u w:val="single" w:color="auto"/>
          <w:color w:val="auto"/>
        </w:rPr>
        <w:t>Successor Person</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480" w:right="40" w:firstLine="648"/>
        <w:spacing w:after="0" w:line="220" w:lineRule="auto"/>
        <w:tabs>
          <w:tab w:leader="none" w:pos="2765" w:val="left"/>
        </w:tabs>
        <w:numPr>
          <w:ilvl w:val="3"/>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Person, if other than such Guaranteeing Subsidiary, expressly assumes all the obligations of such Guaranteeing Subsidiary under the Indenture and such Guaranteeing Subsidiary’s related Guarantee pursuant to supplemental indentures or other documents or instruments in form reasonably satisfactory to the Trustee;</w:t>
      </w:r>
    </w:p>
    <w:p>
      <w:pPr>
        <w:spacing w:after="0" w:line="152" w:lineRule="exact"/>
        <w:rPr>
          <w:rFonts w:ascii="Times New Roman" w:cs="Times New Roman" w:eastAsia="Times New Roman" w:hAnsi="Times New Roman"/>
          <w:sz w:val="22"/>
          <w:szCs w:val="22"/>
          <w:color w:val="auto"/>
        </w:rPr>
      </w:pPr>
    </w:p>
    <w:p>
      <w:pPr>
        <w:ind w:left="2760" w:hanging="632"/>
        <w:spacing w:after="0"/>
        <w:tabs>
          <w:tab w:leader="none" w:pos="2760" w:val="left"/>
        </w:tabs>
        <w:numPr>
          <w:ilvl w:val="3"/>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such transaction, no Default exists; and</w:t>
      </w:r>
    </w:p>
    <w:p>
      <w:pPr>
        <w:spacing w:after="0" w:line="179" w:lineRule="exact"/>
        <w:rPr>
          <w:rFonts w:ascii="Times New Roman" w:cs="Times New Roman" w:eastAsia="Times New Roman" w:hAnsi="Times New Roman"/>
          <w:sz w:val="22"/>
          <w:szCs w:val="22"/>
          <w:color w:val="auto"/>
        </w:rPr>
      </w:pPr>
    </w:p>
    <w:p>
      <w:pPr>
        <w:ind w:left="1480" w:right="60" w:firstLine="648"/>
        <w:spacing w:after="0" w:line="225" w:lineRule="auto"/>
        <w:tabs>
          <w:tab w:leader="none" w:pos="2767" w:val="left"/>
        </w:tabs>
        <w:numPr>
          <w:ilvl w:val="3"/>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have delivered to the Trustee an Officers’ Certificate and an Opinion of Counsel, each stating that such consolidation, merger or transfer and such supplemental indentures, if any, comply with the Indenture; or</w:t>
      </w:r>
    </w:p>
    <w:p>
      <w:pPr>
        <w:spacing w:after="0" w:line="152" w:lineRule="exact"/>
        <w:rPr>
          <w:rFonts w:ascii="Times New Roman" w:cs="Times New Roman" w:eastAsia="Times New Roman" w:hAnsi="Times New Roman"/>
          <w:sz w:val="22"/>
          <w:szCs w:val="22"/>
          <w:color w:val="auto"/>
        </w:rPr>
      </w:pPr>
    </w:p>
    <w:p>
      <w:pPr>
        <w:ind w:left="2120" w:hanging="640"/>
        <w:spacing w:after="0"/>
        <w:tabs>
          <w:tab w:leader="none" w:pos="2120"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is made in compliance with Section 4.10 of the Indenture;</w:t>
      </w:r>
    </w:p>
    <w:p>
      <w:pPr>
        <w:spacing w:after="0" w:line="179" w:lineRule="exact"/>
        <w:rPr>
          <w:rFonts w:ascii="Times New Roman" w:cs="Times New Roman" w:eastAsia="Times New Roman" w:hAnsi="Times New Roman"/>
          <w:sz w:val="22"/>
          <w:szCs w:val="22"/>
          <w:color w:val="auto"/>
        </w:rPr>
      </w:pPr>
    </w:p>
    <w:p>
      <w:pPr>
        <w:ind w:left="180" w:right="100" w:firstLine="652"/>
        <w:spacing w:after="0" w:line="220" w:lineRule="auto"/>
        <w:tabs>
          <w:tab w:leader="none" w:pos="147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certain limitations described in the Indenture, the Successor Person will succeed to, and be substituted for, such Guaranteeing Subsidiary under the Indenture and such Guaranteeing Subsidiary’s Guarantee. Notwithstanding the foregoing, such Guaranteeing Subsidiary may merge into or transfer all or part of its properties and assets to another Guarantor or the Issuer.</w:t>
      </w:r>
    </w:p>
    <w:p>
      <w:pPr>
        <w:spacing w:after="0" w:line="152" w:lineRule="exact"/>
        <w:rPr>
          <w:rFonts w:ascii="Times New Roman" w:cs="Times New Roman" w:eastAsia="Times New Roman" w:hAnsi="Times New Roman"/>
          <w:sz w:val="22"/>
          <w:szCs w:val="22"/>
          <w:color w:val="auto"/>
        </w:rPr>
      </w:pPr>
    </w:p>
    <w:p>
      <w:pPr>
        <w:ind w:left="-460" w:right="240" w:firstLine="644"/>
        <w:spacing w:after="0" w:line="225" w:lineRule="auto"/>
        <w:tabs>
          <w:tab w:leader="none" w:pos="83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Releases</w:t>
      </w:r>
      <w:r>
        <w:rPr>
          <w:rFonts w:ascii="Times New Roman" w:cs="Times New Roman" w:eastAsia="Times New Roman" w:hAnsi="Times New Roman"/>
          <w:sz w:val="22"/>
          <w:szCs w:val="22"/>
          <w:color w:val="auto"/>
        </w:rPr>
        <w:t>. The Guarantee of each Guaranteeing Subsidiary shall be automatically and unconditionally released and discharged, and no further action by such Guaranteeing Subsidiary, the Issuer or the Trustee is required for the release of such Guaranteeing Subsidiary’s Guarantee, upon:</w:t>
      </w:r>
    </w:p>
    <w:p>
      <w:pPr>
        <w:spacing w:after="0" w:line="152" w:lineRule="exact"/>
        <w:rPr>
          <w:rFonts w:ascii="Times New Roman" w:cs="Times New Roman" w:eastAsia="Times New Roman" w:hAnsi="Times New Roman"/>
          <w:sz w:val="22"/>
          <w:szCs w:val="22"/>
          <w:color w:val="auto"/>
        </w:rPr>
      </w:pPr>
    </w:p>
    <w:p>
      <w:pPr>
        <w:ind w:left="180" w:right="120" w:firstLine="652"/>
        <w:spacing w:after="0" w:line="220" w:lineRule="auto"/>
        <w:tabs>
          <w:tab w:leader="none" w:pos="1473"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sale, exchange or transfer (by merger or otherwise) of the Capital Stock of such Guaranteeing Subsidiary (including any sale, exchange or transfer), after which such Guaranteeing Subsidiary is no longer a Restricted Subsidiary or all or substantially all the assets of such Guaranteeing Subsidiary which sale, exchange or transfer is made in compliance with the applicable provisions of the Indenture;</w:t>
      </w:r>
    </w:p>
    <w:p>
      <w:pPr>
        <w:spacing w:after="0" w:line="152" w:lineRule="exact"/>
        <w:rPr>
          <w:rFonts w:ascii="Times New Roman" w:cs="Times New Roman" w:eastAsia="Times New Roman" w:hAnsi="Times New Roman"/>
          <w:sz w:val="22"/>
          <w:szCs w:val="22"/>
          <w:color w:val="auto"/>
        </w:rPr>
      </w:pPr>
    </w:p>
    <w:p>
      <w:pPr>
        <w:jc w:val="both"/>
        <w:ind w:left="840" w:right="160" w:firstLine="640"/>
        <w:spacing w:after="0" w:line="225" w:lineRule="auto"/>
        <w:tabs>
          <w:tab w:leader="none" w:pos="2124"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 or discharge of the guarantee by such Guaranteeing Subsidiary of the guarantee which resulted in the creation of the Guarantee, except a discharge or release by or as a result of payment under such guarantee;</w:t>
      </w:r>
    </w:p>
    <w:p>
      <w:pPr>
        <w:spacing w:after="0" w:line="152" w:lineRule="exact"/>
        <w:rPr>
          <w:sz w:val="20"/>
          <w:szCs w:val="20"/>
          <w:color w:val="auto"/>
        </w:rPr>
      </w:pPr>
    </w:p>
    <w:p>
      <w:pPr>
        <w:ind w:left="2120" w:hanging="640"/>
        <w:spacing w:after="0"/>
        <w:tabs>
          <w:tab w:leader="none" w:pos="212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proper designation of such Guaranteeing Subsidiary as an Unrestricted Subsidiary; or</w:t>
      </w:r>
    </w:p>
    <w:p>
      <w:pPr>
        <w:spacing w:after="0" w:line="179" w:lineRule="exact"/>
        <w:rPr>
          <w:rFonts w:ascii="Times New Roman" w:cs="Times New Roman" w:eastAsia="Times New Roman" w:hAnsi="Times New Roman"/>
          <w:sz w:val="22"/>
          <w:szCs w:val="22"/>
          <w:color w:val="auto"/>
        </w:rPr>
      </w:pPr>
    </w:p>
    <w:p>
      <w:pPr>
        <w:ind w:left="840" w:right="80" w:firstLine="640"/>
        <w:spacing w:after="0" w:line="225" w:lineRule="auto"/>
        <w:tabs>
          <w:tab w:leader="none" w:pos="213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exercising its Legal Defeasance option or Covenant Defeasance option in accordance with Article 8 of the Indenture or the Issuer’s obligations under the Indenture being discharged in accordance with the terms of the Indenture; and</w:t>
      </w:r>
    </w:p>
    <w:p>
      <w:pPr>
        <w:spacing w:after="0" w:line="152" w:lineRule="exact"/>
        <w:rPr>
          <w:rFonts w:ascii="Times New Roman" w:cs="Times New Roman" w:eastAsia="Times New Roman" w:hAnsi="Times New Roman"/>
          <w:sz w:val="22"/>
          <w:szCs w:val="22"/>
          <w:color w:val="auto"/>
        </w:rPr>
      </w:pPr>
    </w:p>
    <w:p>
      <w:pPr>
        <w:ind w:left="180" w:right="220" w:firstLine="652"/>
        <w:spacing w:after="0" w:line="236" w:lineRule="auto"/>
        <w:tabs>
          <w:tab w:leader="none" w:pos="147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Guaranteeing Subsidiary delivering to the Trustee an Officers’ Certificate and an Opinion of Counsel, each stating that all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20"/>
          </w:cols>
          <w:pgMar w:left="1440" w:top="1395" w:right="339" w:bottom="1440" w:gutter="0" w:footer="0" w:header="0"/>
        </w:sectPr>
      </w:pPr>
    </w:p>
    <w:bookmarkStart w:id="61" w:name="page62"/>
    <w:bookmarkEnd w:id="61"/>
    <w:p>
      <w:pPr>
        <w:ind w:left="1300"/>
        <w:spacing w:after="0"/>
        <w:rPr>
          <w:sz w:val="20"/>
          <w:szCs w:val="20"/>
          <w:color w:val="auto"/>
        </w:rPr>
      </w:pPr>
      <w:r>
        <w:rPr>
          <w:rFonts w:ascii="Times New Roman" w:cs="Times New Roman" w:eastAsia="Times New Roman" w:hAnsi="Times New Roman"/>
          <w:sz w:val="22"/>
          <w:szCs w:val="22"/>
          <w:color w:val="auto"/>
        </w:rPr>
        <w:t>precedent provided for in the Indenture relating to such transaction have been complied with.</w:t>
      </w:r>
    </w:p>
    <w:p>
      <w:pPr>
        <w:spacing w:after="0" w:line="179" w:lineRule="exact"/>
        <w:rPr>
          <w:sz w:val="20"/>
          <w:szCs w:val="20"/>
          <w:color w:val="auto"/>
        </w:rPr>
      </w:pPr>
    </w:p>
    <w:p>
      <w:pPr>
        <w:ind w:left="660" w:right="200" w:firstLine="644"/>
        <w:spacing w:after="0" w:line="217" w:lineRule="auto"/>
        <w:tabs>
          <w:tab w:leader="none" w:pos="195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Recourse Against Others</w:t>
      </w:r>
      <w:r>
        <w:rPr>
          <w:rFonts w:ascii="Times New Roman" w:cs="Times New Roman" w:eastAsia="Times New Roman" w:hAnsi="Times New Roman"/>
          <w:sz w:val="22"/>
          <w:szCs w:val="22"/>
          <w:color w:val="auto"/>
        </w:rPr>
        <w:t>. No director, officer, employee, incorporator or stockholder of the Guaranteeing Subsidiaries shall have any liability for any obligations of the Issuer or the Guarantors (including the Guaranteeing Subsidiaries) under the Notes, any Guarantees, the Indenture or this Supplemental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152" w:lineRule="exact"/>
        <w:rPr>
          <w:rFonts w:ascii="Times New Roman" w:cs="Times New Roman" w:eastAsia="Times New Roman" w:hAnsi="Times New Roman"/>
          <w:sz w:val="22"/>
          <w:szCs w:val="22"/>
          <w:color w:val="auto"/>
        </w:rPr>
      </w:pPr>
    </w:p>
    <w:p>
      <w:pPr>
        <w:ind w:left="660" w:right="1300" w:firstLine="644"/>
        <w:spacing w:after="0" w:line="236" w:lineRule="auto"/>
        <w:tabs>
          <w:tab w:leader="none" w:pos="195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WILL BE GOVERNED BY AND CONSTRUED IN ACCORDANCE WITH THE LAWS OF THE STATE OF NEW YORK.</w:t>
      </w:r>
    </w:p>
    <w:p>
      <w:pPr>
        <w:spacing w:after="0" w:line="150" w:lineRule="exact"/>
        <w:rPr>
          <w:rFonts w:ascii="Times New Roman" w:cs="Times New Roman" w:eastAsia="Times New Roman" w:hAnsi="Times New Roman"/>
          <w:sz w:val="22"/>
          <w:szCs w:val="22"/>
          <w:color w:val="auto"/>
        </w:rPr>
      </w:pPr>
    </w:p>
    <w:p>
      <w:pPr>
        <w:ind w:left="660" w:right="460" w:firstLine="644"/>
        <w:spacing w:after="0" w:line="236" w:lineRule="auto"/>
        <w:tabs>
          <w:tab w:leader="none" w:pos="195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The parties may sign any number of copies of this Supplemental Indenture. Each signed copy shall be an original, but all of them together represent the same agreement.</w:t>
      </w:r>
    </w:p>
    <w:p>
      <w:pPr>
        <w:spacing w:after="0" w:line="150" w:lineRule="exact"/>
        <w:rPr>
          <w:sz w:val="20"/>
          <w:szCs w:val="20"/>
          <w:color w:val="auto"/>
        </w:rPr>
      </w:pPr>
    </w:p>
    <w:p>
      <w:pPr>
        <w:ind w:firstLine="1296"/>
        <w:spacing w:after="0" w:line="218" w:lineRule="auto"/>
        <w:rPr>
          <w:sz w:val="20"/>
          <w:szCs w:val="20"/>
          <w:color w:val="auto"/>
        </w:rPr>
      </w:pPr>
      <w:r>
        <w:rPr>
          <w:rFonts w:ascii="Times New Roman" w:cs="Times New Roman" w:eastAsia="Times New Roman" w:hAnsi="Times New Roman"/>
          <w:sz w:val="21"/>
          <w:szCs w:val="21"/>
          <w:color w:val="auto"/>
        </w:rPr>
        <w:t>The words “execution,” “signed,” “signature,” and words of like import in this Supplemental Indenture shall include images of manually executed signatures transmitted by facsimile or other electronic format (including, without limitation, “pdf”, “tif” or “jpg”) and other electronic signatures (including, without limitation, DocuSign and Adobe Sign or any other electronic process or digital signature provider as specified in writing to the Trustee and agreed to by the Trustee in its sole discretion).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Anything in this Supplemental Indenture or the Notes to the contrary notwithstanding, each party agrees that for the purposes of the transactions contemplated by this Supplemental Indenture, the Notes and any document to be signed in connection with the Indenture or the Notes (including the Notes and amendments, supplements, waivers, consents and other modifications, Officers’ Certificates, Issuer Orders and Opinions of Counsel) or the transactions contemplated hereby may be signed by manual signatures that are scanned, photocopied or faxed or other electronic signatures created on an electronic platform, such as DocuSign, or by digital signature, such as Adobe Sign, (or any other electronic process or digital signature provider as specified in writing to the Trustee and agreed to by the Trustee in its sole discretion),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83" w:lineRule="exact"/>
        <w:rPr>
          <w:sz w:val="20"/>
          <w:szCs w:val="20"/>
          <w:color w:val="auto"/>
        </w:rPr>
      </w:pPr>
    </w:p>
    <w:p>
      <w:pPr>
        <w:ind w:left="660" w:right="900" w:firstLine="644"/>
        <w:spacing w:after="0" w:line="236" w:lineRule="auto"/>
        <w:tabs>
          <w:tab w:leader="none" w:pos="195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headings herein are for convenience only and shall not affect the construction hereof.</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25" w:lineRule="auto"/>
        <w:tabs>
          <w:tab w:leader="none" w:pos="195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Trustee</w:t>
      </w:r>
      <w:r>
        <w:rPr>
          <w:rFonts w:ascii="Times New Roman" w:cs="Times New Roman" w:eastAsia="Times New Roman" w:hAnsi="Times New Roman"/>
          <w:sz w:val="22"/>
          <w:szCs w:val="22"/>
          <w:color w:val="auto"/>
        </w:rPr>
        <w:t>. The Trustee shall not be responsible in any manner whatsoever for or in respect of the validity or sufficiency of this Supplemental Indenture or for or in respect of the recitals contained herein, all of which recitals are made solely by each Guaranteeing Subsidiary.</w:t>
      </w:r>
    </w:p>
    <w:p>
      <w:pPr>
        <w:spacing w:after="0" w:line="152" w:lineRule="exact"/>
        <w:rPr>
          <w:rFonts w:ascii="Times New Roman" w:cs="Times New Roman" w:eastAsia="Times New Roman" w:hAnsi="Times New Roman"/>
          <w:sz w:val="22"/>
          <w:szCs w:val="22"/>
          <w:color w:val="auto"/>
        </w:rPr>
      </w:pPr>
    </w:p>
    <w:p>
      <w:pPr>
        <w:ind w:left="660" w:right="320" w:firstLine="644"/>
        <w:spacing w:after="0" w:line="236" w:lineRule="auto"/>
        <w:tabs>
          <w:tab w:leader="none" w:pos="194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Each Guaranteeing Subsidiary shall be subrogated to all rights of Holders of Notes against the Issuer in respect of any amounts paid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62" w:name="page63"/>
    <w:bookmarkEnd w:id="62"/>
    <w:p>
      <w:pPr>
        <w:spacing w:after="0" w:line="220" w:lineRule="auto"/>
        <w:rPr>
          <w:sz w:val="20"/>
          <w:szCs w:val="20"/>
          <w:color w:val="auto"/>
        </w:rPr>
      </w:pPr>
      <w:r>
        <w:rPr>
          <w:rFonts w:ascii="Times New Roman" w:cs="Times New Roman" w:eastAsia="Times New Roman" w:hAnsi="Times New Roman"/>
          <w:sz w:val="22"/>
          <w:szCs w:val="22"/>
          <w:color w:val="auto"/>
        </w:rPr>
        <w:t xml:space="preserve">Guaranteeing Subsidiary pursuant to the provisions of Section 2 hereof and Section 10.01 of 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 Event of Default has occurred and is continuing, such Guaranteeing Subsidiary shall not be entitled to enforce or receive any payments arising out of, or based upon, such right of subrogation until all amounts then due and payable by the Issuer under the Indenture or the Notes shall have been paid in full.</w:t>
      </w:r>
    </w:p>
    <w:p>
      <w:pPr>
        <w:spacing w:after="0" w:line="152" w:lineRule="exact"/>
        <w:rPr>
          <w:sz w:val="20"/>
          <w:szCs w:val="20"/>
          <w:color w:val="auto"/>
        </w:rPr>
      </w:pPr>
    </w:p>
    <w:p>
      <w:pPr>
        <w:ind w:right="40" w:firstLine="644"/>
        <w:spacing w:after="0" w:line="231" w:lineRule="auto"/>
        <w:tabs>
          <w:tab w:leader="none" w:pos="129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 Acknowledged</w:t>
      </w:r>
      <w:r>
        <w:rPr>
          <w:rFonts w:ascii="Times New Roman" w:cs="Times New Roman" w:eastAsia="Times New Roman" w:hAnsi="Times New Roman"/>
          <w:sz w:val="21"/>
          <w:szCs w:val="21"/>
          <w:color w:val="auto"/>
        </w:rPr>
        <w:t>.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150" w:lineRule="exact"/>
        <w:rPr>
          <w:rFonts w:ascii="Times New Roman" w:cs="Times New Roman" w:eastAsia="Times New Roman" w:hAnsi="Times New Roman"/>
          <w:sz w:val="21"/>
          <w:szCs w:val="21"/>
          <w:color w:val="auto"/>
        </w:rPr>
      </w:pPr>
    </w:p>
    <w:p>
      <w:pPr>
        <w:jc w:val="both"/>
        <w:ind w:right="280" w:firstLine="644"/>
        <w:spacing w:after="0" w:line="225" w:lineRule="auto"/>
        <w:tabs>
          <w:tab w:leader="none" w:pos="129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All agreements of the Guaranteeing Subsidiaries in this Supplemental Indenture shall bind their Successors, except as otherwise provided in Section 2(k) hereof or elsewhere in this Supplemental Indenture. All agreements of the Trustee in this Supplemental Indenture shall bind its successors.</w:t>
      </w:r>
    </w:p>
    <w:p>
      <w:pPr>
        <w:spacing w:after="0" w:line="14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480"/>
          </w:cols>
          <w:pgMar w:left="980" w:top="1395" w:right="43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caused this Supplemental Indenture to be duly executed, all as of the date first above written.</w:t>
      </w:r>
    </w:p>
    <w:p>
      <w:pPr>
        <w:spacing w:after="0" w:line="1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NEXT LEVEL HOSPITALITY SERVICES, LLC</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Aramark Healthcare Support Services, LLC, its sole member</w:t>
      </w:r>
    </w:p>
    <w:p>
      <w:pPr>
        <w:spacing w:after="0" w:line="2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/S/ JAMES J. TARANGELO</w:t>
      </w:r>
    </w:p>
    <w:p>
      <w:pPr>
        <w:spacing w:after="0" w:line="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James J. Tarangelo</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NEXT LEVEL PEO, LLC</w:t>
      </w:r>
    </w:p>
    <w:p>
      <w:pPr>
        <w:spacing w:after="0" w:line="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NLAL HOSPITALITY LLC</w:t>
      </w:r>
    </w:p>
    <w:p>
      <w:pPr>
        <w:ind w:left="3900"/>
        <w:spacing w:after="0"/>
        <w:rPr>
          <w:sz w:val="20"/>
          <w:szCs w:val="20"/>
          <w:color w:val="auto"/>
        </w:rPr>
      </w:pPr>
      <w:r>
        <w:rPr>
          <w:rFonts w:ascii="Times New Roman" w:cs="Times New Roman" w:eastAsia="Times New Roman" w:hAnsi="Times New Roman"/>
          <w:sz w:val="20"/>
          <w:szCs w:val="20"/>
          <w:b w:val="1"/>
          <w:bCs w:val="1"/>
          <w:color w:val="auto"/>
        </w:rPr>
        <w:t>NLNC HOSPITALITY LLC</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NLPA HOSPITALITY LLC</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NLSD HOSPITALITY LLC</w:t>
      </w:r>
    </w:p>
    <w:p>
      <w:pPr>
        <w:ind w:left="4540"/>
        <w:spacing w:after="0"/>
        <w:rPr>
          <w:sz w:val="20"/>
          <w:szCs w:val="20"/>
          <w:color w:val="auto"/>
        </w:rPr>
      </w:pPr>
      <w:r>
        <w:rPr>
          <w:rFonts w:ascii="Times New Roman" w:cs="Times New Roman" w:eastAsia="Times New Roman" w:hAnsi="Times New Roman"/>
          <w:sz w:val="20"/>
          <w:szCs w:val="20"/>
          <w:color w:val="auto"/>
        </w:rPr>
        <w:t>by Next Level Hospitality Services, LLC, its sole member</w:t>
      </w:r>
    </w:p>
    <w:p>
      <w:pPr>
        <w:spacing w:after="0" w:line="2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-6985</wp:posOffset>
            </wp:positionV>
            <wp:extent cx="16357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635760" cy="8255"/>
                    </a:xfrm>
                    <a:prstGeom prst="rect">
                      <a:avLst/>
                    </a:prstGeom>
                    <a:noFill/>
                  </pic:spPr>
                </pic:pic>
              </a:graphicData>
            </a:graphic>
          </wp:anchor>
        </w:drawing>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James J. Tarangelo</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UNION SUPPLY GROUP, INC.</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UNION SUPPLY COMMISSARY SOLUTIONS, INC.</w:t>
      </w:r>
    </w:p>
    <w:p>
      <w:pPr>
        <w:spacing w:after="0" w:line="26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JAMES J. TARANGELO</w:t>
      </w:r>
    </w:p>
    <w:p>
      <w:pPr>
        <w:spacing w:after="0" w:line="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James J. Tarangelo</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6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-10795</wp:posOffset>
            </wp:positionV>
            <wp:extent cx="13995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Thomas G. Ondrof</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U.S. BANK TRUST COMPANY, NATIONAL ASSOCIATION</w:t>
      </w:r>
      <w:r>
        <w:rPr>
          <w:rFonts w:ascii="Times New Roman" w:cs="Times New Roman" w:eastAsia="Times New Roman" w:hAnsi="Times New Roman"/>
          <w:sz w:val="22"/>
          <w:szCs w:val="22"/>
          <w:color w:val="auto"/>
        </w:rPr>
        <w:t>, as Trustee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00"/>
        <w:spacing w:after="0"/>
        <w:tabs>
          <w:tab w:leader="none" w:pos="46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GREGORY P. GUIM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6459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4120"/>
        <w:spacing w:after="0" w:line="204" w:lineRule="auto"/>
        <w:rPr>
          <w:sz w:val="20"/>
          <w:szCs w:val="20"/>
          <w:color w:val="auto"/>
        </w:rPr>
      </w:pPr>
      <w:r>
        <w:rPr>
          <w:rFonts w:ascii="Times New Roman" w:cs="Times New Roman" w:eastAsia="Times New Roman" w:hAnsi="Times New Roman"/>
          <w:sz w:val="22"/>
          <w:szCs w:val="22"/>
          <w:color w:val="auto"/>
        </w:rPr>
        <w:t>Name: Gregory P. Guim</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2028 Notes Supplemental Indenture</w:t>
      </w:r>
      <w:r>
        <w:rPr>
          <w:rFonts w:ascii="Times New Roman" w:cs="Times New Roman" w:eastAsia="Times New Roman" w:hAnsi="Times New Roman"/>
          <w:sz w:val="22"/>
          <w:szCs w:val="22"/>
          <w:color w:val="auto"/>
        </w:rPr>
        <w:t>]</w:t>
      </w:r>
    </w:p>
    <w:p>
      <w:pPr>
        <w:sectPr>
          <w:pgSz w:w="11900" w:h="16838" w:orient="portrait"/>
          <w:cols w:equalWidth="0" w:num="1">
            <w:col w:w="11000"/>
          </w:cols>
          <w:pgMar w:left="320" w:top="100" w:right="579" w:bottom="144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Guaranteeing Subsidiaries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6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7240" w:type="dxa"/>
            <w:vAlign w:val="bottom"/>
            <w:tcBorders>
              <w:top w:val="single" w:sz="8" w:color="auto"/>
              <w:bottom w:val="single" w:sz="8" w:color="auto"/>
              <w:right w:val="single" w:sz="8" w:color="auto"/>
            </w:tcBorders>
          </w:tcPr>
          <w:p>
            <w:pPr>
              <w:ind w:left="3020"/>
              <w:spacing w:after="0"/>
              <w:rPr>
                <w:sz w:val="20"/>
                <w:szCs w:val="20"/>
                <w:color w:val="auto"/>
              </w:rPr>
            </w:pPr>
            <w:r>
              <w:rPr>
                <w:rFonts w:ascii="Times New Roman" w:cs="Times New Roman" w:eastAsia="Times New Roman" w:hAnsi="Times New Roman"/>
                <w:sz w:val="22"/>
                <w:szCs w:val="22"/>
                <w:b w:val="1"/>
                <w:bCs w:val="1"/>
                <w:color w:val="auto"/>
              </w:rPr>
              <w:t>Entity Name</w:t>
            </w:r>
          </w:p>
        </w:tc>
        <w:tc>
          <w:tcPr>
            <w:tcW w:w="23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Jurisdiction</w:t>
            </w:r>
          </w:p>
        </w:tc>
      </w:tr>
      <w:tr>
        <w:trPr>
          <w:trHeight w:val="264"/>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Union Supply Group, Inc.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California</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Union Supply Commissary Solutions, Inc.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California</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Next Level Hospitality Services,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Next Level PEO,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NLAL Hospitality,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NLNC Hospitality,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4"/>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NLPA Hospitality,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164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7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NLSD Hospitality, LLC</w:t>
            </w:r>
          </w:p>
        </w:tc>
        <w:tc>
          <w:tcPr>
            <w:tcW w:w="2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r>
    </w:tbl>
    <w:p>
      <w:pPr>
        <w:sectPr>
          <w:pgSz w:w="11900" w:h="16838" w:orient="portrait"/>
          <w:cols w:equalWidth="0" w:num="1">
            <w:col w:w="11260"/>
          </w:cols>
          <w:pgMar w:left="320" w:top="1391" w:right="31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JOINDER AGREEMENT</w:t>
      </w:r>
    </w:p>
    <w:p>
      <w:pPr>
        <w:spacing w:after="0" w:line="200" w:lineRule="exact"/>
        <w:rPr>
          <w:sz w:val="20"/>
          <w:szCs w:val="20"/>
          <w:color w:val="auto"/>
        </w:rPr>
      </w:pPr>
    </w:p>
    <w:p>
      <w:pPr>
        <w:spacing w:after="0" w:line="209"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THIS JOINDER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November 18, 2022, is entered into between each of the entities listed on Schedule I attached hereto, (each a “</w:t>
      </w:r>
      <w:r>
        <w:rPr>
          <w:rFonts w:ascii="Times New Roman" w:cs="Times New Roman" w:eastAsia="Times New Roman" w:hAnsi="Times New Roman"/>
          <w:sz w:val="20"/>
          <w:szCs w:val="20"/>
          <w:u w:val="single" w:color="auto"/>
          <w:color w:val="auto"/>
        </w:rPr>
        <w:t>New Subsidiary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New Subsidiaries</w:t>
      </w:r>
      <w:r>
        <w:rPr>
          <w:rFonts w:ascii="Times New Roman" w:cs="Times New Roman" w:eastAsia="Times New Roman" w:hAnsi="Times New Roman"/>
          <w:sz w:val="20"/>
          <w:szCs w:val="20"/>
          <w:color w:val="auto"/>
        </w:rPr>
        <w:t>”) and JPMORGAN CHASE</w:t>
      </w:r>
    </w:p>
    <w:p>
      <w:pPr>
        <w:spacing w:after="0" w:line="212" w:lineRule="auto"/>
        <w:rPr>
          <w:sz w:val="20"/>
          <w:szCs w:val="20"/>
          <w:color w:val="auto"/>
        </w:rPr>
      </w:pPr>
      <w:r>
        <w:rPr>
          <w:rFonts w:ascii="Times New Roman" w:cs="Times New Roman" w:eastAsia="Times New Roman" w:hAnsi="Times New Roman"/>
          <w:sz w:val="20"/>
          <w:szCs w:val="20"/>
          <w:color w:val="auto"/>
        </w:rPr>
        <w:t>BANK, N.A., as Agent, under that certain Credit Agreement dated as of March 28, 2017 (as may be amended, supplemented or otherwise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modified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among ARAMARK SERVICES, INC., a Delaware corporation (the “</w:t>
      </w:r>
      <w:r>
        <w:rPr>
          <w:rFonts w:ascii="Times New Roman" w:cs="Times New Roman" w:eastAsia="Times New Roman" w:hAnsi="Times New Roman"/>
          <w:sz w:val="19"/>
          <w:szCs w:val="19"/>
          <w:u w:val="single" w:color="auto"/>
          <w:color w:val="auto"/>
        </w:rPr>
        <w:t>U.S. Borrower</w:t>
      </w:r>
      <w:r>
        <w:rPr>
          <w:rFonts w:ascii="Times New Roman" w:cs="Times New Roman" w:eastAsia="Times New Roman" w:hAnsi="Times New Roman"/>
          <w:sz w:val="19"/>
          <w:szCs w:val="19"/>
          <w:color w:val="auto"/>
        </w:rPr>
        <w:t>”), ARAMARK CANADA LTD., a company organized under the laws of Canada (the “</w:t>
      </w:r>
      <w:r>
        <w:rPr>
          <w:rFonts w:ascii="Times New Roman" w:cs="Times New Roman" w:eastAsia="Times New Roman" w:hAnsi="Times New Roman"/>
          <w:sz w:val="19"/>
          <w:szCs w:val="19"/>
          <w:u w:val="single" w:color="auto"/>
          <w:color w:val="auto"/>
        </w:rPr>
        <w:t>Canadian Borrower</w:t>
      </w:r>
      <w:r>
        <w:rPr>
          <w:rFonts w:ascii="Times New Roman" w:cs="Times New Roman" w:eastAsia="Times New Roman" w:hAnsi="Times New Roman"/>
          <w:sz w:val="19"/>
          <w:szCs w:val="19"/>
          <w:color w:val="auto"/>
        </w:rPr>
        <w:t>”), ARAMARK INVESTMENTS</w:t>
      </w:r>
    </w:p>
    <w:p>
      <w:pPr>
        <w:spacing w:after="0" w:line="211" w:lineRule="auto"/>
        <w:rPr>
          <w:sz w:val="20"/>
          <w:szCs w:val="20"/>
          <w:color w:val="auto"/>
        </w:rPr>
      </w:pPr>
      <w:r>
        <w:rPr>
          <w:rFonts w:ascii="Times New Roman" w:cs="Times New Roman" w:eastAsia="Times New Roman" w:hAnsi="Times New Roman"/>
          <w:sz w:val="20"/>
          <w:szCs w:val="20"/>
          <w:color w:val="auto"/>
        </w:rPr>
        <w:t>LIMITED, a limited company incorporated under the laws of England and Wales, ARAMARK LIMITED, a limited company incorporated</w:t>
      </w:r>
    </w:p>
    <w:p>
      <w:pPr>
        <w:spacing w:after="0" w:line="215" w:lineRule="auto"/>
        <w:rPr>
          <w:sz w:val="20"/>
          <w:szCs w:val="20"/>
          <w:color w:val="auto"/>
        </w:rPr>
      </w:pPr>
      <w:r>
        <w:rPr>
          <w:rFonts w:ascii="Times New Roman" w:cs="Times New Roman" w:eastAsia="Times New Roman" w:hAnsi="Times New Roman"/>
          <w:sz w:val="19"/>
          <w:szCs w:val="19"/>
          <w:color w:val="auto"/>
        </w:rPr>
        <w:t>under the laws of England and Wales, (together with Aramark Investments Limited, the “</w:t>
      </w:r>
      <w:r>
        <w:rPr>
          <w:rFonts w:ascii="Times New Roman" w:cs="Times New Roman" w:eastAsia="Times New Roman" w:hAnsi="Times New Roman"/>
          <w:sz w:val="19"/>
          <w:szCs w:val="19"/>
          <w:u w:val="single" w:color="auto"/>
          <w:color w:val="auto"/>
        </w:rPr>
        <w:t>U.K. Borrowers</w:t>
      </w:r>
      <w:r>
        <w:rPr>
          <w:rFonts w:ascii="Times New Roman" w:cs="Times New Roman" w:eastAsia="Times New Roman" w:hAnsi="Times New Roman"/>
          <w:sz w:val="19"/>
          <w:szCs w:val="19"/>
          <w:color w:val="auto"/>
        </w:rPr>
        <w:t>” and each a “</w:t>
      </w:r>
      <w:r>
        <w:rPr>
          <w:rFonts w:ascii="Times New Roman" w:cs="Times New Roman" w:eastAsia="Times New Roman" w:hAnsi="Times New Roman"/>
          <w:sz w:val="19"/>
          <w:szCs w:val="19"/>
          <w:u w:val="single" w:color="auto"/>
          <w:color w:val="auto"/>
        </w:rPr>
        <w:t>U.K. Borrower</w:t>
      </w:r>
      <w:r>
        <w:rPr>
          <w:rFonts w:ascii="Times New Roman" w:cs="Times New Roman" w:eastAsia="Times New Roman" w:hAnsi="Times New Roman"/>
          <w:sz w:val="19"/>
          <w:szCs w:val="19"/>
          <w:color w:val="auto"/>
        </w:rPr>
        <w:t>”), ARAMARK IRELAND HOLDINGS LIMITED, a company incorporated under the laws of Ireland, ARAMARK REGIONAL TREASURY</w:t>
      </w:r>
    </w:p>
    <w:p>
      <w:pPr>
        <w:spacing w:after="0" w:line="211" w:lineRule="auto"/>
        <w:rPr>
          <w:sz w:val="20"/>
          <w:szCs w:val="20"/>
          <w:color w:val="auto"/>
        </w:rPr>
      </w:pPr>
      <w:r>
        <w:rPr>
          <w:rFonts w:ascii="Times New Roman" w:cs="Times New Roman" w:eastAsia="Times New Roman" w:hAnsi="Times New Roman"/>
          <w:sz w:val="20"/>
          <w:szCs w:val="20"/>
          <w:color w:val="auto"/>
        </w:rPr>
        <w:t>EUROPE, DESIGNATED ACTIVITY COMPANY, a company incorporated under the laws of Ireland (together with Aramark Ireland</w:t>
      </w:r>
    </w:p>
    <w:p>
      <w:pPr>
        <w:spacing w:after="0" w:line="204" w:lineRule="auto"/>
        <w:rPr>
          <w:sz w:val="20"/>
          <w:szCs w:val="20"/>
          <w:color w:val="auto"/>
        </w:rPr>
      </w:pPr>
      <w:r>
        <w:rPr>
          <w:rFonts w:ascii="Times New Roman" w:cs="Times New Roman" w:eastAsia="Times New Roman" w:hAnsi="Times New Roman"/>
          <w:sz w:val="20"/>
          <w:szCs w:val="20"/>
          <w:color w:val="auto"/>
        </w:rPr>
        <w:t>Holdings Limited, the “</w:t>
      </w:r>
      <w:r>
        <w:rPr>
          <w:rFonts w:ascii="Times New Roman" w:cs="Times New Roman" w:eastAsia="Times New Roman" w:hAnsi="Times New Roman"/>
          <w:sz w:val="20"/>
          <w:szCs w:val="20"/>
          <w:u w:val="single" w:color="auto"/>
          <w:color w:val="auto"/>
        </w:rPr>
        <w:t>Irish Borrowers</w:t>
      </w:r>
      <w:r>
        <w:rPr>
          <w:rFonts w:ascii="Times New Roman" w:cs="Times New Roman" w:eastAsia="Times New Roman" w:hAnsi="Times New Roman"/>
          <w:sz w:val="20"/>
          <w:szCs w:val="20"/>
          <w:color w:val="auto"/>
        </w:rPr>
        <w:t>” and each an “</w:t>
      </w:r>
      <w:r>
        <w:rPr>
          <w:rFonts w:ascii="Times New Roman" w:cs="Times New Roman" w:eastAsia="Times New Roman" w:hAnsi="Times New Roman"/>
          <w:sz w:val="20"/>
          <w:szCs w:val="20"/>
          <w:u w:val="single" w:color="auto"/>
          <w:color w:val="auto"/>
        </w:rPr>
        <w:t>Irish Borrower</w:t>
      </w:r>
      <w:r>
        <w:rPr>
          <w:rFonts w:ascii="Times New Roman" w:cs="Times New Roman" w:eastAsia="Times New Roman" w:hAnsi="Times New Roman"/>
          <w:sz w:val="20"/>
          <w:szCs w:val="20"/>
          <w:color w:val="auto"/>
        </w:rPr>
        <w:t xml:space="preserve">”), ARAMARK HOLDING DEUTSCHLAND GMBH (as successor by merger to ARAMARK HOLDINGS GMBH &amp; CO. KG), a limited partnership </w:t>
      </w:r>
      <w:r>
        <w:rPr>
          <w:rFonts w:ascii="Times New Roman" w:cs="Times New Roman" w:eastAsia="Times New Roman" w:hAnsi="Times New Roman"/>
          <w:sz w:val="20"/>
          <w:szCs w:val="20"/>
          <w:i w:val="1"/>
          <w:iCs w:val="1"/>
          <w:color w:val="auto"/>
        </w:rPr>
        <w:t>(Kommanditgesellschaft)</w:t>
      </w:r>
      <w:r>
        <w:rPr>
          <w:rFonts w:ascii="Times New Roman" w:cs="Times New Roman" w:eastAsia="Times New Roman" w:hAnsi="Times New Roman"/>
          <w:sz w:val="20"/>
          <w:szCs w:val="20"/>
          <w:color w:val="auto"/>
        </w:rPr>
        <w:t xml:space="preserve"> established under the laws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Germany (the “</w:t>
      </w:r>
      <w:r>
        <w:rPr>
          <w:rFonts w:ascii="Times New Roman" w:cs="Times New Roman" w:eastAsia="Times New Roman" w:hAnsi="Times New Roman"/>
          <w:sz w:val="20"/>
          <w:szCs w:val="20"/>
          <w:u w:val="single" w:color="auto"/>
          <w:color w:val="auto"/>
        </w:rPr>
        <w:t>German Borrower</w:t>
      </w:r>
      <w:r>
        <w:rPr>
          <w:rFonts w:ascii="Times New Roman" w:cs="Times New Roman" w:eastAsia="Times New Roman" w:hAnsi="Times New Roman"/>
          <w:sz w:val="20"/>
          <w:szCs w:val="20"/>
          <w:color w:val="auto"/>
        </w:rPr>
        <w:t>”) and Aramark International Finance S.à r.l., a private limited liability company (</w:t>
      </w:r>
      <w:r>
        <w:rPr>
          <w:rFonts w:ascii="Times New Roman" w:cs="Times New Roman" w:eastAsia="Times New Roman" w:hAnsi="Times New Roman"/>
          <w:sz w:val="20"/>
          <w:szCs w:val="20"/>
          <w:i w:val="1"/>
          <w:iCs w:val="1"/>
          <w:color w:val="auto"/>
        </w:rPr>
        <w:t>société à responsabilité</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limitée</w:t>
      </w:r>
      <w:r>
        <w:rPr>
          <w:rFonts w:ascii="Times New Roman" w:cs="Times New Roman" w:eastAsia="Times New Roman" w:hAnsi="Times New Roman"/>
          <w:sz w:val="20"/>
          <w:szCs w:val="20"/>
          <w:color w:val="auto"/>
        </w:rPr>
        <w:t>) incorporated under the laws of the Grand Duchy of Luxembourg (“</w:t>
      </w:r>
      <w:r>
        <w:rPr>
          <w:rFonts w:ascii="Times New Roman" w:cs="Times New Roman" w:eastAsia="Times New Roman" w:hAnsi="Times New Roman"/>
          <w:sz w:val="20"/>
          <w:szCs w:val="20"/>
          <w:u w:val="single" w:color="auto"/>
          <w:color w:val="auto"/>
        </w:rPr>
        <w:t>Luxembourg</w:t>
      </w:r>
      <w:r>
        <w:rPr>
          <w:rFonts w:ascii="Times New Roman" w:cs="Times New Roman" w:eastAsia="Times New Roman" w:hAnsi="Times New Roman"/>
          <w:sz w:val="20"/>
          <w:szCs w:val="20"/>
          <w:color w:val="auto"/>
        </w:rPr>
        <w:t>”) having its registered office at 57, rue des Trois</w:t>
      </w:r>
    </w:p>
    <w:p>
      <w:pPr>
        <w:spacing w:after="0" w:line="211" w:lineRule="auto"/>
        <w:rPr>
          <w:sz w:val="20"/>
          <w:szCs w:val="20"/>
          <w:color w:val="auto"/>
        </w:rPr>
      </w:pPr>
      <w:r>
        <w:rPr>
          <w:rFonts w:ascii="Times New Roman" w:cs="Times New Roman" w:eastAsia="Times New Roman" w:hAnsi="Times New Roman"/>
          <w:sz w:val="20"/>
          <w:szCs w:val="20"/>
          <w:color w:val="auto"/>
        </w:rPr>
        <w:t>Cantons, L-3961 Ehlange/Mezz., Luxembourg and registered with the Luxembourg trade and companies register (</w:t>
      </w:r>
      <w:r>
        <w:rPr>
          <w:rFonts w:ascii="Times New Roman" w:cs="Times New Roman" w:eastAsia="Times New Roman" w:hAnsi="Times New Roman"/>
          <w:sz w:val="20"/>
          <w:szCs w:val="20"/>
          <w:i w:val="1"/>
          <w:iCs w:val="1"/>
          <w:color w:val="auto"/>
        </w:rPr>
        <w:t>Registre de commerce et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i w:val="1"/>
          <w:iCs w:val="1"/>
          <w:color w:val="auto"/>
        </w:rPr>
        <w:t>des sociétés, Luxembourg</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u w:val="single" w:color="auto"/>
          <w:color w:val="auto"/>
        </w:rPr>
        <w:t>Luxembourg Register</w:t>
      </w:r>
      <w:r>
        <w:rPr>
          <w:rFonts w:ascii="Times New Roman" w:cs="Times New Roman" w:eastAsia="Times New Roman" w:hAnsi="Times New Roman"/>
          <w:sz w:val="19"/>
          <w:szCs w:val="19"/>
          <w:color w:val="auto"/>
        </w:rPr>
        <w:t>”) under number B 213360 (the “</w:t>
      </w:r>
      <w:r>
        <w:rPr>
          <w:rFonts w:ascii="Times New Roman" w:cs="Times New Roman" w:eastAsia="Times New Roman" w:hAnsi="Times New Roman"/>
          <w:sz w:val="19"/>
          <w:szCs w:val="19"/>
          <w:u w:val="single" w:color="auto"/>
          <w:color w:val="auto"/>
        </w:rPr>
        <w:t>Lux Borrower</w:t>
      </w:r>
      <w:r>
        <w:rPr>
          <w:rFonts w:ascii="Times New Roman" w:cs="Times New Roman" w:eastAsia="Times New Roman" w:hAnsi="Times New Roman"/>
          <w:sz w:val="19"/>
          <w:szCs w:val="19"/>
          <w:color w:val="auto"/>
        </w:rPr>
        <w:t>” and, together with the U.S. Borrower,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Canadian Borrower, the U.K. Borrowers, the Irish Borrowers, the German Borrower and any Additional Foreign Borrower, the</w:t>
      </w:r>
    </w:p>
    <w:p>
      <w:pPr>
        <w:spacing w:after="0" w:line="21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ARAMARK INTERMEDIATE HOLDCO CORPORATION,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each Subsidiary of</w:t>
      </w:r>
    </w:p>
    <w:p>
      <w:pPr>
        <w:spacing w:after="0" w:line="204" w:lineRule="auto"/>
        <w:rPr>
          <w:sz w:val="20"/>
          <w:szCs w:val="20"/>
          <w:color w:val="auto"/>
        </w:rPr>
      </w:pPr>
      <w:r>
        <w:rPr>
          <w:rFonts w:ascii="Times New Roman" w:cs="Times New Roman" w:eastAsia="Times New Roman" w:hAnsi="Times New Roman"/>
          <w:sz w:val="20"/>
          <w:szCs w:val="20"/>
          <w:color w:val="auto"/>
        </w:rPr>
        <w:t>ARAMARK that, from time to time, becomes a party thereto, the Lenders (as defined in Article I of the Credit Agreement), the Issuing Banks named therein, and JPMORGAN CHASE BANK, N.A., as administrative agent for the Lenders and collateral agent for the Secured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Parties thereunder (in such capacities, together with its successors and assigns in such capacities,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and the other parties thereto from time to time. Capitalized terms used but not defined herein shall have the meanings assigned to such term in the Credit Agreement.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New Subsidiaries and the Agent, for the benefit of the Lenders, hereby agree as follows:</w:t>
      </w:r>
    </w:p>
    <w:p>
      <w:pPr>
        <w:spacing w:after="0" w:line="189" w:lineRule="exact"/>
        <w:rPr>
          <w:sz w:val="20"/>
          <w:szCs w:val="20"/>
          <w:color w:val="auto"/>
        </w:rPr>
      </w:pPr>
    </w:p>
    <w:p>
      <w:pPr>
        <w:jc w:val="both"/>
        <w:ind w:firstLine="1304"/>
        <w:spacing w:after="0" w:line="215" w:lineRule="auto"/>
        <w:tabs>
          <w:tab w:leader="none" w:pos="171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New Subsidiary hereby acknowledges, agrees and confirms that, by its execution of this Agreement, such New Subsidiary will be deemed to be a Loan Party under the Credit Agreement and a Loan Guarantor for all purposes of the Credit Agreement and shall have all of the obligations of a Loan Party and a Loan Guarantor thereunder as if it had executed the Credit Agreement. Each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(to the extent made or deemed made on or after the effective date hereof), (b) all of the covenants set forth in Articles V and VI of the Credit Agreement applicable to it and (c) all of the guaranty obligations set forth in Article X of the Credit Agreement.</w:t>
      </w:r>
    </w:p>
    <w:p>
      <w:pPr>
        <w:spacing w:after="0" w:line="164" w:lineRule="exact"/>
        <w:rPr>
          <w:rFonts w:ascii="Times New Roman" w:cs="Times New Roman" w:eastAsia="Times New Roman" w:hAnsi="Times New Roman"/>
          <w:sz w:val="20"/>
          <w:szCs w:val="20"/>
          <w:color w:val="auto"/>
        </w:rPr>
      </w:pPr>
    </w:p>
    <w:p>
      <w:pPr>
        <w:ind w:firstLine="1304"/>
        <w:spacing w:after="0" w:line="251" w:lineRule="auto"/>
        <w:tabs>
          <w:tab w:leader="none" w:pos="1648"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required, each New Subsidiary is, simultaneously with the execution of this Agreement, executing and delivering such Collateral Documents (and such other documents and instruments) as requested by the Agent in accordance with the Credit Agreement.</w:t>
      </w:r>
    </w:p>
    <w:p>
      <w:pPr>
        <w:spacing w:after="0" w:line="150" w:lineRule="exact"/>
        <w:rPr>
          <w:rFonts w:ascii="Times New Roman" w:cs="Times New Roman" w:eastAsia="Times New Roman" w:hAnsi="Times New Roman"/>
          <w:sz w:val="19"/>
          <w:szCs w:val="19"/>
          <w:color w:val="auto"/>
        </w:rPr>
      </w:pPr>
    </w:p>
    <w:p>
      <w:pPr>
        <w:ind w:right="20" w:firstLine="1304"/>
        <w:spacing w:after="0"/>
        <w:tabs>
          <w:tab w:leader="none" w:pos="166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New Subsidiary hereby waives acceptance by the Agent and the Lenders of the guaranty by such New Subsidiary upon the execution of this Agreement by such New Subsidiary.</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64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any number of counterparts, each of which when so executed and delivered shall be an original, but all of which shall constitute one and the same</w:t>
      </w:r>
    </w:p>
    <w:p>
      <w:pPr>
        <w:sectPr>
          <w:pgSz w:w="11900" w:h="16838" w:orient="portrait"/>
          <w:cols w:equalWidth="0" w:num="1">
            <w:col w:w="11240"/>
          </w:cols>
          <w:pgMar w:left="320" w:top="100" w:right="339" w:bottom="1440" w:gutter="0" w:footer="0" w:header="0"/>
        </w:sectPr>
      </w:pPr>
    </w:p>
    <w:bookmarkStart w:id="66" w:name="page67"/>
    <w:bookmarkEnd w:id="66"/>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instrument. Delivery of an executed counterpart of a signature page of this Agreement by facsimile, scan, photograph or other electronic</w:t>
      </w:r>
    </w:p>
    <w:p>
      <w:pPr>
        <w:spacing w:after="0" w:line="204" w:lineRule="auto"/>
        <w:rPr>
          <w:sz w:val="20"/>
          <w:szCs w:val="20"/>
          <w:color w:val="auto"/>
        </w:rPr>
      </w:pPr>
      <w:r>
        <w:rPr>
          <w:rFonts w:ascii="Times New Roman" w:cs="Times New Roman" w:eastAsia="Times New Roman" w:hAnsi="Times New Roman"/>
          <w:sz w:val="20"/>
          <w:szCs w:val="20"/>
          <w:color w:val="auto"/>
        </w:rPr>
        <w:t>transmission shall be effective as delivery of a manually executed counterpart hereof. The words “execution,” “signed,” “signature,” “delivery,” and words of like import in or relating to this Agreement and/or any document to be signed in connection with this Agreement</w:t>
      </w:r>
    </w:p>
    <w:p>
      <w:pPr>
        <w:spacing w:after="0" w:line="211" w:lineRule="auto"/>
        <w:rPr>
          <w:sz w:val="20"/>
          <w:szCs w:val="20"/>
          <w:color w:val="auto"/>
        </w:rPr>
      </w:pPr>
      <w:r>
        <w:rPr>
          <w:rFonts w:ascii="Times New Roman" w:cs="Times New Roman" w:eastAsia="Times New Roman" w:hAnsi="Times New Roman"/>
          <w:sz w:val="20"/>
          <w:szCs w:val="20"/>
          <w:color w:val="auto"/>
        </w:rPr>
        <w:t>and the transactions contemplated hereby shall be deemed to include Electronic Signatures (as defined below), deliveries or the keeping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records in electronic form,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9"/>
          <w:szCs w:val="19"/>
          <w:u w:val="single" w:color="auto"/>
          <w:color w:val="auto"/>
        </w:rPr>
        <w:t>Electronic Signatures</w:t>
      </w:r>
      <w:r>
        <w:rPr>
          <w:rFonts w:ascii="Times New Roman" w:cs="Times New Roman" w:eastAsia="Times New Roman" w:hAnsi="Times New Roman"/>
          <w:sz w:val="19"/>
          <w:szCs w:val="19"/>
          <w:color w:val="auto"/>
        </w:rPr>
        <w:t>” means any electronic</w:t>
      </w:r>
    </w:p>
    <w:p>
      <w:pPr>
        <w:ind w:right="20"/>
        <w:spacing w:after="0" w:line="228" w:lineRule="auto"/>
        <w:rPr>
          <w:sz w:val="20"/>
          <w:szCs w:val="20"/>
          <w:color w:val="auto"/>
        </w:rPr>
      </w:pPr>
      <w:r>
        <w:rPr>
          <w:rFonts w:ascii="Times New Roman" w:cs="Times New Roman" w:eastAsia="Times New Roman" w:hAnsi="Times New Roman"/>
          <w:sz w:val="20"/>
          <w:szCs w:val="20"/>
          <w:color w:val="auto"/>
        </w:rPr>
        <w:t>symbol or process attached to, or associated with, any contract or other record and adopted by a person with the intent to sign, authenticate or accept such contract or record.</w:t>
      </w:r>
    </w:p>
    <w:p>
      <w:pPr>
        <w:spacing w:after="0" w:line="149" w:lineRule="exact"/>
        <w:rPr>
          <w:sz w:val="20"/>
          <w:szCs w:val="20"/>
          <w:color w:val="auto"/>
        </w:rPr>
      </w:pPr>
    </w:p>
    <w:p>
      <w:pPr>
        <w:ind w:firstLine="1304"/>
        <w:spacing w:after="0"/>
        <w:tabs>
          <w:tab w:leader="none" w:pos="17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RIGHTS AND OBLIGATIONS OF THE PARTIES HEREUNDER SHALL BE CONSTRUED IN ACCORDANCE WITH AND GOVERNED BY THE LAWS OF THE STATE OF NEW YORK.</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9"/>
          <w:szCs w:val="19"/>
          <w:color w:val="auto"/>
        </w:rPr>
        <w:t>IN WITNESS WHEREOF, each New Subsidiary has caused this Agreement to be duly executed by its authorized officer, and the Agent, for the benefit of the Lenders, has caused the same to be accepted by its authorized officer, as of the day and year first above written.</w:t>
      </w:r>
    </w:p>
    <w:p>
      <w:pPr>
        <w:spacing w:after="0" w:line="36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UNION SUPPLY GROUP, INC.</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 /S/ JAMES J. TARANGELO</w:t>
      </w:r>
    </w:p>
    <w:p>
      <w:pPr>
        <w:spacing w:after="0" w:line="1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1257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20"/>
          <w:szCs w:val="20"/>
          <w:color w:val="auto"/>
        </w:rPr>
        <w:t>Title: Treasurer</w:t>
      </w:r>
    </w:p>
    <w:p>
      <w:pPr>
        <w:spacing w:after="0" w:line="16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UNION SUPPLY COMMISSARY SOLUTIONS, INC.</w:t>
      </w:r>
    </w:p>
    <w:p>
      <w:pPr>
        <w:spacing w:after="0" w:line="17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 /S/ JAMES J. TARANGELO</w:t>
      </w:r>
    </w:p>
    <w:p>
      <w:pPr>
        <w:spacing w:after="0" w:line="1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1257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20"/>
          <w:szCs w:val="20"/>
          <w:color w:val="auto"/>
        </w:rPr>
        <w:t>Title: Treasurer</w:t>
      </w:r>
    </w:p>
    <w:p>
      <w:pPr>
        <w:spacing w:after="0" w:line="16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NEXT LEVEL HOSPITALITY SERVICES, LLC</w:t>
      </w:r>
    </w:p>
    <w:p>
      <w:pPr>
        <w:spacing w:after="0" w:line="17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 /S/ JAMES J. TARANGELO</w:t>
      </w:r>
    </w:p>
    <w:p>
      <w:pPr>
        <w:spacing w:after="0" w:line="1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1257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20"/>
          <w:szCs w:val="20"/>
          <w:color w:val="auto"/>
        </w:rPr>
        <w:t>Title: Treasurer</w:t>
      </w:r>
    </w:p>
    <w:p>
      <w:pPr>
        <w:spacing w:after="0" w:line="16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NEXT LEVEL PEO, LLC</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 /S/ JAMES J. TARANGELO</w:t>
      </w:r>
    </w:p>
    <w:p>
      <w:pPr>
        <w:spacing w:after="0" w:line="1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-135890</wp:posOffset>
            </wp:positionV>
            <wp:extent cx="1257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20"/>
          <w:szCs w:val="20"/>
          <w:color w:val="auto"/>
        </w:rPr>
        <w:t>Title: Treasurer</w:t>
      </w:r>
    </w:p>
    <w:p>
      <w:pPr>
        <w:spacing w:after="0" w:line="15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NLAL HOSPITALITY LLC</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 /S/ JAMES J. TARANGELO</w:t>
      </w:r>
    </w:p>
    <w:p>
      <w:pPr>
        <w:spacing w:after="0" w:line="1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1257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20"/>
          <w:szCs w:val="20"/>
          <w:color w:val="auto"/>
        </w:rPr>
        <w:t>Title: Treasurer</w:t>
      </w:r>
    </w:p>
    <w:p>
      <w:pPr>
        <w:spacing w:after="0" w:line="16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NLNC HOSPITALITY LLC</w:t>
      </w:r>
    </w:p>
    <w:p>
      <w:pPr>
        <w:spacing w:after="0" w:line="17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 /S/ JAMES J. TARANGELO</w:t>
      </w:r>
    </w:p>
    <w:p>
      <w:pPr>
        <w:spacing w:after="0" w:line="1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1257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NLPA HOSPITALITY LLC</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 /S/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108585</wp:posOffset>
            </wp:positionV>
            <wp:extent cx="1257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9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Name: James J. Tarangelo</w:t>
      </w:r>
    </w:p>
    <w:p>
      <w:pPr>
        <w:ind w:left="3440"/>
        <w:spacing w:after="0"/>
        <w:rPr>
          <w:sz w:val="20"/>
          <w:szCs w:val="20"/>
          <w:color w:val="auto"/>
        </w:rPr>
      </w:pPr>
      <w:r>
        <w:rPr>
          <w:rFonts w:ascii="Times New Roman" w:cs="Times New Roman" w:eastAsia="Times New Roman" w:hAnsi="Times New Roman"/>
          <w:sz w:val="20"/>
          <w:szCs w:val="20"/>
          <w:color w:val="auto"/>
        </w:rPr>
        <w:t>Title: Treasurer</w:t>
      </w:r>
    </w:p>
    <w:p>
      <w:pPr>
        <w:spacing w:after="0" w:line="15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NLSD HOSPITALITY LLC</w:t>
      </w:r>
    </w:p>
    <w:p>
      <w:pPr>
        <w:spacing w:after="0" w:line="18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9"/>
          <w:szCs w:val="19"/>
          <w:color w:val="auto"/>
        </w:rPr>
        <w:t>By: /S/ JAMES J. TARANGELO</w:t>
      </w:r>
    </w:p>
    <w:p>
      <w:pPr>
        <w:spacing w:after="0" w:line="16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Name: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-127635</wp:posOffset>
            </wp:positionV>
            <wp:extent cx="1257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440"/>
        <w:spacing w:after="0"/>
        <w:rPr>
          <w:sz w:val="20"/>
          <w:szCs w:val="20"/>
          <w:color w:val="auto"/>
        </w:rPr>
      </w:pPr>
      <w:r>
        <w:rPr>
          <w:rFonts w:ascii="Times New Roman" w:cs="Times New Roman" w:eastAsia="Times New Roman" w:hAnsi="Times New Roman"/>
          <w:sz w:val="20"/>
          <w:szCs w:val="20"/>
          <w:color w:val="auto"/>
        </w:rPr>
        <w:t>Title: Treasurer</w:t>
      </w:r>
    </w:p>
    <w:p>
      <w:pPr>
        <w:sectPr>
          <w:pgSz w:w="11900" w:h="16838" w:orient="portrait"/>
          <w:cols w:equalWidth="0" w:num="1">
            <w:col w:w="9019"/>
          </w:cols>
          <w:pgMar w:left="1440" w:top="1440" w:right="1440" w:bottom="1440" w:gutter="0" w:footer="0" w:header="0"/>
        </w:sectPr>
      </w:pPr>
    </w:p>
    <w:bookmarkStart w:id="69" w:name="page70"/>
    <w:bookmarkEnd w:id="69"/>
    <w:p>
      <w:pPr>
        <w:ind w:left="3200"/>
        <w:spacing w:after="0"/>
        <w:rPr>
          <w:sz w:val="20"/>
          <w:szCs w:val="20"/>
          <w:color w:val="auto"/>
        </w:rPr>
      </w:pPr>
      <w:r>
        <w:rPr>
          <w:rFonts w:ascii="Times New Roman" w:cs="Times New Roman" w:eastAsia="Times New Roman" w:hAnsi="Times New Roman"/>
          <w:sz w:val="20"/>
          <w:szCs w:val="20"/>
          <w:color w:val="auto"/>
        </w:rPr>
        <w:t>Acknowledged and accepted:</w:t>
      </w:r>
    </w:p>
    <w:p>
      <w:pPr>
        <w:spacing w:after="0" w:line="2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auto"/>
        </w:rPr>
        <w:t>JPMORGAN CHASE BANK, N.A., as Agent</w:t>
      </w:r>
    </w:p>
    <w:p>
      <w:pPr>
        <w:spacing w:after="0" w:line="18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By: /S/ JEFFREY C. MILLER</w:t>
      </w:r>
    </w:p>
    <w:p>
      <w:pPr>
        <w:spacing w:after="0" w:line="1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Name: Jeffrey C.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-127635</wp:posOffset>
            </wp:positionV>
            <wp:extent cx="1257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9019"/>
          </w:cols>
          <w:pgMar w:left="1440" w:top="1399" w:right="1440" w:bottom="1440" w:gutter="0" w:footer="0" w:header="0"/>
        </w:sectPr>
      </w:pPr>
    </w:p>
    <w:bookmarkStart w:id="70" w:name="page71"/>
    <w:bookmarkEnd w:id="70"/>
    <w:p>
      <w:pPr>
        <w:jc w:val="right"/>
        <w:ind w:right="4079"/>
        <w:spacing w:after="0"/>
        <w:rPr>
          <w:sz w:val="20"/>
          <w:szCs w:val="20"/>
          <w:color w:val="auto"/>
        </w:rPr>
      </w:pPr>
      <w:r>
        <w:rPr>
          <w:rFonts w:ascii="Times New Roman" w:cs="Times New Roman" w:eastAsia="Times New Roman" w:hAnsi="Times New Roman"/>
          <w:sz w:val="20"/>
          <w:szCs w:val="20"/>
          <w:b w:val="1"/>
          <w:bCs w:val="1"/>
          <w:u w:val="single" w:color="auto"/>
          <w:color w:val="auto"/>
        </w:rPr>
        <w:t>Schedule I</w:t>
      </w:r>
    </w:p>
    <w:p>
      <w:pPr>
        <w:spacing w:after="0" w:line="390" w:lineRule="exact"/>
        <w:rPr>
          <w:sz w:val="20"/>
          <w:szCs w:val="20"/>
          <w:color w:val="auto"/>
        </w:rPr>
      </w:pPr>
    </w:p>
    <w:p>
      <w:pPr>
        <w:ind w:left="324" w:hanging="324"/>
        <w:spacing w:after="0"/>
        <w:tabs>
          <w:tab w:leader="none" w:pos="32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Union Supply Group, Inc.</w:t>
      </w:r>
    </w:p>
    <w:p>
      <w:pPr>
        <w:ind w:left="324" w:hanging="324"/>
        <w:spacing w:after="0" w:line="211" w:lineRule="auto"/>
        <w:tabs>
          <w:tab w:leader="none" w:pos="32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Union Supply Commissary Solutions, Inc.</w:t>
      </w:r>
    </w:p>
    <w:p>
      <w:pPr>
        <w:ind w:left="324" w:hanging="324"/>
        <w:spacing w:after="0" w:line="211" w:lineRule="auto"/>
        <w:tabs>
          <w:tab w:leader="none" w:pos="32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Next Level Hospitality Services, LLC</w:t>
      </w:r>
    </w:p>
    <w:p>
      <w:pPr>
        <w:ind w:left="324" w:hanging="324"/>
        <w:spacing w:after="0" w:line="197" w:lineRule="auto"/>
        <w:tabs>
          <w:tab w:leader="none" w:pos="32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Next Level PEO, LLC</w:t>
      </w:r>
    </w:p>
    <w:p>
      <w:pPr>
        <w:ind w:left="324" w:hanging="324"/>
        <w:spacing w:after="0" w:line="211" w:lineRule="auto"/>
        <w:tabs>
          <w:tab w:leader="none" w:pos="32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NLAL Hospitality LLC</w:t>
      </w:r>
    </w:p>
    <w:p>
      <w:pPr>
        <w:ind w:left="324" w:hanging="324"/>
        <w:spacing w:after="0" w:line="211" w:lineRule="auto"/>
        <w:tabs>
          <w:tab w:leader="none" w:pos="32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NLNC Hospitality LLC</w:t>
      </w:r>
    </w:p>
    <w:p>
      <w:pPr>
        <w:ind w:left="324" w:hanging="324"/>
        <w:spacing w:after="0" w:line="197" w:lineRule="auto"/>
        <w:tabs>
          <w:tab w:leader="none" w:pos="32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NLPA Hospitality LLC</w:t>
      </w:r>
    </w:p>
    <w:p>
      <w:pPr>
        <w:ind w:left="324" w:hanging="324"/>
        <w:spacing w:after="0"/>
        <w:tabs>
          <w:tab w:leader="none" w:pos="32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NLSD Hospitality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44"/>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9483"/>
          </w:cols>
          <w:pgMar w:left="976" w:top="1395" w:right="1440"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Zillmer, Chief Executive Officer, certify that:</w:t>
      </w:r>
    </w:p>
    <w:p>
      <w:pPr>
        <w:spacing w:after="0" w:line="104"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Aramark for the quarter ended December 30, 2022;</w:t>
      </w:r>
    </w:p>
    <w:p>
      <w:pPr>
        <w:spacing w:after="0" w:line="103"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17145</wp:posOffset>
            </wp:positionV>
            <wp:extent cx="30003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2023</w:t>
      </w:r>
    </w:p>
    <w:p>
      <w:pPr>
        <w:sectPr>
          <w:pgSz w:w="11900" w:h="16838" w:orient="portrait"/>
          <w:cols w:equalWidth="0" w:num="1">
            <w:col w:w="11240"/>
          </w:cols>
          <w:pgMar w:left="320" w:top="1049"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G. Ondrof, Executive Vice President and Chief Financial Officer, certify that:</w:t>
      </w:r>
    </w:p>
    <w:p>
      <w:pPr>
        <w:spacing w:after="0" w:line="90"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Aramark for the quarter ended December 30, 2022;</w:t>
      </w:r>
    </w:p>
    <w:p>
      <w:pPr>
        <w:spacing w:after="0" w:line="103"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17145</wp:posOffset>
            </wp:positionV>
            <wp:extent cx="30003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Thomas G. Ondrof</w:t>
      </w:r>
    </w:p>
    <w:p>
      <w:pPr>
        <w:spacing w:after="0" w:line="1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Executive Vice President and</w:t>
      </w:r>
    </w:p>
    <w:p>
      <w:pPr>
        <w:ind w:left="1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2023</w:t>
      </w:r>
    </w:p>
    <w:p>
      <w:pPr>
        <w:sectPr>
          <w:pgSz w:w="11900" w:h="16838" w:orient="portrait"/>
          <w:cols w:equalWidth="0" w:num="1">
            <w:col w:w="11240"/>
          </w:cols>
          <w:pgMar w:left="320" w:top="88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85"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Aramark (the “Company”) on Form 10-Q for the fiscal quarter ended December 30, 2022, as filed with the Securities and Exchange Commission on the date hereof (the “Report”), we, John J. Zillmer, Chief Executive Officer of the Company, and Thomas G. Ondrof, Executive Vice President and Chief Financial Officer of the Company, each certify, pursuant to 18 U.S.C. Section 1350, as adopted pursuant to Section 906 of the Sarbanes-Oxley Act of 2002, that, based on each of our knowledge:</w:t>
      </w:r>
    </w:p>
    <w:p>
      <w:pPr>
        <w:spacing w:after="0" w:line="382" w:lineRule="exact"/>
        <w:rPr>
          <w:sz w:val="20"/>
          <w:szCs w:val="20"/>
          <w:color w:val="auto"/>
        </w:rPr>
      </w:pPr>
    </w:p>
    <w:p>
      <w:pPr>
        <w:ind w:left="640" w:hanging="308"/>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right="140" w:firstLine="332"/>
        <w:spacing w:after="0" w:line="783" w:lineRule="auto"/>
        <w:tabs>
          <w:tab w:leader="none" w:pos="64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7, 2023</w:t>
      </w:r>
    </w:p>
    <w:p>
      <w:pPr>
        <w:spacing w:after="0" w:line="25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Thomas G. Ondrof</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Executive Vice President and</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x"/>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1)"/>
      <w:numFmt w:val="decimal"/>
      <w:start w:val="1"/>
    </w:lvl>
  </w:abstractNum>
  <w:abstractNum w:abstractNumId="15">
    <w:nsid w:val="38437FDB"/>
    <w:multiLevelType w:val="hybridMultilevel"/>
    <w:lvl w:ilvl="0">
      <w:lvlJc w:val="left"/>
      <w:lvlText w:val="(%1)"/>
      <w:numFmt w:val="decimal"/>
      <w:start w:val="4"/>
    </w:lvl>
  </w:abstractNum>
  <w:abstractNum w:abstractNumId="16">
    <w:nsid w:val="7644A45C"/>
    <w:multiLevelType w:val="hybridMultilevel"/>
    <w:lvl w:ilvl="0">
      <w:lvlJc w:val="left"/>
      <w:lvlText w:val="(%1)"/>
      <w:numFmt w:val="decimal"/>
      <w:start w:val="1"/>
    </w:lvl>
  </w:abstractNum>
  <w:abstractNum w:abstractNumId="17">
    <w:nsid w:val="32FFF902"/>
    <w:multiLevelType w:val="hybridMultilevel"/>
    <w:lvl w:ilvl="0">
      <w:lvlJc w:val="left"/>
      <w:lvlText w:val="%1"/>
      <w:numFmt w:val="decimal"/>
      <w:start w:val="101"/>
    </w:lvl>
  </w:abstractNum>
  <w:abstractNum w:abstractNumId="18">
    <w:nsid w:val="684A481A"/>
    <w:multiLevelType w:val="hybridMultilevel"/>
    <w:lvl w:ilvl="0">
      <w:lvlJc w:val="left"/>
      <w:lvlText w:val="*"/>
      <w:numFmt w:val="bullet"/>
      <w:start w:val="1"/>
    </w:lvl>
    <w:lvl w:ilvl="1">
      <w:lvlJc w:val="left"/>
      <w:lvlText w:val="%2"/>
      <w:numFmt w:val="decimal"/>
      <w:start w:val="104"/>
    </w:lvl>
  </w:abstractNum>
  <w:abstractNum w:abstractNumId="19">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0">
    <w:nsid w:val="749ABB43"/>
    <w:multiLevelType w:val="hybridMultilevel"/>
    <w:lvl w:ilvl="0">
      <w:lvlJc w:val="left"/>
      <w:lvlText w:val="(%1)"/>
      <w:numFmt w:val="lowerLetter"/>
      <w:start w:val="2"/>
    </w:lvl>
  </w:abstractNum>
  <w:abstractNum w:abstractNumId="21">
    <w:nsid w:val="3DC240FB"/>
    <w:multiLevelType w:val="hybridMultilevel"/>
    <w:lvl w:ilvl="0">
      <w:lvlJc w:val="left"/>
      <w:lvlText w:val="(%1)"/>
      <w:numFmt w:val="lowerRoman"/>
      <w:start w:val="1"/>
    </w:lvl>
  </w:abstractNum>
  <w:abstractNum w:abstractNumId="22">
    <w:nsid w:val="1BA026FA"/>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23">
    <w:nsid w:val="79A1DEA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4">
    <w:nsid w:val="75C6C3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25">
    <w:nsid w:val="12E685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26">
    <w:nsid w:val="70C6A52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27">
    <w:nsid w:val="520EEDD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28">
    <w:nsid w:val="374A3FE6"/>
    <w:multiLevelType w:val="hybridMultilevel"/>
    <w:lvl w:ilvl="0">
      <w:lvlJc w:val="left"/>
      <w:lvlText w:val="(%1)"/>
      <w:numFmt w:val="lowerRoman"/>
      <w:start w:val="2"/>
    </w:lvl>
  </w:abstractNum>
  <w:abstractNum w:abstractNumId="29">
    <w:nsid w:val="4F4EF005"/>
    <w:multiLevelType w:val="hybridMultilevel"/>
    <w:lvl w:ilvl="0">
      <w:lvlJc w:val="left"/>
      <w:lvlText w:val="%1"/>
      <w:numFmt w:val="decimal"/>
      <w:start w:val="1"/>
    </w:lvl>
    <w:lvl w:ilvl="1">
      <w:lvlJc w:val="left"/>
      <w:lvlText w:val="(%2)"/>
      <w:numFmt w:val="lowerLetter"/>
      <w:start w:val="2"/>
    </w:lvl>
  </w:abstractNum>
  <w:abstractNum w:abstractNumId="30">
    <w:nsid w:val="23F9C13C"/>
    <w:multiLevelType w:val="hybridMultilevel"/>
    <w:lvl w:ilvl="0">
      <w:lvlJc w:val="left"/>
      <w:lvlText w:val="(%1)"/>
      <w:numFmt w:val="decimal"/>
      <w:start w:val="6"/>
    </w:lvl>
    <w:lvl w:ilvl="1">
      <w:lvlJc w:val="left"/>
      <w:lvlText w:val="%2"/>
      <w:numFmt w:val="lowerLetter"/>
      <w:start w:val="1"/>
    </w:lvl>
  </w:abstractNum>
  <w:abstractNum w:abstractNumId="31">
    <w:nsid w:val="649BB77C"/>
    <w:multiLevelType w:val="hybridMultilevel"/>
    <w:lvl w:ilvl="0">
      <w:lvlJc w:val="left"/>
      <w:lvlText w:val="(%1)"/>
      <w:numFmt w:val="decimal"/>
      <w:start w:val="9"/>
    </w:lvl>
  </w:abstractNum>
  <w:abstractNum w:abstractNumId="32">
    <w:nsid w:val="275AC794"/>
    <w:multiLevelType w:val="hybridMultilevel"/>
    <w:lvl w:ilvl="0">
      <w:lvlJc w:val="left"/>
      <w:lvlText w:val="(%1)"/>
      <w:numFmt w:val="decimal"/>
      <w:start w:val="11"/>
    </w:lvl>
  </w:abstractNum>
  <w:abstractNum w:abstractNumId="33">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4">
    <w:nsid w:val="1CF10FD8"/>
    <w:multiLevelType w:val="hybridMultilevel"/>
    <w:lvl w:ilvl="0">
      <w:lvlJc w:val="left"/>
      <w:lvlText w:val="(%1)"/>
      <w:numFmt w:val="lowerLetter"/>
      <w:start w:val="2"/>
    </w:lvl>
  </w:abstractNum>
  <w:abstractNum w:abstractNumId="35">
    <w:nsid w:val="180115BE"/>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36">
    <w:nsid w:val="235BA86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37">
    <w:nsid w:val="47398C8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38">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39">
    <w:nsid w:val="15B5AF5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40">
    <w:nsid w:val="741226B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41">
    <w:nsid w:val="D34B6A8"/>
    <w:multiLevelType w:val="hybridMultilevel"/>
    <w:lvl w:ilvl="0">
      <w:lvlJc w:val="left"/>
      <w:lvlText w:val="%1"/>
      <w:numFmt w:val="lowerLetter"/>
      <w:start w:val="1"/>
    </w:lvl>
    <w:lvl w:ilvl="1">
      <w:lvlJc w:val="left"/>
      <w:lvlText w:val="(%2)"/>
      <w:numFmt w:val="lowerRoman"/>
      <w:start w:val="2"/>
    </w:lvl>
  </w:abstractNum>
  <w:abstractNum w:abstractNumId="42">
    <w:nsid w:val="10233C99"/>
    <w:multiLevelType w:val="hybridMultilevel"/>
    <w:lvl w:ilvl="0">
      <w:lvlJc w:val="left"/>
      <w:lvlText w:val="(%1)"/>
      <w:numFmt w:val="lowerLetter"/>
      <w:start w:val="2"/>
    </w:lvl>
    <w:lvl w:ilvl="1">
      <w:lvlJc w:val="left"/>
      <w:lvlText w:val="%2"/>
      <w:numFmt w:val="lowerRoman"/>
      <w:start w:val="1"/>
    </w:lvl>
  </w:abstractNum>
  <w:abstractNum w:abstractNumId="43">
    <w:nsid w:val="3F6AB60F"/>
    <w:multiLevelType w:val="hybridMultilevel"/>
    <w:lvl w:ilvl="0">
      <w:lvlJc w:val="left"/>
      <w:lvlText w:val="(%1)"/>
      <w:numFmt w:val="decimal"/>
      <w:start w:val="6"/>
    </w:lvl>
  </w:abstractNum>
  <w:abstractNum w:abstractNumId="44">
    <w:nsid w:val="61574095"/>
    <w:multiLevelType w:val="hybridMultilevel"/>
    <w:lvl w:ilvl="0">
      <w:lvlJc w:val="left"/>
      <w:lvlText w:val="(%1)"/>
      <w:numFmt w:val="decimal"/>
      <w:start w:val="9"/>
    </w:lvl>
  </w:abstractNum>
  <w:abstractNum w:abstractNumId="45">
    <w:nsid w:val="7E0C57B1"/>
    <w:multiLevelType w:val="hybridMultilevel"/>
    <w:lvl w:ilvl="0">
      <w:lvlJc w:val="left"/>
      <w:lvlText w:val="(%1)"/>
      <w:numFmt w:val="decimal"/>
      <w:start w:val="12"/>
    </w:lvl>
  </w:abstractNum>
  <w:abstractNum w:abstractNumId="46">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7">
    <w:nsid w:val="579BE4F1"/>
    <w:multiLevelType w:val="hybridMultilevel"/>
    <w:lvl w:ilvl="0">
      <w:lvlJc w:val="left"/>
      <w:lvlText w:val="(%1)"/>
      <w:numFmt w:val="lowerLetter"/>
      <w:start w:val="2"/>
    </w:lvl>
  </w:abstractNum>
  <w:abstractNum w:abstractNumId="48">
    <w:nsid w:val="310C50B3"/>
    <w:multiLevelType w:val="hybridMultilevel"/>
    <w:lvl w:ilvl="0">
      <w:lvlJc w:val="left"/>
      <w:lvlText w:val="(%1)"/>
      <w:numFmt w:val="lowerRoman"/>
      <w:start w:val="1"/>
    </w:lvl>
  </w:abstractNum>
  <w:abstractNum w:abstractNumId="49">
    <w:nsid w:val="5FF87E05"/>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50">
    <w:nsid w:val="2F305DE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51">
    <w:nsid w:val="25A70BF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52">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53">
    <w:nsid w:val="4AD084E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54">
    <w:nsid w:val="1F48EAA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55">
    <w:nsid w:val="1381823A"/>
    <w:multiLevelType w:val="hybridMultilevel"/>
    <w:lvl w:ilvl="0">
      <w:lvlJc w:val="left"/>
      <w:lvlText w:val="%1"/>
      <w:numFmt w:val="lowerLetter"/>
      <w:start w:val="1"/>
    </w:lvl>
    <w:lvl w:ilvl="1">
      <w:lvlJc w:val="left"/>
      <w:lvlText w:val="(%2)"/>
      <w:numFmt w:val="lowerRoman"/>
      <w:start w:val="2"/>
    </w:lvl>
  </w:abstractNum>
  <w:abstractNum w:abstractNumId="56">
    <w:nsid w:val="5DB70AE5"/>
    <w:multiLevelType w:val="hybridMultilevel"/>
    <w:lvl w:ilvl="0">
      <w:lvlJc w:val="left"/>
      <w:lvlText w:val="(%1)"/>
      <w:numFmt w:val="lowerLetter"/>
      <w:start w:val="2"/>
    </w:lvl>
    <w:lvl w:ilvl="1">
      <w:lvlJc w:val="left"/>
      <w:lvlText w:val="%2"/>
      <w:numFmt w:val="lowerRoman"/>
      <w:start w:val="1"/>
    </w:lvl>
  </w:abstractNum>
  <w:abstractNum w:abstractNumId="57">
    <w:nsid w:val="100F8FCA"/>
    <w:multiLevelType w:val="hybridMultilevel"/>
    <w:lvl w:ilvl="0">
      <w:lvlJc w:val="left"/>
      <w:lvlText w:val="(%1)"/>
      <w:numFmt w:val="decimal"/>
      <w:start w:val="6"/>
    </w:lvl>
  </w:abstractNum>
  <w:abstractNum w:abstractNumId="58">
    <w:nsid w:val="6590700B"/>
    <w:multiLevelType w:val="hybridMultilevel"/>
    <w:lvl w:ilvl="0">
      <w:lvlJc w:val="left"/>
      <w:lvlText w:val="(%1)"/>
      <w:numFmt w:val="decimal"/>
      <w:start w:val="9"/>
    </w:lvl>
  </w:abstractNum>
  <w:abstractNum w:abstractNumId="59">
    <w:nsid w:val="15014ACB"/>
    <w:multiLevelType w:val="hybridMultilevel"/>
    <w:lvl w:ilvl="0">
      <w:lvlJc w:val="left"/>
      <w:lvlText w:val="(%1)"/>
      <w:numFmt w:val="decimal"/>
      <w:start w:val="12"/>
    </w:lvl>
  </w:abstractNum>
  <w:abstractNum w:abstractNumId="60">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1">
    <w:nsid w:val="98A3148"/>
    <w:multiLevelType w:val="hybridMultilevel"/>
    <w:lvl w:ilvl="0">
      <w:lvlJc w:val="left"/>
      <w:lvlText w:val="(%1)"/>
      <w:numFmt w:val="lowerLetter"/>
      <w:start w:val="2"/>
    </w:lvl>
  </w:abstractNum>
  <w:abstractNum w:abstractNumId="62">
    <w:nsid w:val="799D0247"/>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63">
    <w:nsid w:val="6B9476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64">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65">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66">
    <w:nsid w:val="1EBA5D2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67">
    <w:nsid w:val="661E3F1E"/>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68">
    <w:nsid w:val="5DC79EA8"/>
    <w:multiLevelType w:val="hybridMultilevel"/>
    <w:lvl w:ilvl="0">
      <w:lvlJc w:val="left"/>
      <w:lvlText w:val="%1"/>
      <w:numFmt w:val="lowerLetter"/>
      <w:start w:val="1"/>
    </w:lvl>
    <w:lvl w:ilvl="1">
      <w:lvlJc w:val="left"/>
      <w:lvlText w:val="(%2)"/>
      <w:numFmt w:val="lowerRoman"/>
      <w:start w:val="2"/>
    </w:lvl>
  </w:abstractNum>
  <w:abstractNum w:abstractNumId="69">
    <w:nsid w:val="540A471C"/>
    <w:multiLevelType w:val="hybridMultilevel"/>
    <w:lvl w:ilvl="0">
      <w:lvlJc w:val="left"/>
      <w:lvlText w:val="(%1)"/>
      <w:numFmt w:val="lowerLetter"/>
      <w:start w:val="2"/>
    </w:lvl>
    <w:lvl w:ilvl="1">
      <w:lvlJc w:val="left"/>
      <w:lvlText w:val="%2"/>
      <w:numFmt w:val="lowerRoman"/>
      <w:start w:val="1"/>
    </w:lvl>
  </w:abstractNum>
  <w:abstractNum w:abstractNumId="70">
    <w:nsid w:val="7BD3EE7B"/>
    <w:multiLevelType w:val="hybridMultilevel"/>
    <w:lvl w:ilvl="0">
      <w:lvlJc w:val="left"/>
      <w:lvlText w:val="(%1)"/>
      <w:numFmt w:val="decimal"/>
      <w:start w:val="6"/>
    </w:lvl>
  </w:abstractNum>
  <w:abstractNum w:abstractNumId="71">
    <w:nsid w:val="51D9C564"/>
    <w:multiLevelType w:val="hybridMultilevel"/>
    <w:lvl w:ilvl="0">
      <w:lvlJc w:val="left"/>
      <w:lvlText w:val="(%1)"/>
      <w:numFmt w:val="decimal"/>
      <w:start w:val="9"/>
    </w:lvl>
  </w:abstractNum>
  <w:abstractNum w:abstractNumId="72">
    <w:nsid w:val="613EFDC5"/>
    <w:multiLevelType w:val="hybridMultilevel"/>
    <w:lvl w:ilvl="0">
      <w:lvlJc w:val="left"/>
      <w:lvlText w:val="(%1)"/>
      <w:numFmt w:val="decimal"/>
      <w:start w:val="12"/>
    </w:lvl>
  </w:abstractNum>
  <w:abstractNum w:abstractNumId="73">
    <w:nsid w:val="BF72B14"/>
    <w:multiLevelType w:val="hybridMultilevel"/>
    <w:lvl w:ilvl="0">
      <w:lvlJc w:val="left"/>
      <w:lvlText w:val="%1."/>
      <w:numFmt w:val="decimal"/>
      <w:start w:val="1"/>
    </w:lvl>
  </w:abstractNum>
  <w:abstractNum w:abstractNumId="74">
    <w:nsid w:val="11447B73"/>
    <w:multiLevelType w:val="hybridMultilevel"/>
    <w:lvl w:ilvl="0">
      <w:lvlJc w:val="left"/>
      <w:lvlText w:val="%1."/>
      <w:numFmt w:val="decimal"/>
      <w:start w:val="5"/>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63" Type="http://schemas.openxmlformats.org/officeDocument/2006/relationships/hyperlink" Target="https://www.sec.gov/Archives/edgar/data/0001584509/000158450922000244/ex1012023armkxletteragreem.htm" TargetMode="External"/><Relationship Id="rId64" Type="http://schemas.openxmlformats.org/officeDocument/2006/relationships/hyperlink" Target="https://www.sec.gov/Archives/edgar/data/1584509/000119312522311785/d301987ddef14a.htm#toc301987_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2023-02-07T15:37:49Z</dcterms:created>
  <dcterms:modified xsi:type="dcterms:W3CDTF">2023-02-07T15:37:49Z</dcterms:modified>
</cp:coreProperties>
</file>