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1226.xml.htm"/>
      <w:bookmarkStart w:id="1" w:name="kswkform4_17890712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Wills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MARKET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Aramark</w:t>
              </w:r>
            </w:hyperlink>
            <w:r>
              <w:rPr/>
              <w:t xml:space="preserve"> [ </w:t>
            </w:r>
            <w:r>
              <w:rPr>
                <w:rFonts w:ascii="Times;serif" w:hAnsi="Times;serif"/>
                <w:color w:val="0000FF"/>
                <w:sz w:val="24"/>
                <w:shd w:fill="FFFFFF" w:val="clear"/>
              </w:rPr>
              <w:t>ARMK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968"/>
        <w:gridCol w:w="446"/>
        <w:gridCol w:w="609"/>
        <w:gridCol w:w="1358"/>
        <w:gridCol w:w="988"/>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34.551</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21,974.546</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in connection with the Issuer's quarterly dividend and accrued to the reporting person on deferred stock units held by the reporting person. These dividend equivalent rights vest on the same schedules as the underlying awards.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 Spengler,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7345" TargetMode="External"/><Relationship Id="rId5" Type="http://schemas.openxmlformats.org/officeDocument/2006/relationships/hyperlink" Target="http://www.sec.gov/cgi-bin/browse-edgar?action=getcompany&amp;CIK=00015845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3280</Characters>
  <CharactersWithSpaces>3812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