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3134.xml.htm"/>
      <w:bookmarkStart w:id="1" w:name="kswkform4_17919231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Creed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752"/>
        <w:gridCol w:w="1359"/>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614</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54.94</w:t>
            </w:r>
          </w:p>
        </w:tc>
        <w:tc>
          <w:tcPr>
            <w:tcW w:w="13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68,846.076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fully vested deferred stock units into which the director has elected to defer all of his cash retainer, which will be settled in shares of common stock on the first day of the seventh month after the date of the director's departure from the board.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254"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3312</Characters>
  <CharactersWithSpaces>3857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