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8" w:lineRule="exact"/>
        <w:rPr>
          <w:sz w:val="24"/>
          <w:szCs w:val="24"/>
          <w:color w:val="auto"/>
        </w:rPr>
      </w:pPr>
    </w:p>
    <w:p>
      <w:pPr>
        <w:ind w:left="2640" w:hanging="368"/>
        <w:spacing w:after="0"/>
        <w:tabs>
          <w:tab w:leader="none" w:pos="26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QUARTERLY REPORT PURSUANT TO SECTION 13 or 15(d) OF</w:t>
      </w:r>
    </w:p>
    <w:p>
      <w:pPr>
        <w:spacing w:after="0" w:line="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2024</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2560" w:hanging="342"/>
        <w:spacing w:after="0"/>
        <w:tabs>
          <w:tab w:leader="none" w:pos="2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001-36223</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51435</wp:posOffset>
            </wp:positionV>
            <wp:extent cx="2468880"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1840" w:type="dxa"/>
        <w:tblCellMar>
          <w:top w:w="0" w:type="dxa"/>
          <w:left w:w="0" w:type="dxa"/>
          <w:bottom w:w="0" w:type="dxa"/>
          <w:right w:w="0" w:type="dxa"/>
        </w:tblCellMar>
      </w:tblPr>
      <w:tr>
        <w:trPr>
          <w:trHeight w:val="402"/>
        </w:trPr>
        <w:tc>
          <w:tcPr>
            <w:tcW w:w="5780" w:type="dxa"/>
            <w:vAlign w:val="bottom"/>
          </w:tcPr>
          <w:p>
            <w:pPr>
              <w:jc w:val="center"/>
              <w:ind w:left="1712"/>
              <w:spacing w:after="0"/>
              <w:rPr>
                <w:sz w:val="20"/>
                <w:szCs w:val="20"/>
                <w:color w:val="auto"/>
              </w:rPr>
            </w:pPr>
            <w:r>
              <w:rPr>
                <w:rFonts w:ascii="Times New Roman" w:cs="Times New Roman" w:eastAsia="Times New Roman" w:hAnsi="Times New Roman"/>
                <w:sz w:val="32"/>
                <w:szCs w:val="32"/>
                <w:b w:val="1"/>
                <w:bCs w:val="1"/>
                <w:color w:val="auto"/>
              </w:rPr>
              <w:t>Aramark</w:t>
            </w:r>
          </w:p>
        </w:tc>
        <w:tc>
          <w:tcPr>
            <w:tcW w:w="1400" w:type="dxa"/>
            <w:vAlign w:val="bottom"/>
          </w:tcPr>
          <w:p>
            <w:pPr>
              <w:spacing w:after="0"/>
              <w:rPr>
                <w:sz w:val="24"/>
                <w:szCs w:val="24"/>
                <w:color w:val="auto"/>
              </w:rPr>
            </w:pPr>
          </w:p>
        </w:tc>
      </w:tr>
      <w:tr>
        <w:trPr>
          <w:trHeight w:val="188"/>
        </w:trPr>
        <w:tc>
          <w:tcPr>
            <w:tcW w:w="5780" w:type="dxa"/>
            <w:vAlign w:val="bottom"/>
          </w:tcPr>
          <w:p>
            <w:pPr>
              <w:jc w:val="center"/>
              <w:ind w:left="1712"/>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400" w:type="dxa"/>
            <w:vAlign w:val="bottom"/>
          </w:tcPr>
          <w:p>
            <w:pPr>
              <w:spacing w:after="0"/>
              <w:rPr>
                <w:sz w:val="16"/>
                <w:szCs w:val="16"/>
                <w:color w:val="auto"/>
              </w:rPr>
            </w:pPr>
          </w:p>
        </w:tc>
      </w:tr>
      <w:tr>
        <w:trPr>
          <w:trHeight w:val="244"/>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20-8236097</w:t>
            </w:r>
          </w:p>
        </w:tc>
      </w:tr>
      <w:tr>
        <w:trPr>
          <w:trHeight w:val="144"/>
        </w:trPr>
        <w:tc>
          <w:tcPr>
            <w:tcW w:w="5780" w:type="dxa"/>
            <w:vAlign w:val="bottom"/>
          </w:tcPr>
          <w:p>
            <w:pPr>
              <w:jc w:val="center"/>
              <w:ind w:right="3412"/>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4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780" w:type="dxa"/>
            <w:vAlign w:val="bottom"/>
          </w:tcPr>
          <w:p>
            <w:pPr>
              <w:jc w:val="center"/>
              <w:ind w:right="339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71"/>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8"/>
                <w:szCs w:val="18"/>
                <w:b w:val="1"/>
                <w:bCs w:val="1"/>
                <w:color w:val="auto"/>
                <w:w w:val="99"/>
              </w:rPr>
              <w:t>2400 Market Street</w:t>
            </w:r>
          </w:p>
        </w:tc>
        <w:tc>
          <w:tcPr>
            <w:tcW w:w="1400" w:type="dxa"/>
            <w:vAlign w:val="bottom"/>
          </w:tcPr>
          <w:p>
            <w:pPr>
              <w:spacing w:after="0"/>
              <w:rPr>
                <w:sz w:val="23"/>
                <w:szCs w:val="23"/>
                <w:color w:val="auto"/>
              </w:rPr>
            </w:pPr>
          </w:p>
        </w:tc>
      </w:tr>
      <w:tr>
        <w:trPr>
          <w:trHeight w:val="247"/>
        </w:trPr>
        <w:tc>
          <w:tcPr>
            <w:tcW w:w="5780" w:type="dxa"/>
            <w:vAlign w:val="bottom"/>
          </w:tcPr>
          <w:p>
            <w:pPr>
              <w:jc w:val="center"/>
              <w:ind w:right="3392"/>
              <w:spacing w:after="0"/>
              <w:rPr>
                <w:sz w:val="20"/>
                <w:szCs w:val="20"/>
                <w:color w:val="auto"/>
              </w:rPr>
            </w:pPr>
            <w:r>
              <w:rPr>
                <w:rFonts w:ascii="Times New Roman" w:cs="Times New Roman" w:eastAsia="Times New Roman" w:hAnsi="Times New Roman"/>
                <w:sz w:val="18"/>
                <w:szCs w:val="18"/>
                <w:b w:val="1"/>
                <w:bCs w:val="1"/>
                <w:color w:val="auto"/>
                <w:w w:val="98"/>
              </w:rPr>
              <w:t>Philadelphia, Pennsylvania</w:t>
            </w:r>
          </w:p>
        </w:tc>
        <w:tc>
          <w:tcPr>
            <w:tcW w:w="1400" w:type="dxa"/>
            <w:vAlign w:val="bottom"/>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19103</w:t>
            </w:r>
          </w:p>
        </w:tc>
      </w:tr>
      <w:tr>
        <w:trPr>
          <w:trHeight w:val="188"/>
        </w:trPr>
        <w:tc>
          <w:tcPr>
            <w:tcW w:w="5780" w:type="dxa"/>
            <w:vAlign w:val="bottom"/>
          </w:tcPr>
          <w:p>
            <w:pPr>
              <w:jc w:val="center"/>
              <w:ind w:right="341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374"/>
        </w:trPr>
        <w:tc>
          <w:tcPr>
            <w:tcW w:w="5780" w:type="dxa"/>
            <w:vAlign w:val="bottom"/>
          </w:tcPr>
          <w:p>
            <w:pPr>
              <w:jc w:val="right"/>
              <w:ind w:right="1352"/>
              <w:spacing w:after="0"/>
              <w:rPr>
                <w:sz w:val="20"/>
                <w:szCs w:val="20"/>
                <w:color w:val="auto"/>
              </w:rPr>
            </w:pPr>
            <w:r>
              <w:rPr>
                <w:rFonts w:ascii="Times New Roman" w:cs="Times New Roman" w:eastAsia="Times New Roman" w:hAnsi="Times New Roman"/>
                <w:sz w:val="18"/>
                <w:szCs w:val="18"/>
                <w:b w:val="1"/>
                <w:bCs w:val="1"/>
                <w:color w:val="auto"/>
              </w:rPr>
              <w:t>(215) 238-3000</w:t>
            </w:r>
          </w:p>
        </w:tc>
        <w:tc>
          <w:tcPr>
            <w:tcW w:w="1400" w:type="dxa"/>
            <w:vAlign w:val="bottom"/>
          </w:tcPr>
          <w:p>
            <w:pPr>
              <w:spacing w:after="0"/>
              <w:rPr>
                <w:sz w:val="24"/>
                <w:szCs w:val="24"/>
                <w:color w:val="auto"/>
              </w:rPr>
            </w:pPr>
          </w:p>
        </w:tc>
      </w:tr>
      <w:tr>
        <w:trPr>
          <w:trHeight w:val="211"/>
        </w:trPr>
        <w:tc>
          <w:tcPr>
            <w:tcW w:w="5780" w:type="dxa"/>
            <w:vAlign w:val="bottom"/>
          </w:tcPr>
          <w:p>
            <w:pPr>
              <w:jc w:val="center"/>
              <w:ind w:left="1692"/>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400" w:type="dxa"/>
            <w:vAlign w:val="bottom"/>
          </w:tcPr>
          <w:p>
            <w:pPr>
              <w:spacing w:after="0"/>
              <w:rPr>
                <w:sz w:val="18"/>
                <w:szCs w:val="18"/>
                <w:color w:val="auto"/>
              </w:rPr>
            </w:pPr>
          </w:p>
        </w:tc>
      </w:tr>
      <w:tr>
        <w:trPr>
          <w:trHeight w:val="234"/>
        </w:trPr>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400" w:type="dxa"/>
            <w:vAlign w:val="bottom"/>
          </w:tcPr>
          <w:p>
            <w:pPr>
              <w:spacing w:after="0"/>
              <w:rPr>
                <w:sz w:val="20"/>
                <w:szCs w:val="20"/>
                <w:color w:val="auto"/>
              </w:rPr>
            </w:pPr>
          </w:p>
        </w:tc>
      </w:tr>
    </w:tbl>
    <w:p>
      <w:pPr>
        <w:spacing w:after="0" w:line="22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60" w:type="dxa"/>
            <w:vAlign w:val="bottom"/>
          </w:tcPr>
          <w:p>
            <w:pPr>
              <w:spacing w:after="0"/>
              <w:rPr>
                <w:sz w:val="18"/>
                <w:szCs w:val="18"/>
                <w:color w:val="auto"/>
              </w:rPr>
            </w:pPr>
          </w:p>
        </w:tc>
        <w:tc>
          <w:tcPr>
            <w:tcW w:w="37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ARMK</w:t>
            </w:r>
          </w:p>
        </w:tc>
        <w:tc>
          <w:tcPr>
            <w:tcW w:w="260" w:type="dxa"/>
            <w:vAlign w:val="bottom"/>
          </w:tcPr>
          <w:p>
            <w:pPr>
              <w:spacing w:after="0"/>
              <w:rPr>
                <w:sz w:val="17"/>
                <w:szCs w:val="17"/>
                <w:color w:val="auto"/>
              </w:rPr>
            </w:pPr>
          </w:p>
        </w:tc>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54" w:lineRule="exact"/>
        <w:rPr>
          <w:sz w:val="24"/>
          <w:szCs w:val="24"/>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42" w:lineRule="exact"/>
        <w:rPr>
          <w:sz w:val="24"/>
          <w:szCs w:val="24"/>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42" w:lineRule="exact"/>
        <w:rPr>
          <w:sz w:val="24"/>
          <w:szCs w:val="24"/>
          <w:color w:val="auto"/>
        </w:rPr>
      </w:pPr>
    </w:p>
    <w:p>
      <w:pPr>
        <w:ind w:right="100" w:firstLine="40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207" w:lineRule="exact"/>
        <w:tabs>
          <w:tab w:leader="none" w:pos="1960" w:val="left"/>
          <w:tab w:leader="none" w:pos="8420" w:val="left"/>
          <w:tab w:leader="none" w:pos="109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Accelerated filer</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Non-accelerated filer</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7" w:lineRule="exact"/>
        <w:rPr>
          <w:sz w:val="24"/>
          <w:szCs w:val="24"/>
          <w:color w:val="auto"/>
        </w:rPr>
      </w:pPr>
    </w:p>
    <w:p>
      <w:pPr>
        <w:ind w:right="4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left="420" w:right="136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April 26, 2024, the number of shares of the registrant's common stock outstanding is 262,992,012.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6" w:right="399" w:bottom="1440" w:gutter="0" w:footer="0" w:header="0"/>
        </w:sectPr>
      </w:pPr>
    </w:p>
    <w:bookmarkStart w:id="1" w:name="page2"/>
    <w:bookmarkEnd w:id="1"/>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4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gridSpan w:val="6"/>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160" w:type="dxa"/>
            <w:vAlign w:val="bottom"/>
          </w:tcPr>
          <w:p>
            <w:pPr>
              <w:spacing w:after="0"/>
              <w:rPr>
                <w:sz w:val="24"/>
                <w:szCs w:val="24"/>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4300" w:type="dxa"/>
            <w:vAlign w:val="bottom"/>
            <w:gridSpan w:val="8"/>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3820" w:type="dxa"/>
            <w:vAlign w:val="bottom"/>
            <w:gridSpan w:val="7"/>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860" w:type="dxa"/>
            <w:vAlign w:val="bottom"/>
            <w:gridSpan w:val="4"/>
          </w:tcPr>
          <w:p>
            <w:pPr>
              <w:spacing w:after="0"/>
              <w:rPr>
                <w:sz w:val="18"/>
                <w:szCs w:val="18"/>
                <w:color w:val="auto"/>
              </w:rPr>
            </w:pPr>
          </w:p>
        </w:tc>
        <w:tc>
          <w:tcPr>
            <w:tcW w:w="2660" w:type="dxa"/>
            <w:vAlign w:val="bottom"/>
            <w:gridSpan w:val="2"/>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40" w:type="dxa"/>
            <w:vAlign w:val="bottom"/>
            <w:gridSpan w:val="2"/>
          </w:tcPr>
          <w:p>
            <w:pPr>
              <w:spacing w:after="0"/>
              <w:rPr>
                <w:sz w:val="18"/>
                <w:szCs w:val="18"/>
                <w:color w:val="auto"/>
              </w:rPr>
            </w:pPr>
          </w:p>
        </w:tc>
        <w:tc>
          <w:tcPr>
            <w:tcW w:w="2900" w:type="dxa"/>
            <w:vAlign w:val="bottom"/>
            <w:gridSpan w:val="3"/>
          </w:tcPr>
          <w:p>
            <w:pPr>
              <w:spacing w:after="0"/>
              <w:rPr>
                <w:sz w:val="18"/>
                <w:szCs w:val="18"/>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2.</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6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20" w:type="dxa"/>
            <w:vAlign w:val="bottom"/>
            <w:tcBorders>
              <w:top w:val="single" w:sz="8" w:color="0000FF"/>
            </w:tcBorders>
          </w:tcPr>
          <w:p>
            <w:pPr>
              <w:spacing w:after="0"/>
              <w:rPr>
                <w:sz w:val="18"/>
                <w:szCs w:val="18"/>
                <w:color w:val="auto"/>
              </w:rPr>
            </w:pPr>
          </w:p>
        </w:tc>
        <w:tc>
          <w:tcPr>
            <w:tcW w:w="360" w:type="dxa"/>
            <w:vAlign w:val="bottom"/>
            <w:gridSpan w:val="2"/>
          </w:tcPr>
          <w:p>
            <w:pPr>
              <w:spacing w:after="0"/>
              <w:rPr>
                <w:sz w:val="18"/>
                <w:szCs w:val="18"/>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900" w:type="dxa"/>
            <w:vAlign w:val="bottom"/>
            <w:gridSpan w:val="12"/>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680" w:type="dxa"/>
            <w:vAlign w:val="bottom"/>
            <w:gridSpan w:val="3"/>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80" w:type="dxa"/>
            <w:vAlign w:val="bottom"/>
            <w:gridSpan w:val="3"/>
          </w:tcPr>
          <w:p>
            <w:pPr>
              <w:spacing w:after="0"/>
              <w:rPr>
                <w:sz w:val="18"/>
                <w:szCs w:val="18"/>
                <w:color w:val="auto"/>
              </w:rPr>
            </w:pP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60" w:type="dxa"/>
            <w:vAlign w:val="bottom"/>
            <w:gridSpan w:val="11"/>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920" w:type="dxa"/>
            <w:vAlign w:val="bottom"/>
            <w:gridSpan w:val="1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7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About Forward-Looking Statements</w:t>
      </w:r>
    </w:p>
    <w:p>
      <w:pPr>
        <w:spacing w:after="0" w:line="1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and actual results or outcomes may differ materially from those that we expected.</w:t>
      </w:r>
    </w:p>
    <w:p>
      <w:pPr>
        <w:spacing w:after="0" w:line="5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Some of the factors that we believe could affect or continue to affect our results include without limitation: unfavorable economic conditions; natural disasters, global calamities, climate change, pandemics, energy shortages, sports strikes and other adverse incidents; geopolitical events including, but not limited to, the ongoing conflict between Russia and Ukraine and the growing conflict in the Middle East, global supply chain disruptions, inflation, volatility and disruption of global financial markets;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the inability to hire and retain key or sufficient qualified personnel or increases in labor costs; our expansion strategy and our ability to successfully integrate the businesses we acquire and costs and timing related thereto; risks associated with the completed spin-off of Aramark Uniform and Career Apparel ("Uniform") as an independent publicly traded company to our stockholders; continued or further unionization of our workforce; liability resulting from our participation in multiemployer defined benefit pension plans;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our leverage; variable rate indebtedness that subjects us to interest rate risk; the inability to generate sufficient cash to service all of our indebtedness; debt agreements that limit our flexibility in operating our business; and other factors set forth under the headings "Part I, Item 1A Risk Factors," "Part I, Item 3 Legal Proceedings" and "Part II, Item 7 Management's Discussion and Analysis of Financial Condition and Results of Operations" and other sections of our Annual Report on Form 10-K, filed with the Securities and Exchange Commission (the "SEC") on November 21, 2023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00" w:type="dxa"/>
            <w:vAlign w:val="bottom"/>
          </w:tcPr>
          <w:p>
            <w:pPr>
              <w:spacing w:after="0"/>
              <w:rPr>
                <w:sz w:val="16"/>
                <w:szCs w:val="16"/>
                <w:color w:val="auto"/>
              </w:rPr>
            </w:pPr>
          </w:p>
        </w:tc>
        <w:tc>
          <w:tcPr>
            <w:tcW w:w="16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0" w:type="dxa"/>
            <w:vAlign w:val="bottom"/>
          </w:tcPr>
          <w:p>
            <w:pPr>
              <w:spacing w:after="0"/>
              <w:rPr>
                <w:sz w:val="1"/>
                <w:szCs w:val="1"/>
                <w:color w:val="auto"/>
              </w:rPr>
            </w:pPr>
          </w:p>
        </w:tc>
      </w:tr>
      <w:tr>
        <w:trPr>
          <w:trHeight w:val="23"/>
        </w:trPr>
        <w:tc>
          <w:tcPr>
            <w:tcW w:w="7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8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1,927,088</w:t>
            </w:r>
          </w:p>
        </w:tc>
        <w:tc>
          <w:tcPr>
            <w:tcW w:w="0" w:type="dxa"/>
            <w:vAlign w:val="bottom"/>
          </w:tcPr>
          <w:p>
            <w:pPr>
              <w:spacing w:after="0"/>
              <w:rPr>
                <w:sz w:val="1"/>
                <w:szCs w:val="1"/>
                <w:color w:val="auto"/>
              </w:rPr>
            </w:pPr>
          </w:p>
        </w:tc>
      </w:tr>
      <w:tr>
        <w:trPr>
          <w:trHeight w:val="195"/>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Receivables (less allowances: $38,470 and $31,506)</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2,220,634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1,970,782</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388,279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403,707</w:t>
            </w:r>
          </w:p>
        </w:tc>
        <w:tc>
          <w:tcPr>
            <w:tcW w:w="0" w:type="dxa"/>
            <w:vAlign w:val="bottom"/>
          </w:tcPr>
          <w:p>
            <w:pPr>
              <w:spacing w:after="0"/>
              <w:rPr>
                <w:sz w:val="1"/>
                <w:szCs w:val="1"/>
                <w:color w:val="auto"/>
              </w:rPr>
            </w:pPr>
          </w:p>
        </w:tc>
      </w:tr>
      <w:tr>
        <w:trPr>
          <w:trHeight w:val="195"/>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362,903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297,519</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Current assets of discontinued operations</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620,931</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3,328,421</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5,220,027</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1,490,772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1,425,973</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4,635,450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4,615,986</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1,820,644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1,804,473</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632,079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572,268</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653,534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728,678</w:t>
            </w:r>
          </w:p>
        </w:tc>
        <w:tc>
          <w:tcPr>
            <w:tcW w:w="0" w:type="dxa"/>
            <w:vAlign w:val="bottom"/>
          </w:tcPr>
          <w:p>
            <w:pPr>
              <w:spacing w:after="0"/>
              <w:rPr>
                <w:sz w:val="1"/>
                <w:szCs w:val="1"/>
                <w:color w:val="auto"/>
              </w:rPr>
            </w:pPr>
          </w:p>
        </w:tc>
      </w:tr>
      <w:tr>
        <w:trPr>
          <w:trHeight w:val="19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 of Discontinued Operations</w:t>
            </w:r>
          </w:p>
        </w:tc>
        <w:tc>
          <w:tcPr>
            <w:tcW w:w="240" w:type="dxa"/>
            <w:vAlign w:val="bottom"/>
          </w:tcPr>
          <w:p>
            <w:pPr>
              <w:spacing w:after="0"/>
              <w:rPr>
                <w:sz w:val="17"/>
                <w:szCs w:val="17"/>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2,503,836</w:t>
            </w:r>
          </w:p>
        </w:tc>
        <w:tc>
          <w:tcPr>
            <w:tcW w:w="0" w:type="dxa"/>
            <w:vAlign w:val="bottom"/>
          </w:tcPr>
          <w:p>
            <w:pPr>
              <w:spacing w:after="0"/>
              <w:rPr>
                <w:sz w:val="1"/>
                <w:szCs w:val="1"/>
                <w:color w:val="auto"/>
              </w:rPr>
            </w:pPr>
          </w:p>
        </w:tc>
      </w:tr>
      <w:tr>
        <w:trPr>
          <w:trHeight w:val="221"/>
        </w:trPr>
        <w:tc>
          <w:tcPr>
            <w:tcW w:w="74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12,560,900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16,871,241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4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Current maturities of long-term borrowings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42,399</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1,543,032</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51,271</w:t>
            </w: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1,096,634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1,271,859</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Accrued payroll and related expenses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432,561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479,827</w:t>
            </w: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1,036,400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1,288,454</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395,524</w:t>
            </w:r>
          </w:p>
        </w:tc>
        <w:tc>
          <w:tcPr>
            <w:tcW w:w="0" w:type="dxa"/>
            <w:vAlign w:val="bottom"/>
          </w:tcPr>
          <w:p>
            <w:pPr>
              <w:spacing w:after="0"/>
              <w:rPr>
                <w:sz w:val="1"/>
                <w:szCs w:val="1"/>
                <w:color w:val="auto"/>
              </w:rPr>
            </w:pPr>
          </w:p>
        </w:tc>
      </w:tr>
      <w:tr>
        <w:trPr>
          <w:trHeight w:val="190"/>
        </w:trPr>
        <w:tc>
          <w:tcPr>
            <w:tcW w:w="74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2,658,102</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5,029,967</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5,879,086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5,098,662</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245,871</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389,874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410,935</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503,129</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 of Discontinued Operations</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1,861,735</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12)</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480" w:type="dxa"/>
            <w:vAlign w:val="bottom"/>
            <w:shd w:val="clear" w:color="auto" w:fill="CCEEFF"/>
          </w:tcPr>
          <w:p>
            <w:pPr>
              <w:ind w:left="480"/>
              <w:spacing w:after="0" w:line="147" w:lineRule="exact"/>
              <w:rPr>
                <w:sz w:val="20"/>
                <w:szCs w:val="20"/>
                <w:color w:val="auto"/>
              </w:rPr>
            </w:pPr>
            <w:r>
              <w:rPr>
                <w:rFonts w:ascii="Times New Roman" w:cs="Times New Roman" w:eastAsia="Times New Roman" w:hAnsi="Times New Roman"/>
                <w:sz w:val="14"/>
                <w:szCs w:val="14"/>
                <w:color w:val="auto"/>
              </w:rPr>
              <w:t>Common stock, par value $0.01 (authorized: 600,000,000 shares; issued: 303,075,180 shares and 301,069,012 shares;</w:t>
            </w:r>
          </w:p>
        </w:tc>
        <w:tc>
          <w:tcPr>
            <w:tcW w:w="24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0" w:type="dxa"/>
            <w:vAlign w:val="bottom"/>
          </w:tcPr>
          <w:p>
            <w:pPr>
              <w:spacing w:after="0"/>
              <w:rPr>
                <w:sz w:val="1"/>
                <w:szCs w:val="1"/>
                <w:color w:val="auto"/>
              </w:rPr>
            </w:pPr>
          </w:p>
        </w:tc>
      </w:tr>
      <w:tr>
        <w:trPr>
          <w:trHeight w:val="198"/>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and outstanding: 262,899,265 shares and 261,450,373 shares)</w:t>
            </w:r>
          </w:p>
        </w:tc>
        <w:tc>
          <w:tcPr>
            <w:tcW w:w="24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Capital surplus</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3,875,095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3,825,620</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964,158</w:t>
            </w:r>
          </w:p>
        </w:tc>
        <w:tc>
          <w:tcPr>
            <w:tcW w:w="0" w:type="dxa"/>
            <w:vAlign w:val="bottom"/>
          </w:tcPr>
          <w:p>
            <w:pPr>
              <w:spacing w:after="0"/>
              <w:rPr>
                <w:sz w:val="1"/>
                <w:szCs w:val="1"/>
                <w:color w:val="auto"/>
              </w:rPr>
            </w:pPr>
          </w:p>
        </w:tc>
      </w:tr>
      <w:tr>
        <w:trPr>
          <w:trHeight w:val="195"/>
        </w:trPr>
        <w:tc>
          <w:tcPr>
            <w:tcW w:w="7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(98,237)</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Treasury stock (shares held in treasury: 40,175,915 shares and 39,618,639 shares)</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(997,612)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(981,834)</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2,891,140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3,712,718</w:t>
            </w:r>
          </w:p>
        </w:tc>
        <w:tc>
          <w:tcPr>
            <w:tcW w:w="0" w:type="dxa"/>
            <w:vAlign w:val="bottom"/>
          </w:tcPr>
          <w:p>
            <w:pPr>
              <w:spacing w:after="0"/>
              <w:rPr>
                <w:sz w:val="1"/>
                <w:szCs w:val="1"/>
                <w:color w:val="auto"/>
              </w:rPr>
            </w:pPr>
          </w:p>
        </w:tc>
      </w:tr>
      <w:tr>
        <w:trPr>
          <w:trHeight w:val="221"/>
        </w:trPr>
        <w:tc>
          <w:tcPr>
            <w:tcW w:w="7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12,560,900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16,871,241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40" w:type="dxa"/>
            <w:vAlign w:val="bottom"/>
          </w:tcPr>
          <w:p>
            <w:pPr>
              <w:spacing w:after="0"/>
              <w:rPr>
                <w:sz w:val="16"/>
                <w:szCs w:val="16"/>
                <w:color w:val="auto"/>
              </w:rPr>
            </w:pPr>
          </w:p>
        </w:tc>
        <w:tc>
          <w:tcPr>
            <w:tcW w:w="15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6"/>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4,199,913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3,916,156</w:t>
            </w: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3,621,405</w:t>
            </w: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103,169</w:t>
            </w:r>
          </w:p>
        </w:tc>
      </w:tr>
      <w:tr>
        <w:trPr>
          <w:trHeight w:val="216"/>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66,225</w:t>
            </w:r>
          </w:p>
        </w:tc>
      </w:tr>
      <w:tr>
        <w:trPr>
          <w:trHeight w:val="210"/>
        </w:trPr>
        <w:tc>
          <w:tcPr>
            <w:tcW w:w="76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4,040,827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3,790,799</w:t>
            </w:r>
          </w:p>
        </w:tc>
      </w:tr>
      <w:tr>
        <w:trPr>
          <w:trHeight w:val="212"/>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125,357</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86,377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113,604</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11,753</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 from Continuing Operations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(2,337)</w:t>
            </w:r>
          </w:p>
        </w:tc>
      </w:tr>
      <w:tr>
        <w:trPr>
          <w:trHeight w:val="212"/>
        </w:trPr>
        <w:tc>
          <w:tcPr>
            <w:tcW w:w="7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14,090</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 attributable to Aramark stockholders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14,249</w:t>
            </w: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41,792</w:t>
            </w:r>
          </w:p>
        </w:tc>
      </w:tr>
      <w:tr>
        <w:trPr>
          <w:trHeight w:val="234"/>
        </w:trPr>
        <w:tc>
          <w:tcPr>
            <w:tcW w:w="76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 attributable to Aramark stockholders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 attributable to Aramark stockholders: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07"/>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Basic earnings per share attributable to Aramark stockholders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6"/>
        </w:trPr>
        <w:tc>
          <w:tcPr>
            <w:tcW w:w="7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 attributable to Aramark stockholders: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34"/>
        </w:trPr>
        <w:tc>
          <w:tcPr>
            <w:tcW w:w="76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Diluted earnings per share attributable to Aramark stockholders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7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260,673</w:t>
            </w:r>
          </w:p>
        </w:tc>
      </w:tr>
      <w:tr>
        <w:trPr>
          <w:trHeight w:val="219"/>
        </w:trPr>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262,537</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right"/>
              <w:ind w:right="113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40" w:type="dxa"/>
            <w:vAlign w:val="bottom"/>
          </w:tcPr>
          <w:p>
            <w:pPr>
              <w:spacing w:after="0"/>
              <w:rPr>
                <w:sz w:val="16"/>
                <w:szCs w:val="16"/>
                <w:color w:val="auto"/>
              </w:rPr>
            </w:pPr>
          </w:p>
        </w:tc>
        <w:tc>
          <w:tcPr>
            <w:tcW w:w="15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6"/>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8,607,678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7,829,876</w:t>
            </w: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7,914,230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7,213,207</w:t>
            </w: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205,766</w:t>
            </w:r>
          </w:p>
        </w:tc>
      </w:tr>
      <w:tr>
        <w:trPr>
          <w:trHeight w:val="216"/>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133,861</w:t>
            </w:r>
          </w:p>
        </w:tc>
      </w:tr>
      <w:tr>
        <w:trPr>
          <w:trHeight w:val="210"/>
        </w:trPr>
        <w:tc>
          <w:tcPr>
            <w:tcW w:w="76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8,281,642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7,552,834</w:t>
            </w:r>
          </w:p>
        </w:tc>
      </w:tr>
      <w:tr>
        <w:trPr>
          <w:trHeight w:val="212"/>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277,042</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214,555</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62,487</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 from Continuing Operations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43,578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10,399</w:t>
            </w:r>
          </w:p>
        </w:tc>
      </w:tr>
      <w:tr>
        <w:trPr>
          <w:trHeight w:val="212"/>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52,088</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 attributable to Aramark shareholders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52,747</w:t>
            </w: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77,445</w:t>
            </w:r>
          </w:p>
        </w:tc>
      </w:tr>
      <w:tr>
        <w:trPr>
          <w:trHeight w:val="234"/>
        </w:trPr>
        <w:tc>
          <w:tcPr>
            <w:tcW w:w="76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 attributable to Aramark stockholders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130,192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 attributable to Aramark stockholders: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r>
      <w:tr>
        <w:trPr>
          <w:trHeight w:val="207"/>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Basic earnings per share attributable to Aramark stockholders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6"/>
        </w:trPr>
        <w:tc>
          <w:tcPr>
            <w:tcW w:w="7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 attributable to Aramark stockholders: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r>
      <w:tr>
        <w:trPr>
          <w:trHeight w:val="234"/>
        </w:trPr>
        <w:tc>
          <w:tcPr>
            <w:tcW w:w="76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Diluted earnings per share attributable to Aramark stockholders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7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260,063</w:t>
            </w:r>
          </w:p>
        </w:tc>
      </w:tr>
      <w:tr>
        <w:trPr>
          <w:trHeight w:val="219"/>
        </w:trPr>
        <w:tc>
          <w:tcPr>
            <w:tcW w:w="7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261,993</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w:t>
      </w:r>
    </w:p>
    <w:p>
      <w:pPr>
        <w:spacing w:after="0" w:line="43"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gridSpan w:val="4"/>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60" w:type="dxa"/>
            <w:vAlign w:val="bottom"/>
          </w:tcPr>
          <w:p>
            <w:pPr>
              <w:spacing w:after="0"/>
              <w:rPr>
                <w:sz w:val="16"/>
                <w:szCs w:val="16"/>
                <w:color w:val="auto"/>
              </w:rPr>
            </w:pPr>
          </w:p>
        </w:tc>
        <w:tc>
          <w:tcPr>
            <w:tcW w:w="15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9"/>
        </w:trPr>
        <w:tc>
          <w:tcPr>
            <w:tcW w:w="724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14,090</w:t>
            </w:r>
          </w:p>
        </w:tc>
      </w:tr>
      <w:tr>
        <w:trPr>
          <w:trHeight w:val="230"/>
        </w:trPr>
        <w:tc>
          <w:tcPr>
            <w:tcW w:w="7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41,792</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55,882</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w:t>
            </w:r>
          </w:p>
        </w:tc>
      </w:tr>
      <w:tr>
        <w:trPr>
          <w:trHeight w:val="229"/>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(22,370)</w:t>
            </w:r>
          </w:p>
        </w:tc>
      </w:tr>
      <w:tr>
        <w:trPr>
          <w:trHeight w:val="230"/>
        </w:trPr>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 of equity investee's comprehensive income</w:t>
            </w: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(12,132)</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21"/>
        </w:trPr>
        <w:tc>
          <w:tcPr>
            <w:tcW w:w="7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80" w:type="dxa"/>
            <w:vAlign w:val="bottom"/>
            <w:gridSpan w:val="4"/>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60" w:type="dxa"/>
            <w:vAlign w:val="bottom"/>
          </w:tcPr>
          <w:p>
            <w:pPr>
              <w:spacing w:after="0"/>
              <w:rPr>
                <w:sz w:val="16"/>
                <w:szCs w:val="16"/>
                <w:color w:val="auto"/>
              </w:rPr>
            </w:pPr>
          </w:p>
        </w:tc>
        <w:tc>
          <w:tcPr>
            <w:tcW w:w="15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9"/>
        </w:trPr>
        <w:tc>
          <w:tcPr>
            <w:tcW w:w="724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52,088</w:t>
            </w:r>
          </w:p>
        </w:tc>
      </w:tr>
      <w:tr>
        <w:trPr>
          <w:trHeight w:val="230"/>
        </w:trPr>
        <w:tc>
          <w:tcPr>
            <w:tcW w:w="7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77,445</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129,533</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44,993</w:t>
            </w:r>
          </w:p>
        </w:tc>
      </w:tr>
      <w:tr>
        <w:trPr>
          <w:trHeight w:val="230"/>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(28,535)</w:t>
            </w:r>
          </w:p>
        </w:tc>
      </w:tr>
      <w:tr>
        <w:trPr>
          <w:trHeight w:val="230"/>
        </w:trPr>
        <w:tc>
          <w:tcPr>
            <w:tcW w:w="7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 of equity investee's comprehensive loss</w:t>
            </w: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(33,425)</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15,948</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145,481</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146,140</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7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20" w:type="dxa"/>
            <w:vAlign w:val="bottom"/>
          </w:tcPr>
          <w:p>
            <w:pPr>
              <w:spacing w:after="0"/>
              <w:rPr>
                <w:sz w:val="16"/>
                <w:szCs w:val="16"/>
                <w:color w:val="auto"/>
              </w:rPr>
            </w:pPr>
          </w:p>
        </w:tc>
        <w:tc>
          <w:tcPr>
            <w:tcW w:w="14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89"/>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 of Continuing Operations:</w:t>
            </w:r>
          </w:p>
        </w:tc>
        <w:tc>
          <w:tcPr>
            <w:tcW w:w="2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r>
      <w:tr>
        <w:trPr>
          <w:trHeight w:val="195"/>
        </w:trPr>
        <w:tc>
          <w:tcPr>
            <w:tcW w:w="7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81,519</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52,088</w:t>
            </w:r>
          </w:p>
        </w:tc>
      </w:tr>
      <w:tr>
        <w:trPr>
          <w:trHeight w:val="146"/>
        </w:trPr>
        <w:tc>
          <w:tcPr>
            <w:tcW w:w="7820" w:type="dxa"/>
            <w:vAlign w:val="bottom"/>
            <w:shd w:val="clear" w:color="auto" w:fill="CCEEFF"/>
          </w:tcPr>
          <w:p>
            <w:pPr>
              <w:ind w:left="560"/>
              <w:spacing w:after="0" w:line="147" w:lineRule="exact"/>
              <w:rPr>
                <w:sz w:val="20"/>
                <w:szCs w:val="20"/>
                <w:color w:val="auto"/>
              </w:rPr>
            </w:pPr>
            <w:r>
              <w:rPr>
                <w:rFonts w:ascii="Times New Roman" w:cs="Times New Roman" w:eastAsia="Times New Roman" w:hAnsi="Times New Roman"/>
                <w:sz w:val="14"/>
                <w:szCs w:val="14"/>
                <w:color w:val="auto"/>
              </w:rPr>
              <w:t>Adjustments to reconcile Net income from Continuing Operations to Net cash used in operating activities of Continuing</w:t>
            </w: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98"/>
        </w:trPr>
        <w:tc>
          <w:tcPr>
            <w:tcW w:w="7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Operations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214,662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205,766</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Asset write-downs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27,781</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Reduction of contingent consideration liability (see Note 14)</w:t>
            </w:r>
          </w:p>
        </w:tc>
        <w:tc>
          <w:tcPr>
            <w:tcW w:w="22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(73,891)</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18,821</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29,444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39,123</w:t>
            </w:r>
          </w:p>
        </w:tc>
      </w:tr>
      <w:tr>
        <w:trPr>
          <w:trHeight w:val="210"/>
        </w:trPr>
        <w:tc>
          <w:tcPr>
            <w:tcW w:w="7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Receivables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(262,084)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(132,341)</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(19,134)</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(23,620)</w:t>
            </w:r>
          </w:p>
        </w:tc>
      </w:tr>
      <w:tr>
        <w:trPr>
          <w:trHeight w:val="210"/>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(208,299)</w:t>
            </w:r>
          </w:p>
        </w:tc>
      </w:tr>
      <w:tr>
        <w:trPr>
          <w:trHeight w:val="195"/>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(195,553)</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made to clients on contracts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(85,335)</w:t>
            </w:r>
          </w:p>
        </w:tc>
      </w:tr>
      <w:tr>
        <w:trPr>
          <w:trHeight w:val="196"/>
        </w:trPr>
        <w:tc>
          <w:tcPr>
            <w:tcW w:w="78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83,192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32,156</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 of Continuing Operations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(435,797)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(362,438)</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 of Continuing Operations: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Purchases of property and equipment and other</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(170,566)</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Disposals of property and equipment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7,971</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(69,998)</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marketable securities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71,215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Acquisition of certain businesses, net of cash acquired</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(31,182)</w:t>
            </w:r>
          </w:p>
        </w:tc>
      </w:tr>
      <w:tr>
        <w:trPr>
          <w:trHeight w:val="196"/>
        </w:trPr>
        <w:tc>
          <w:tcPr>
            <w:tcW w:w="78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19,611</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 of Continuing Operations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(289,821)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(204,164)</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 of Continuing Operations: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219,231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174,937</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Payments of long-term borrowings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(1,568,435)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(38,234)</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change in funding under the Receivables Facility</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395,065</w:t>
            </w:r>
          </w:p>
        </w:tc>
      </w:tr>
      <w:tr>
        <w:trPr>
          <w:trHeight w:val="195"/>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Payments of dividends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(57,225)</w:t>
            </w:r>
          </w:p>
        </w:tc>
      </w:tr>
      <w:tr>
        <w:trPr>
          <w:trHeight w:val="210"/>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32,681</w:t>
            </w:r>
          </w:p>
        </w:tc>
      </w:tr>
      <w:tr>
        <w:trPr>
          <w:trHeight w:val="196"/>
        </w:trPr>
        <w:tc>
          <w:tcPr>
            <w:tcW w:w="78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(49,529)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(21,107)</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 of Continuing Operations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(833,012)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486,117</w:t>
            </w: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69,716</w:t>
            </w:r>
          </w:p>
        </w:tc>
      </w:tr>
      <w:tr>
        <w:trPr>
          <w:trHeight w:val="195"/>
        </w:trPr>
        <w:tc>
          <w:tcPr>
            <w:tcW w:w="7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(21,693)</w:t>
            </w:r>
          </w:p>
        </w:tc>
      </w:tr>
      <w:tr>
        <w:trPr>
          <w:trHeight w:val="21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(12,480)</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Discontinued Operations</w:t>
            </w: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35,543</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rates on cash and cash equivalents and restricted cash</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14,492</w:t>
            </w:r>
          </w:p>
        </w:tc>
      </w:tr>
      <w:tr>
        <w:trPr>
          <w:trHeight w:val="19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Decrease in cash and cash equivalents and restricted cash</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(1,558,226)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(30,450)</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1,972,367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365,431</w:t>
            </w:r>
          </w:p>
        </w:tc>
      </w:tr>
      <w:tr>
        <w:trPr>
          <w:trHeight w:val="18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414,141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334,981</w:t>
            </w:r>
          </w:p>
        </w:tc>
      </w:tr>
      <w:tr>
        <w:trPr>
          <w:trHeight w:val="27"/>
        </w:trPr>
        <w:tc>
          <w:tcPr>
            <w:tcW w:w="7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20" w:type="dxa"/>
            <w:vAlign w:val="bottom"/>
          </w:tcPr>
          <w:p>
            <w:pPr>
              <w:spacing w:after="0"/>
              <w:rPr>
                <w:sz w:val="16"/>
                <w:szCs w:val="16"/>
                <w:color w:val="auto"/>
              </w:rPr>
            </w:pPr>
          </w:p>
        </w:tc>
        <w:tc>
          <w:tcPr>
            <w:tcW w:w="3200" w:type="dxa"/>
            <w:vAlign w:val="bottom"/>
            <w:gridSpan w:val="4"/>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20" w:type="dxa"/>
            <w:vAlign w:val="bottom"/>
          </w:tcPr>
          <w:p>
            <w:pPr>
              <w:spacing w:after="0"/>
              <w:rPr>
                <w:sz w:val="16"/>
                <w:szCs w:val="16"/>
                <w:color w:val="auto"/>
              </w:rPr>
            </w:pPr>
          </w:p>
        </w:tc>
        <w:tc>
          <w:tcPr>
            <w:tcW w:w="14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02"/>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18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20" w:type="dxa"/>
            <w:vAlign w:val="bottom"/>
          </w:tcPr>
          <w:p>
            <w:pPr>
              <w:spacing w:after="0"/>
              <w:rPr>
                <w:sz w:val="17"/>
                <w:szCs w:val="17"/>
                <w:color w:val="auto"/>
              </w:rPr>
            </w:pPr>
          </w:p>
        </w:tc>
        <w:tc>
          <w:tcPr>
            <w:tcW w:w="14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356,605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292,199</w:t>
            </w:r>
          </w:p>
        </w:tc>
      </w:tr>
      <w:tr>
        <w:trPr>
          <w:trHeight w:val="19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 Prepayments and other current assets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57,536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32,289</w:t>
            </w: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in Current assets of discontinued operations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10,493</w:t>
            </w:r>
          </w:p>
        </w:tc>
      </w:tr>
      <w:tr>
        <w:trPr>
          <w:trHeight w:val="18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 and restricted cash</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414,141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334,981</w:t>
            </w:r>
          </w:p>
        </w:tc>
      </w:tr>
      <w:tr>
        <w:trPr>
          <w:trHeight w:val="27"/>
        </w:trPr>
        <w:tc>
          <w:tcPr>
            <w:tcW w:w="7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1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29, 2023</w:t>
            </w: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3,712,718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40"/>
              <w:spacing w:after="0" w:line="163"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Separation of Uniform Segment (see Note</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(886,514)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Payments of dividends ($0.095 per share)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29, 2023</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(994,167)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40"/>
              <w:spacing w:after="0" w:line="163"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Purchase of noncontrolling</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175"/>
        </w:trPr>
        <w:tc>
          <w:tcPr>
            <w:tcW w:w="33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Separation of Uniform Segment (see Note</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dividends ($0.095 per share)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March 29, 2024</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2,891,140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3,875,095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110,879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(100,253)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(997,612)</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3,681,966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(950,515)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Times New Roman" w:cs="Times New Roman" w:eastAsia="Times New Roman" w:hAnsi="Times New Roman"/>
                <w:sz w:val="18"/>
                <w:szCs w:val="18"/>
                <w:color w:val="auto"/>
              </w:rPr>
              <w:t>Net income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of dividends ($0.11 per share)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30, 2022</w:t>
            </w:r>
          </w:p>
        </w:tc>
        <w:tc>
          <w:tcPr>
            <w:tcW w:w="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3,143,263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3,739,583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450,249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(966,074)</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2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6"/>
                <w:szCs w:val="16"/>
                <w:color w:val="auto"/>
              </w:rPr>
              <w:t>Net income attributable to Aramark</w:t>
            </w: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Capital contributions from issuance of</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Payments of dividends ($0.11 per share)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March 31, 2023</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3,767,067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(968,801)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10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Aramark (the "Company") is a leading global provider of food and facilities services to education, healthcare, business &amp; industry and sports, leisure &amp; corrections clients. The Company's core market is the United States, which is supplemented by an additional 14-country footprint. The Company also provides services on a more limited basis in several additional countries and in offshore locations. The Company operates its business in two reportable segments that share many of the same operating characteristics: Food and Support Services United States ("FSS United States") and Food and Support Services International ("FSS International").</w:t>
      </w:r>
    </w:p>
    <w:p>
      <w:pPr>
        <w:spacing w:after="0" w:line="6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On September 30, 2023, the Company completed the previously announced separation and distribution of its Aramark Uniform and Career Apparel ("Uniform") segment into an independent publicly traded company, Vestis Corporation ("Vestis"), and the historical results of the Uniform segment have been reflected as discontinued operations in the Company's condensed consolidated financial statements for all periods prior to the separation and distribution. Assets and liabilities associated with the Uniform segment are classified as assets and liabilities of discontinued operations in the Company's Condensed Consolidated Balance Sheet as of September 29, 2023. Additional disclosures regarding the separation and distribution are provided in Note 2.</w:t>
      </w:r>
    </w:p>
    <w:p>
      <w:pPr>
        <w:spacing w:after="0" w:line="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pursuant to the rules and regulations of the Securities and Exchange Commission (the "SEC") and should be read in conjunction with the audited consolidated financial statements, and the notes to those statements, included in the Company's Form 10-K filed with the SEC on November 21, 2023. The Condensed Consolidated Balance Sheet as of September 29, 2023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spacing w:after="0" w:line="6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all of its subsidiaries in which a controlling financial interest is maintained. All intercompany transactions and accounts have been eliminated.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Standards (from most to least recent date of issuance)</w:t>
      </w:r>
    </w:p>
    <w:p>
      <w:pPr>
        <w:spacing w:after="0" w:line="10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w:t>
      </w:r>
      <w:r>
        <w:rPr>
          <w:rFonts w:ascii="Times New Roman" w:cs="Times New Roman" w:eastAsia="Times New Roman" w:hAnsi="Times New Roman"/>
          <w:sz w:val="18"/>
          <w:szCs w:val="18"/>
          <w:i w:val="1"/>
          <w:iCs w:val="1"/>
          <w:color w:val="auto"/>
        </w:rPr>
        <w:t>Accounting Standard Update ("ASU") 2022-04 Liabilities - Supplier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Finance Programs (Subtopic 405-50) </w:t>
      </w:r>
      <w:r>
        <w:rPr>
          <w:rFonts w:ascii="Times New Roman" w:cs="Times New Roman" w:eastAsia="Times New Roman" w:hAnsi="Times New Roman"/>
          <w:sz w:val="18"/>
          <w:szCs w:val="18"/>
          <w:color w:val="auto"/>
        </w:rPr>
        <w:t>to enhance the transparency of supplier finance programs, which may be referred to as reverse factoring, payables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or structured payables arrangements. The guidance requires that a buyer in a supplier finance program disclose the program's nature, activity and potential magnitude. The guidance was effective for the Company in the first quarter of fiscal 2024. The Company reviewed existing supplier finance agreements and enhanced disclosures with qualitative and quantitative information about its supplier finance program, but the adoption of this guidance did not have a material impact on the condensed consolidated financial statements.</w:t>
      </w:r>
    </w:p>
    <w:p>
      <w:pPr>
        <w:spacing w:after="0" w:line="6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FASB issued </w:t>
      </w:r>
      <w:r>
        <w:rPr>
          <w:rFonts w:ascii="Times New Roman" w:cs="Times New Roman" w:eastAsia="Times New Roman" w:hAnsi="Times New Roman"/>
          <w:sz w:val="18"/>
          <w:szCs w:val="18"/>
          <w:i w:val="1"/>
          <w:iCs w:val="1"/>
          <w:color w:val="auto"/>
        </w:rPr>
        <w:t>ASU 2021-08 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which required that an entity (acquirer) recognize and measure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in accordance with Accounting Standards Codification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 if it had originated the contracts. The guidance was effective for the Company in the first quarter of fiscal 2024. The adoption of this guidance did not have a material impact on the condensed consolidated financial statements.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Not Yet Adopted (from most to least recent date of issuance)</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SEC adopted final climate-related disclosure rules under SEC Release Nos. 33-11275 and 34-99678, </w:t>
      </w:r>
      <w:r>
        <w:rPr>
          <w:rFonts w:ascii="Times New Roman" w:cs="Times New Roman" w:eastAsia="Times New Roman" w:hAnsi="Times New Roman"/>
          <w:sz w:val="18"/>
          <w:szCs w:val="18"/>
          <w:i w:val="1"/>
          <w:iCs w:val="1"/>
          <w:color w:val="auto"/>
        </w:rPr>
        <w:t>The Enhancement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Standardization of Climate-Related Disclosures for Investors</w:t>
      </w:r>
      <w:r>
        <w:rPr>
          <w:rFonts w:ascii="Times New Roman" w:cs="Times New Roman" w:eastAsia="Times New Roman" w:hAnsi="Times New Roman"/>
          <w:sz w:val="18"/>
          <w:szCs w:val="18"/>
          <w:color w:val="auto"/>
        </w:rPr>
        <w:t>. The rules require disclosure of governance, risk management and strategy related to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climate-related risks as well as disclosure of material greenhouse gas emissions in registration statements and annual reports. In addition, the rules require presentation of certain material climate-related disclosures in the annual consolidated financial statements. On April 4, 2024, the SEC voluntarily stayed the effective date of the final rules pending completion of judicial review following legal challenges. The disclosure requirements will apply to the Company's fiscal year reporting beginning October 4, 2025, pending resolution of the stay. The Company is currently evaluating the impact of the rules on the Company’s disclosures.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Income Taxes (Topic 740): Improvements to Income Tax Disclosures</w:t>
      </w:r>
      <w:r>
        <w:rPr>
          <w:rFonts w:ascii="Times New Roman" w:cs="Times New Roman" w:eastAsia="Times New Roman" w:hAnsi="Times New Roman"/>
          <w:sz w:val="18"/>
          <w:szCs w:val="18"/>
          <w:color w:val="auto"/>
        </w:rPr>
        <w:t xml:space="preserve"> to enhance the transparency and decision usefulness of income tax disclosures. The guidance will require improvements to income tax disclosures primarily related to the rate reconciliation and income taxes paid information. The guidance is effective for the Company's annual disclosures for fiscal 2026 and early adoption is permitted. The Company is currently evaluating the impact of this standard.</w:t>
      </w:r>
    </w:p>
    <w:p>
      <w:pPr>
        <w:spacing w:after="0" w:line="45"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2023-07 Segment Reporting (Topic 280): Improvements to Reportable Segment Disclosures</w:t>
      </w:r>
      <w:r>
        <w:rPr>
          <w:rFonts w:ascii="Times New Roman" w:cs="Times New Roman" w:eastAsia="Times New Roman" w:hAnsi="Times New Roman"/>
          <w:sz w:val="18"/>
          <w:szCs w:val="18"/>
          <w:color w:val="auto"/>
        </w:rPr>
        <w:t xml:space="preserve"> to enhance the reportable segment disclosures. The guidance will require additional disclosures about significant segment expenses. The guidance is effective for the Company's annual disclosures for fiscal 2025 and early adoption is permitted. The Company is currently evaluating the impact of this standard.</w:t>
      </w:r>
    </w:p>
    <w:p>
      <w:pPr>
        <w:spacing w:after="0" w:line="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Other new accounting pronouncements recently issued or newly effective were not applicable to the Company, did not have a material impact on the condensed consolidated financial statements or are not expected to have a material impact on the condensed consolidated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Comprehensive income includes all changes to stockholders' equity during a period, except those resulting from investments by and distributions to stockholders. Components of comprehensive income include net income, changes in foreign currency translation adjustments (net of tax), changes in the fair value of cash flow hedges (net of tax) and changes to the share of any equity investees' comprehensive income (loss) (net of tax).</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the components of comprehensive income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102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60" w:type="dxa"/>
            <w:vAlign w:val="bottom"/>
          </w:tcPr>
          <w:p>
            <w:pPr>
              <w:spacing w:after="0"/>
              <w:rPr>
                <w:sz w:val="11"/>
                <w:szCs w:val="11"/>
                <w:color w:val="auto"/>
              </w:rPr>
            </w:pPr>
          </w:p>
        </w:tc>
        <w:tc>
          <w:tcPr>
            <w:tcW w:w="860" w:type="dxa"/>
            <w:vAlign w:val="bottom"/>
          </w:tcPr>
          <w:p>
            <w:pPr>
              <w:jc w:val="center"/>
              <w:ind w:right="75"/>
              <w:spacing w:after="0" w:line="137" w:lineRule="exact"/>
              <w:rPr>
                <w:sz w:val="20"/>
                <w:szCs w:val="20"/>
                <w:color w:val="auto"/>
              </w:rPr>
            </w:pPr>
            <w:r>
              <w:rPr>
                <w:rFonts w:ascii="Times New Roman" w:cs="Times New Roman" w:eastAsia="Times New Roman" w:hAnsi="Times New Roman"/>
                <w:sz w:val="14"/>
                <w:szCs w:val="14"/>
                <w:b w:val="1"/>
                <w:bCs w:val="1"/>
                <w:color w:val="auto"/>
                <w:w w:val="96"/>
              </w:rPr>
              <w:t>After-Tax</w:t>
            </w:r>
          </w:p>
        </w:tc>
        <w:tc>
          <w:tcPr>
            <w:tcW w:w="100" w:type="dxa"/>
            <w:vAlign w:val="bottom"/>
          </w:tcPr>
          <w:p>
            <w:pPr>
              <w:spacing w:after="0"/>
              <w:rPr>
                <w:sz w:val="11"/>
                <w:szCs w:val="11"/>
                <w:color w:val="auto"/>
              </w:rPr>
            </w:pPr>
          </w:p>
        </w:tc>
        <w:tc>
          <w:tcPr>
            <w:tcW w:w="102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b w:val="1"/>
                <w:bCs w:val="1"/>
                <w:color w:val="auto"/>
              </w:rPr>
              <w:t>Pre-Tax</w:t>
            </w:r>
          </w:p>
        </w:tc>
        <w:tc>
          <w:tcPr>
            <w:tcW w:w="116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60" w:type="dxa"/>
            <w:vAlign w:val="bottom"/>
          </w:tcPr>
          <w:p>
            <w:pPr>
              <w:jc w:val="center"/>
              <w:ind w:right="54"/>
              <w:spacing w:after="0" w:line="137"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95"/>
        </w:trPr>
        <w:tc>
          <w:tcPr>
            <w:tcW w:w="50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55,882</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10,658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10,156</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equity investee's comprehensive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82</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0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5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gridSpan w:val="3"/>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102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60" w:type="dxa"/>
            <w:vAlign w:val="bottom"/>
          </w:tcPr>
          <w:p>
            <w:pPr>
              <w:spacing w:after="0"/>
              <w:rPr>
                <w:sz w:val="11"/>
                <w:szCs w:val="11"/>
                <w:color w:val="auto"/>
              </w:rPr>
            </w:pPr>
          </w:p>
        </w:tc>
        <w:tc>
          <w:tcPr>
            <w:tcW w:w="860" w:type="dxa"/>
            <w:vAlign w:val="bottom"/>
          </w:tcPr>
          <w:p>
            <w:pPr>
              <w:jc w:val="center"/>
              <w:ind w:right="75"/>
              <w:spacing w:after="0" w:line="137" w:lineRule="exact"/>
              <w:rPr>
                <w:sz w:val="20"/>
                <w:szCs w:val="20"/>
                <w:color w:val="auto"/>
              </w:rPr>
            </w:pPr>
            <w:r>
              <w:rPr>
                <w:rFonts w:ascii="Times New Roman" w:cs="Times New Roman" w:eastAsia="Times New Roman" w:hAnsi="Times New Roman"/>
                <w:sz w:val="14"/>
                <w:szCs w:val="14"/>
                <w:b w:val="1"/>
                <w:bCs w:val="1"/>
                <w:color w:val="auto"/>
                <w:w w:val="96"/>
              </w:rPr>
              <w:t>After-Tax</w:t>
            </w:r>
          </w:p>
        </w:tc>
        <w:tc>
          <w:tcPr>
            <w:tcW w:w="100" w:type="dxa"/>
            <w:vAlign w:val="bottom"/>
          </w:tcPr>
          <w:p>
            <w:pPr>
              <w:spacing w:after="0"/>
              <w:rPr>
                <w:sz w:val="11"/>
                <w:szCs w:val="11"/>
                <w:color w:val="auto"/>
              </w:rPr>
            </w:pPr>
          </w:p>
        </w:tc>
        <w:tc>
          <w:tcPr>
            <w:tcW w:w="102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b w:val="1"/>
                <w:bCs w:val="1"/>
                <w:color w:val="auto"/>
              </w:rPr>
              <w:t>Pre-Tax</w:t>
            </w:r>
          </w:p>
        </w:tc>
        <w:tc>
          <w:tcPr>
            <w:tcW w:w="116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60" w:type="dxa"/>
            <w:vAlign w:val="bottom"/>
          </w:tcPr>
          <w:p>
            <w:pPr>
              <w:jc w:val="center"/>
              <w:ind w:right="54"/>
              <w:spacing w:after="0" w:line="137"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95"/>
        </w:trPr>
        <w:tc>
          <w:tcPr>
            <w:tcW w:w="50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129,533</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47,727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44,993</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(28,535)</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equity investee's comprehensive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(43,326)</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8,656</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145,481</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0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Aramark stockholders</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146,140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20" w:type="dxa"/>
            <w:vAlign w:val="bottom"/>
            <w:vMerge w:val="restart"/>
          </w:tcPr>
          <w:p>
            <w:pPr>
              <w:jc w:val="right"/>
              <w:ind w:right="276"/>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506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amounts in the table above exclude the impact of a $5.1 million pension plan adjustment and $26.3 million currency translation adjustment during the six months ended March 29, 2024 related to the separation and distribution of the Uniform segment (see Note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80" w:type="dxa"/>
            <w:vAlign w:val="bottom"/>
          </w:tcPr>
          <w:p>
            <w:pPr>
              <w:spacing w:after="0"/>
              <w:rPr>
                <w:sz w:val="16"/>
                <w:szCs w:val="16"/>
                <w:color w:val="auto"/>
              </w:rPr>
            </w:pPr>
          </w:p>
        </w:tc>
        <w:tc>
          <w:tcPr>
            <w:tcW w:w="15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(193,115)</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109,119</w:t>
            </w:r>
          </w:p>
        </w:tc>
      </w:tr>
      <w:tr>
        <w:trPr>
          <w:trHeight w:val="223"/>
        </w:trPr>
        <w:tc>
          <w:tcPr>
            <w:tcW w:w="76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(100,253)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(98,237)</w:t>
            </w:r>
          </w:p>
        </w:tc>
      </w:tr>
      <w:tr>
        <w:trPr>
          <w:trHeight w:val="21"/>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Gains and losses resulting from the translation of financial statements of non-United States subsidiaries are reflected as a component of accumulated other comprehensive loss in stockholder's equity. Beginning in fiscal 2018, Argentina was determined to have a highly inflationary economy. As a result, the Company remeasures the financial statements of Argentina's operations in accordance with the accounting guidance for highly inflationary economies. The impact of the Argentina remeasurement was a foreign currency transaction loss of $0.9 million and $4.8 million during the three and six month periods ended March 29, 2024. The impact of the Argentina remeasurement was a foreign currency transaction loss of $2.8 million and $3.9 million during the three and six month periods ended March 31, 2023. The impact of foreign currency transaction gains and losses exclusive of Argentina's operations included in the Company's operating results during the three and six month periods of both fiscal 2024 and 2023 were immaterial to the condensed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insures portions of its risk in general liability, automobile liability, workers’ compensation liability claims as well as certain property damage risks through a wholly owned captive insurance subsidiary (the "Captive") as part of its approach to risk finance.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March 29, 2024. These regulations may have the effect of limiting the Company's ability to access certain cash and cash equivalents held by the Captive for uses other than for the payment of its general liability, automobile liability, workers' compensation liability, certain property damage and related Captive costs. As of March 29, 2024 and September 29, 2023, cash and cash equivalents at the Captive were $13.2 million and $32.8 million, respectively. The Captive also invests in United States Treasury securities where the amount as of March 29, 2024 and September 29, 2023 was $112.8 million and $110.7 million, respectively, and is recorded in "Prepayments and other current assets" on the Condensed Consolidated Balance Sheets.</w:t>
      </w:r>
    </w:p>
    <w:p>
      <w:pPr>
        <w:spacing w:after="0" w:line="53"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7"/>
          <w:szCs w:val="17"/>
          <w:color w:val="auto"/>
        </w:rPr>
        <w:t>Within the FSS International segment, the Company receives certain cash on behalf of the Company's clients, which is contractually restricted from withdrawal and usage. This restricted cash is recorded in "Prepayments and other current assets" on the Condensed Consolidated Balance Sheets.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and Operating Lease Right-of-use Assets</w:t>
      </w:r>
    </w:p>
    <w:p>
      <w:pPr>
        <w:spacing w:after="0" w:line="10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During fiscal 2023, the Company completed a strategic review of certain administrative locations, taking into account facility capacity and current utilization, among other factors. Based on this review, the Company vacated or otherwise reduced its usage at certain of these locations, resulting in an analysis of the recoverability of the assets associated with the locations. As a result, for the three and six months ended March 31, 2023, the Company recorded an impairment charge of $0.7 million and $19.0 million within its FSS United States segment, which is included in "Cost of services provided (exclusive of depreciation and amortization)" on the Condensed Consolidated Statements of Income. For the three and six months ended March 31, 2023, the non-cash impairment charges within the FSS United States segment consisted of operating lease right-of-use assets of $0.7 million and $8.6 million, respectively, and property and equipment of zero and $10.4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assets consist primarily of costs to obtain or fulfill contracts (including employee sales commissions), long-term receivables, investments in 50% or less owned entities and computer software costs.</w:t>
      </w:r>
    </w:p>
    <w:p>
      <w:pPr>
        <w:spacing w:after="0" w:line="4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For investments in 50% or less owned entities accounted for under the equity method of accounting, the carrying amount as of March 29, 2024 and September 29, 2023 was $71.6 million and $73.5 million, respectively.</w:t>
      </w:r>
    </w:p>
    <w:p>
      <w:pPr>
        <w:spacing w:after="0" w:line="2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For investments in 50% or less owned entities, other than those accounted for under the equity method of accounting, the Company measures these investments at cost, less any impairment and adjusted for changes in fair value resulting from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observable price changes for an identical or a similar investment of the same issuer due to the lack of readily available fair values related to those investments. The carrying amount of equity investments without readily determinable fair values as of both March 29, 2024 and September 29, 2023 was $83.6 million.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Supply Chain Finance Program</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agreements with third-party administrators that allow participating vendors to voluntarily elect to sell payment obligations from the Company to financial institutions as part of a Supply Chain Finance Program ("SCF Program"). The Company's payment terms to the financial institutions, including the timing and amount of payments, are based on the original supplier invoices. When participating vendors elect to sell one or more of the Company's payment obligations, the Company's rights and obligations to settle the payable on their contractual due date are not impacted. The Company has no economic or commercial interest in a vendor's decision to sell the Company's payment obligations. The Company agrees on commercial terms with vendors for the goods and services procured, which are consistent with payment terms observed at other peer companies in the industry, and the terms are not impacted by the SCF Program. For the SCF Program, the Company does not provide asset pledges, or other forms of guarantees, as security for the committed payment to the financial institutions. As of March 29, 2024 and September 29, 2023, the Company had $2.2 million and $2.8 million, respectively, of outstanding payment obligations to the financial institutions as part of the SCF Program recorded in "Accounts payable" on the Condensed Consolidated Balance Sheets.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Current and Noncurrent Liabilities</w:t>
      </w:r>
    </w:p>
    <w:p>
      <w:pPr>
        <w:spacing w:after="0" w:line="94"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The Company is self-insured for certain obligations related to its employee health care benefit programs as well as for certain risks retained under its general liability, automobile liability, workers' compensation liability and certain property damage programs. Reserves for these programs are estimated through actuarial methods, with the assistance of third-party actuaries using loss development assumptions based on the Company's claims history.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Impact of COVID-19</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Coronavirus Aid, Relief and Economic Security Act ("CARES Act") provided for deferred payment of the employer portion of social security taxes through the end of calendar 2020, with 50% of the deferred amount due December 31, 2021 and the remaining 50% of the amount due December 31, 2022. Approximately $47.6 million of deferred social security taxes were paid in fiscal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September 30, 2023, the Company completed the previously announced separation and distribution of its Uniform segment into an independent publicly traded company, Vestis. The separation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New York Stock Exchange.</w:t>
      </w:r>
    </w:p>
    <w:p>
      <w:pPr>
        <w:spacing w:after="0" w:line="62"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In connection with the separation and distribution, the Company entered into or adopted several agreements that provide a framework for the relationship between the Company and Vestis, including, but not limited to the following:</w:t>
      </w:r>
    </w:p>
    <w:p>
      <w:pPr>
        <w:spacing w:after="0" w:line="1" w:lineRule="exact"/>
        <w:rPr>
          <w:sz w:val="20"/>
          <w:szCs w:val="20"/>
          <w:color w:val="auto"/>
        </w:rPr>
      </w:pPr>
    </w:p>
    <w:p>
      <w:pPr>
        <w:ind w:left="50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Separation and Distribution Agreement </w:t>
      </w:r>
      <w:r>
        <w:rPr>
          <w:rFonts w:ascii="Times New Roman" w:cs="Times New Roman" w:eastAsia="Times New Roman" w:hAnsi="Times New Roman"/>
          <w:sz w:val="18"/>
          <w:szCs w:val="18"/>
          <w:color w:val="auto"/>
        </w:rPr>
        <w:t>- governs the rights and obligations of the parties regarding the distribution following the completion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including the transfer of assets and assumption of liabilities, and establishes certain rights and obligations between the Company and Vestis following the distribution, including procedures with respect to claims subject to indemnification and related matters.</w:t>
      </w:r>
    </w:p>
    <w:p>
      <w:pPr>
        <w:spacing w:after="0" w:line="11" w:lineRule="exact"/>
        <w:rPr>
          <w:sz w:val="20"/>
          <w:szCs w:val="20"/>
          <w:color w:val="auto"/>
        </w:rPr>
      </w:pPr>
    </w:p>
    <w:p>
      <w:pPr>
        <w:ind w:left="500"/>
        <w:spacing w:after="0" w:line="287" w:lineRule="auto"/>
        <w:rPr>
          <w:sz w:val="20"/>
          <w:szCs w:val="20"/>
          <w:color w:val="auto"/>
        </w:rPr>
      </w:pPr>
      <w:r>
        <w:rPr>
          <w:rFonts w:ascii="Times New Roman" w:cs="Times New Roman" w:eastAsia="Times New Roman" w:hAnsi="Times New Roman"/>
          <w:sz w:val="17"/>
          <w:szCs w:val="17"/>
          <w:i w:val="1"/>
          <w:iCs w:val="1"/>
          <w:color w:val="auto"/>
        </w:rPr>
        <w:t xml:space="preserve">Transition Services Agreement </w:t>
      </w:r>
      <w:r>
        <w:rPr>
          <w:rFonts w:ascii="Times New Roman" w:cs="Times New Roman" w:eastAsia="Times New Roman" w:hAnsi="Times New Roman"/>
          <w:sz w:val="17"/>
          <w:szCs w:val="17"/>
          <w:color w:val="auto"/>
        </w:rPr>
        <w:t>- governs services between the Company and Vestis and their respective affiliates to provide each other on an interim,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transitional basis, various services, including, but not limited to, administrative, information technology and cybersecurity support services and certain finance, treasury, tax and governmental function services. The services will terminate no later than 24 months following the distribution date.</w:t>
      </w:r>
    </w:p>
    <w:p>
      <w:pPr>
        <w:spacing w:after="0" w:line="1" w:lineRule="exact"/>
        <w:rPr>
          <w:sz w:val="20"/>
          <w:szCs w:val="20"/>
          <w:color w:val="auto"/>
        </w:rPr>
      </w:pPr>
    </w:p>
    <w:p>
      <w:pPr>
        <w:ind w:left="500" w:right="620"/>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Tax Matters Agreement </w:t>
      </w:r>
      <w:r>
        <w:rPr>
          <w:rFonts w:ascii="Times New Roman" w:cs="Times New Roman" w:eastAsia="Times New Roman" w:hAnsi="Times New Roman"/>
          <w:sz w:val="18"/>
          <w:szCs w:val="18"/>
          <w:color w:val="auto"/>
        </w:rPr>
        <w:t>- governs the parties’ respective rights, responsibilities and obligations with respect to tax liabilities and benefits,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attributes, the preparation and filing of tax returns, the control of audits and other tax proceedings and other matters regarding taxes.</w:t>
      </w:r>
    </w:p>
    <w:p>
      <w:pPr>
        <w:spacing w:after="0" w:line="1" w:lineRule="exact"/>
        <w:rPr>
          <w:sz w:val="20"/>
          <w:szCs w:val="20"/>
          <w:color w:val="auto"/>
        </w:rPr>
      </w:pPr>
    </w:p>
    <w:p>
      <w:pPr>
        <w:ind w:left="500"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Matters Agreement </w:t>
      </w:r>
      <w:r>
        <w:rPr>
          <w:rFonts w:ascii="Times New Roman" w:cs="Times New Roman" w:eastAsia="Times New Roman" w:hAnsi="Times New Roman"/>
          <w:sz w:val="18"/>
          <w:szCs w:val="18"/>
          <w:color w:val="auto"/>
        </w:rPr>
        <w:t>- governs the allocation of liabilities and responsibilities relating to employment matters, employee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plans and programs and other related matters.</w:t>
      </w:r>
    </w:p>
    <w:p>
      <w:pPr>
        <w:spacing w:after="0" w:line="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these agreements, the Company will continue to provide certain services to Vestis following the separation and distribution. The agreements do not provide the Company with the ability to influence the operating or financial policies of Vestis subsequent to the separation date. During the three and six months ended March 29, 2024, the value of the services provided to Vestis were $3.5 million and $8.1 million, respectively. Current amounts due to Aramark from Vestis as of March 29, 2024 were not material.</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The historical results of the Uniform segment have been reflected as discontinued operations in the Company's consolidated financial statements for all periods prior to the separation and distribution on September 30,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"Income from Discontinued Operations, net of tax" are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5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74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1,373,207</w:t>
            </w:r>
          </w:p>
        </w:tc>
      </w:tr>
      <w:tr>
        <w:trPr>
          <w:trHeight w:val="19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1,128,288</w:t>
            </w: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67,507</w:t>
            </w: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72,825</w:t>
            </w:r>
          </w:p>
        </w:tc>
      </w:tr>
      <w:tr>
        <w:trPr>
          <w:trHeight w:val="210"/>
        </w:trPr>
        <w:tc>
          <w:tcPr>
            <w:tcW w:w="7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629,303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1,268,620</w:t>
            </w:r>
          </w:p>
        </w:tc>
      </w:tr>
      <w:tr>
        <w:trPr>
          <w:trHeight w:val="212"/>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104,587</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1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Before Income Taxes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103,776</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 from Discontinued Operations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26,331</w:t>
            </w:r>
          </w:p>
        </w:tc>
      </w:tr>
      <w:tr>
        <w:trPr>
          <w:trHeight w:val="234"/>
        </w:trPr>
        <w:tc>
          <w:tcPr>
            <w:tcW w:w="7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77,445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March 31, 2023, the Company incurred charges of $5.4 million and $10.4 million, respectively, related to the Company's separation and distribution of its Uniform segment, including salaries and benefits, recruiting and relocation costs, accounting and legal related expenses, branding and other costs, of which $3.5 million and $7.0 million, respectively, were recorded within "Income from Discontinued Operations, net of tax" and $1.9 million and $3.4 million, respectively, were recorded within "Selling and general corporate expenses" on the Condensed Consolidated Statements of Income.</w:t>
      </w:r>
    </w:p>
    <w:p>
      <w:pPr>
        <w:spacing w:after="0" w:line="21"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During the six months ended March 29, 2024, the Company incurred $20.0 million of transaction fees related to the separation and distribution of its Uniform segment and $8.8 million of charitable contribution expense for the contribution of Vestis shares to a donor advised fund in order to fund charitable contributions, which were recorded within "Selling and general corporate expenses" on the Condensed Consolidated Statements of Income.</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Uniform segment assets and liabilities classified as discontinued operations in the Company's Condensed Consolidated Balance Sheets (in thousands):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29, 2023</w:t>
            </w:r>
          </w:p>
        </w:tc>
      </w:tr>
      <w:tr>
        <w:trPr>
          <w:trHeight w:val="19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36,051</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(less allowance: $25,066)</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392,916</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174,720</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17,244</w:t>
            </w:r>
          </w:p>
        </w:tc>
      </w:tr>
      <w:tr>
        <w:trPr>
          <w:trHeight w:val="207"/>
        </w:trPr>
        <w:tc>
          <w:tcPr>
            <w:tcW w:w="9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620,931</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664,530</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963,543</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238,609</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57,890</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579,264</w:t>
            </w:r>
          </w:p>
        </w:tc>
      </w:tr>
      <w:tr>
        <w:trPr>
          <w:trHeight w:val="207"/>
        </w:trPr>
        <w:tc>
          <w:tcPr>
            <w:tcW w:w="9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Noncurrent Assets of Discontinued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2,503,836</w:t>
            </w:r>
          </w:p>
        </w:tc>
      </w:tr>
      <w:tr>
        <w:trPr>
          <w:trHeight w:val="239"/>
        </w:trPr>
        <w:tc>
          <w:tcPr>
            <w:tcW w:w="9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4"/>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8"/>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maturities of long-term borrowings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53,910</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19,935</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134,497</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payroll and other related expenses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113,770</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73,412</w:t>
            </w:r>
          </w:p>
        </w:tc>
      </w:tr>
      <w:tr>
        <w:trPr>
          <w:trHeight w:val="207"/>
        </w:trPr>
        <w:tc>
          <w:tcPr>
            <w:tcW w:w="9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395,524</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Borrowings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1,567,910</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46,084</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199,535</w:t>
            </w:r>
          </w:p>
        </w:tc>
      </w:tr>
      <w:tr>
        <w:trPr>
          <w:trHeight w:val="213"/>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48,206</w:t>
            </w:r>
          </w:p>
        </w:tc>
      </w:tr>
      <w:tr>
        <w:trPr>
          <w:trHeight w:val="209"/>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Noncurrent Liabilities of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1,861,735</w:t>
            </w:r>
          </w:p>
        </w:tc>
      </w:tr>
    </w:tbl>
    <w:p>
      <w:pPr>
        <w:spacing w:after="0" w:line="15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fourth quarter of fiscal 2023, the Uniform legal entity entered into the Uniform credit agreement. The Uniform credit agreement included a revolving credit facility, a United States dollar denominated term loan in the amount of $800.0 million due September 2025 and a United States dollar denominated term loan in the amount of $700.0 million due September 2028, which are recorded in "Noncurrent Liabilities of Discontinued Operations" on the Condensed Consolidated Balance Sheets as of September 29, 2023. Also in the fourth quarter of fiscal 2023, the Uniform legal entity paid a cash dividend to the Company of $1,456.7 million. On October 2, 2023, the Company used the proceeds from the cash dividend, along with cash on hand, to repay the $1,500.0 million 6.375% Senior Notes due May 1, 2025 (the "6.375% 2025 Notes") (see Note 5).</w:t>
      </w:r>
    </w:p>
    <w:p>
      <w:pPr>
        <w:spacing w:after="0" w:line="6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The Company recorded its distribution of Vestis' net assets as a change in "Retained Earnings". The amount recorded reflected the carrying amounts, as of September 29, 2023, of the net assets distributed offset by the holdback of Vestis shares upon distribution of $8.8 million, net cash received from Vestis post-separation of $6.1 million and other adjustments of $0.6 million. The Company also recorded a net decrease to "Accumulated other comprehensive loss" of $31.4 million to derecognize foreign currency translation adjustments and pension plan adjustments which were attributable to Vestis.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SEVERANCE:</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2023, the Company approved headcount reductions to streamline and improve the efficiency and effectiveness of operational and administrative functions. As a result of these actions, severance charges of $29.7 million were recorded within “Cost of services provided (exclusive of depreciation and amortization)” and "Selling and general corporate expenses" on the Condensed Consolidated Statements of Income for the three and six months ended March 31, 2023.</w:t>
      </w:r>
    </w:p>
    <w:p>
      <w:pPr>
        <w:spacing w:after="0" w:line="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severance charges by segment recognized in the Condensed Consolidated Statements of Income for the three and six months ended March 31, 2023 (in millions):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8580" w:type="dxa"/>
            <w:vAlign w:val="bottom"/>
            <w:gridSpan w:val="2"/>
          </w:tcPr>
          <w:p>
            <w:pPr>
              <w:jc w:val="right"/>
              <w:ind w:right="3210"/>
              <w:spacing w:after="0"/>
              <w:rPr>
                <w:sz w:val="20"/>
                <w:szCs w:val="20"/>
                <w:color w:val="auto"/>
              </w:rPr>
            </w:pPr>
            <w:r>
              <w:rPr>
                <w:rFonts w:ascii="Times New Roman" w:cs="Times New Roman" w:eastAsia="Times New Roman" w:hAnsi="Times New Roman"/>
                <w:sz w:val="18"/>
                <w:szCs w:val="18"/>
                <w:b w:val="1"/>
                <w:bCs w:val="1"/>
                <w:color w:val="auto"/>
              </w:rPr>
              <w:t>ARAMARK AND SUBSIDIARIES</w:t>
            </w:r>
          </w:p>
        </w:tc>
        <w:tc>
          <w:tcPr>
            <w:tcW w:w="960" w:type="dxa"/>
            <w:vAlign w:val="bottom"/>
          </w:tcPr>
          <w:p>
            <w:pPr>
              <w:spacing w:after="0"/>
              <w:rPr>
                <w:sz w:val="20"/>
                <w:szCs w:val="20"/>
                <w:color w:val="auto"/>
              </w:rPr>
            </w:pPr>
          </w:p>
        </w:tc>
      </w:tr>
      <w:tr>
        <w:trPr>
          <w:trHeight w:val="310"/>
        </w:trPr>
        <w:tc>
          <w:tcPr>
            <w:tcW w:w="1700" w:type="dxa"/>
            <w:vAlign w:val="bottom"/>
          </w:tcPr>
          <w:p>
            <w:pPr>
              <w:spacing w:after="0"/>
              <w:rPr>
                <w:sz w:val="24"/>
                <w:szCs w:val="24"/>
                <w:color w:val="auto"/>
              </w:rPr>
            </w:pPr>
          </w:p>
        </w:tc>
        <w:tc>
          <w:tcPr>
            <w:tcW w:w="858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tc>
        <w:tc>
          <w:tcPr>
            <w:tcW w:w="960" w:type="dxa"/>
            <w:vAlign w:val="bottom"/>
          </w:tcPr>
          <w:p>
            <w:pPr>
              <w:spacing w:after="0"/>
              <w:rPr>
                <w:sz w:val="24"/>
                <w:szCs w:val="24"/>
                <w:color w:val="auto"/>
              </w:rPr>
            </w:pPr>
          </w:p>
        </w:tc>
      </w:tr>
      <w:tr>
        <w:trPr>
          <w:trHeight w:val="459"/>
        </w:trPr>
        <w:tc>
          <w:tcPr>
            <w:tcW w:w="17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858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7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79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170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17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29, 2024, the Company had an accrual of approximately $7.6 million related to these unpaid severance obligations.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9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total goodwill during the six months ended March 29, 2024 are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16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6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3"/>
                <w:szCs w:val="13"/>
                <w:color w:val="auto"/>
              </w:rPr>
            </w:pPr>
          </w:p>
        </w:tc>
        <w:tc>
          <w:tcPr>
            <w:tcW w:w="14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March 29, 2024</w:t>
            </w:r>
          </w:p>
        </w:tc>
      </w:tr>
      <w:tr>
        <w:trPr>
          <w:trHeight w:val="34"/>
        </w:trPr>
        <w:tc>
          <w:tcPr>
            <w:tcW w:w="20" w:type="dxa"/>
            <w:vAlign w:val="bottom"/>
            <w:tcBorders>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FSS 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4,176,555</w:t>
            </w:r>
          </w:p>
        </w:tc>
      </w:tr>
      <w:tr>
        <w:trPr>
          <w:trHeight w:val="229"/>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FSS International</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458,895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4,615,986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4,635,450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29, 2023</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1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(476,235)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683,030</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1,176,539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1,150,360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1,137,535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1,121,443</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1,820,644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1,804,473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for the six months ended March 29, 2024 and March 31, 2023 was $51.3 million and $44.1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BORROWINGS: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borrowings, net, are summarized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60" w:type="dxa"/>
            <w:vAlign w:val="bottom"/>
          </w:tcPr>
          <w:p>
            <w:pPr>
              <w:spacing w:after="0"/>
              <w:rPr>
                <w:sz w:val="16"/>
                <w:szCs w:val="16"/>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 due April 2026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April 2026</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January 2027</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835,631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April 2028</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724,393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June 2030</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1,078,588</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senior notes, due April 2025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549,348</w:t>
            </w:r>
          </w:p>
        </w:tc>
      </w:tr>
      <w:tr>
        <w:trPr>
          <w:trHeight w:val="229"/>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3.125% senior notes, due April 2025</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342,718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6.375% senior notes, due May 2025</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1,492,153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senior notes, due February 2028</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1,143,647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1,142,910</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Facility, due July 2026</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31,933</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15,201</w:t>
            </w:r>
          </w:p>
        </w:tc>
      </w:tr>
      <w:tr>
        <w:trPr>
          <w:trHeight w:val="223"/>
        </w:trPr>
        <w:tc>
          <w:tcPr>
            <w:tcW w:w="7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5,921,485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6,641,694</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(1,543,032)</w:t>
            </w:r>
          </w:p>
        </w:tc>
      </w:tr>
      <w:tr>
        <w:trPr>
          <w:trHeight w:val="248"/>
        </w:trPr>
        <w:tc>
          <w:tcPr>
            <w:tcW w:w="7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5,098,662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20" w:hanging="394"/>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is a Euro denominated borrowing.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29, 2024, the Company had approximately $757.5 million of outstanding foreign currency borrowings.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29, 2024, the Company had approximately $771.2 million of availability under the senior secured revolving credit facility.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Agreement Refinancing</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March 27, 2024, the Company amended its existing Credit Agreement (“Amendment No. 14”), to provide for, among other things, the repricing of all the United States dollar denominated Term B-5 Loans previously outstanding under the Credit Agreement (“U.S. Term B-5 Loans due 2028”) and the repricing of all the United States dollar denominated Term B-6 Loans previously outstanding under the Credit Agreement (“U.S. Term B-6 Loans due 2030”).</w:t>
      </w:r>
    </w:p>
    <w:p>
      <w:pPr>
        <w:spacing w:after="0" w:line="5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result of the Amendment No. 14, (i) U.S. Term B-5 Loans due 2028 previously outstanding under the Credit Agreement were replaced with new United States dollar denominated Term B-7 Loans (“U.S. Term B-7 Loans due 2028”) in an amount equal to $730.5 million due in April 2028 and (ii) U.S. Term B-6 Loans due 2030 previously outstanding under the Credit Agreement were replaced with the new United States dollar denominated Term B-8 Loans (“U.S. Term B-8 Loans due 2030”) in an amount equal to $1,094.5 million due in June 2030, each with an interest rate equal to the sum of (a) the Term Secured Overnight Financing Rate ("SOFR") Rate (as defined in the Credit Agreement) plus (b) an applicable margin of 2.00% plus (c) a credit spread adjustment of 0.0% (as compared to the interest rate for the U.S. Term B-5 Loans due 2028 and the U.S. Term B-6 Loans due 2030 equal to the sum of (a) the Term SOFR Rate plus (b) an applicable margin of 2.50% plus (c) a credit spread adjustment between 0.11448% and 0.42826% (depending on the selected interest period)).</w:t>
      </w:r>
    </w:p>
    <w:p>
      <w:pPr>
        <w:spacing w:after="0" w:line="7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U.S. Term B-7 Loans due 2028 do not require any quarterly repayments of the principal amount and require the payment of $730.5 million at maturity. The U.S. Term B-8 Loans due 2030 require repayment of principal in quarterly installments of $2.8 million from March 31, 2024 through March 31, 2030 and $1,025.8 million at maturity.</w:t>
      </w:r>
    </w:p>
    <w:p>
      <w:pPr>
        <w:spacing w:after="0" w:line="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capitalized $0.9 million of transaction costs directly attributable to the repricings in Amendment No. 14, which are included in “Long-Term Borrowings” on the Condensed Consolidated Balance Sheet as of March 29, 2024. Amounts paid for capitalized transaction costs are included within “Other financing activities” on the Condensed Consolidated Statement of Cash Flows for the six months ended March 29, 2024. Additionally, the Company recorded $1.6 million of charges to "Interest Expense, net" on the Condensed Consolidated Statements of Income for the three and six months ended March 29, 2024, consisting of a $1.2 million non-cash loss for the write-off of unamortized deferred financing costs and discount on the U.S. Term B-5 Loans due 2028 and U.S. Term B-6 Loans due 2030 and the payment of $0.4 million of transaction costs related to the repricings.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6.375% Senior Notes due 2025 Repayment</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October 2, 2023, the Company repaid the $1,500.0 million 6.375% 2025 Notes in conjunction with the separation and distribution of the Uniform segment (see Note 2). The Company recorded $31.8 million of charges to "Interest Expense, net" in the Condensed Consolidated Statements of Income for the six months ended March 29, 2024, consisting of the payment of a $23.9 million call premium and a $7.9 million non-cash loss for the write-off of unamortized deferred financing costs on the 6.375% 2025 Notes. The amount paid for the call premium is included within "Other financing activities" on the Condensed Consolidated Statements of Cash Flows for the six months ended March 29,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INSTRUMENTS:</w:t>
      </w:r>
    </w:p>
    <w:p>
      <w:pPr>
        <w:spacing w:after="0" w:line="10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enters into contractual derivative arrangements to manage changes in market conditions related to interest on debt obligations, including interest rate swap agreements, that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has $2.3 billion notional amount of outstanding interest rate swap agreements as of March 29, 2024, which fix the rate on a like amount of variable rate borrowings with varying maturities through December of fiscal 2028. During the second quarter of fiscal 2024, $100.0 million notional amount of previously forward starting interest rate swap agreements to hedge the cash flow risk of variability in interest payments on variable rate borrowings became effective.</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As of March 29, 2024 and September 29, 2023, $80.9 million and $109.1 million, respectively, of unrealized net of tax gains related to the interest rate swaps were included in "Accumulated other comprehensive loss" on the Condensed Consolidated Balance Sheets.</w:t>
      </w:r>
    </w:p>
    <w:p>
      <w:pPr>
        <w:spacing w:after="0" w:line="48"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effect of the Company's derivatives designated as cash flow hedging instruments on Other comprehensive income (loss) (in thousands):</w:t>
      </w: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38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38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9"/>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40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w:t>
            </w:r>
          </w:p>
        </w:tc>
      </w:tr>
      <w:tr>
        <w:trPr>
          <w:trHeight w:val="273"/>
        </w:trPr>
        <w:tc>
          <w:tcPr>
            <w:tcW w:w="38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80" w:type="dxa"/>
            <w:vAlign w:val="bottom"/>
            <w:gridSpan w:val="4"/>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38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38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9"/>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40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(14,331)</w:t>
            </w:r>
          </w:p>
        </w:tc>
      </w:tr>
      <w:tr>
        <w:trPr>
          <w:trHeight w:val="905"/>
        </w:trPr>
        <w:tc>
          <w:tcPr>
            <w:tcW w:w="3840" w:type="dxa"/>
            <w:vAlign w:val="bottom"/>
          </w:tcPr>
          <w:p>
            <w:pPr>
              <w:spacing w:after="0"/>
              <w:rPr>
                <w:sz w:val="24"/>
                <w:szCs w:val="24"/>
                <w:color w:val="auto"/>
              </w:rPr>
            </w:pPr>
          </w:p>
        </w:tc>
        <w:tc>
          <w:tcPr>
            <w:tcW w:w="400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9"/>
        </w:trPr>
        <w:tc>
          <w:tcPr>
            <w:tcW w:w="3840" w:type="dxa"/>
            <w:vAlign w:val="bottom"/>
            <w:tcBorders>
              <w:bottom w:val="single" w:sz="8" w:color="9A9A9A"/>
            </w:tcBorders>
          </w:tcPr>
          <w:p>
            <w:pPr>
              <w:spacing w:after="0"/>
              <w:rPr>
                <w:sz w:val="14"/>
                <w:szCs w:val="14"/>
                <w:color w:val="auto"/>
              </w:rPr>
            </w:pPr>
          </w:p>
        </w:tc>
        <w:tc>
          <w:tcPr>
            <w:tcW w:w="40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location and fair value, using Level 2 inputs (see Note 14 for a description of the fair value levels), of the Company's derivatives designated as hedging instruments on the Condensed Consolidated Balance Sheets (in thousands):</w:t>
      </w: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58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60" w:type="dxa"/>
            <w:vAlign w:val="bottom"/>
          </w:tcPr>
          <w:p>
            <w:pPr>
              <w:spacing w:after="0"/>
              <w:rPr>
                <w:sz w:val="16"/>
                <w:szCs w:val="16"/>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428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147,458</w:t>
            </w:r>
          </w:p>
        </w:tc>
      </w:tr>
    </w:tbl>
    <w:p>
      <w:pPr>
        <w:spacing w:after="0" w:line="22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location of the gain reclassified from "Accumulated other comprehensive loss" into earnings for derivatives designated as hedging instruments on the Condensed Consolidated Statements of Income (in thousands):</w:t>
      </w: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36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36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364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20" w:type="dxa"/>
            <w:vAlign w:val="bottom"/>
          </w:tcPr>
          <w:p>
            <w:pPr>
              <w:spacing w:after="0"/>
              <w:rPr>
                <w:sz w:val="17"/>
                <w:szCs w:val="17"/>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29, 2024, the Company has a Euro denominated term loan in the amount of €65.0 million. The term loan was designated as a hedge of the Company's net Euro currency exposure represented by certain holdings in the Company's European affiliates.</w:t>
      </w:r>
    </w:p>
    <w:p>
      <w:pPr>
        <w:spacing w:after="0" w:line="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March 29, 2024, the net of tax gain expected to be reclassified from "Accumulated other comprehensive loss" into earnings over the next twelve months based on current market rates is approximately $45.9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REVENUE RECOGNITION:</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generates revenue through sales of food and facility services to customers based on written contracts at the locations it serves. The Company provides food and beverage services, including catering and retail services, and facilities services, including plant operations and maintenance, custodial, housekeeping, landscaping and other services.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0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revenue source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3140" w:type="dxa"/>
            <w:vAlign w:val="bottom"/>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0"/>
        </w:trPr>
        <w:tc>
          <w:tcPr>
            <w:tcW w:w="4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6"/>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&amp; Industry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w:t>
            </w:r>
          </w:p>
        </w:tc>
      </w:tr>
      <w:tr>
        <w:trPr>
          <w:trHeight w:val="230"/>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Education</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1,987.3</w:t>
            </w:r>
          </w:p>
        </w:tc>
      </w:tr>
      <w:tr>
        <w:trPr>
          <w:trHeight w:val="229"/>
        </w:trPr>
        <w:tc>
          <w:tcPr>
            <w:tcW w:w="424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Healthcare</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r>
      <w:tr>
        <w:trPr>
          <w:trHeight w:val="230"/>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w:t>
            </w:r>
          </w:p>
        </w:tc>
      </w:tr>
      <w:tr>
        <w:trPr>
          <w:trHeight w:val="229"/>
        </w:trPr>
        <w:tc>
          <w:tcPr>
            <w:tcW w:w="4240" w:type="dxa"/>
            <w:vAlign w:val="bottom"/>
            <w:tcBorders>
              <w:bottom w:val="single" w:sz="8" w:color="CCEEFF"/>
            </w:tcBorders>
          </w:tcPr>
          <w:p>
            <w:pPr>
              <w:ind w:left="200"/>
              <w:spacing w:after="0" w:line="230" w:lineRule="exact"/>
              <w:rPr>
                <w:sz w:val="20"/>
                <w:szCs w:val="20"/>
                <w:color w:val="auto"/>
              </w:rPr>
            </w:pPr>
            <w:r>
              <w:rPr>
                <w:rFonts w:ascii="Times New Roman" w:cs="Times New Roman" w:eastAsia="Times New Roman" w:hAnsi="Times New Roman"/>
                <w:sz w:val="18"/>
                <w:szCs w:val="18"/>
                <w:color w:val="auto"/>
              </w:rPr>
              <w:t>Facilities &amp; Other</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r>
      <w:tr>
        <w:trPr>
          <w:trHeight w:val="223"/>
        </w:trPr>
        <w:tc>
          <w:tcPr>
            <w:tcW w:w="4240" w:type="dxa"/>
            <w:vAlign w:val="bottom"/>
            <w:shd w:val="clear" w:color="auto" w:fill="CCEEFF"/>
          </w:tcPr>
          <w:p>
            <w:pPr>
              <w:jc w:val="right"/>
              <w:ind w:right="2010"/>
              <w:spacing w:after="0"/>
              <w:rPr>
                <w:sz w:val="20"/>
                <w:szCs w:val="20"/>
                <w:color w:val="auto"/>
              </w:rPr>
            </w:pPr>
            <w:r>
              <w:rPr>
                <w:rFonts w:ascii="Times New Roman" w:cs="Times New Roman" w:eastAsia="Times New Roman" w:hAnsi="Times New Roman"/>
                <w:sz w:val="18"/>
                <w:szCs w:val="18"/>
                <w:color w:val="auto"/>
              </w:rPr>
              <w:t>Total FSS United States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5,764.2</w:t>
            </w:r>
          </w:p>
        </w:tc>
      </w:tr>
      <w:tr>
        <w:trPr>
          <w:trHeight w:val="270"/>
        </w:trPr>
        <w:tc>
          <w:tcPr>
            <w:tcW w:w="4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w:t>
            </w:r>
          </w:p>
        </w:tc>
      </w:tr>
      <w:tr>
        <w:trPr>
          <w:trHeight w:val="230"/>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r>
      <w:tr>
        <w:trPr>
          <w:trHeight w:val="223"/>
        </w:trPr>
        <w:tc>
          <w:tcPr>
            <w:tcW w:w="424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Total FSS International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2,065.7</w:t>
            </w:r>
          </w:p>
        </w:tc>
      </w:tr>
      <w:tr>
        <w:trPr>
          <w:trHeight w:val="270"/>
        </w:trPr>
        <w:tc>
          <w:tcPr>
            <w:tcW w:w="42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3,916.2</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8,607.7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7,829.9</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20" w:right="40" w:hanging="394"/>
        <w:spacing w:after="0" w:line="189" w:lineRule="auto"/>
        <w:tabs>
          <w:tab w:leader="none" w:pos="420" w:val="left"/>
        </w:tabs>
        <w:numPr>
          <w:ilvl w:val="0"/>
          <w:numId w:val="4"/>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1"/>
          <w:szCs w:val="11"/>
          <w:color w:val="auto"/>
        </w:rPr>
        <w:t>Beginning in fiscal 2024, management began reporting results for healthcare facility services within "Healthcare", whereas the results were previously reported within "Facilities &amp; Other". As such, the "Healthcare" and "Facilities &amp; Other" results for the three and six months ended March 31, 2023 were recast to reflect this change.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6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Deferred income is recognized in "Accrued expenses and other 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deferred income is expected to be recognized in the next 12 months. If the Company cannot render its performance obligation according to contract terms after receiving the consideration in advance, amounts may be contractually required to be refunded to the customer.</w:t>
      </w:r>
    </w:p>
    <w:p>
      <w:pPr>
        <w:spacing w:after="0" w:line="6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During the six months ended March 29, 2024, deferred income increased related to customer prepayments and decreased related to income recognized during the period as a result of satisfying the performance obligation or return of funds related to non-performance. For the six months ended March 29, 2024, the Company recognized $233.8 million of revenue that was included in deferred income at the beginning of the period. Deferred income balances are summarized in the following table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6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29, 2023</w:t>
            </w:r>
          </w:p>
        </w:tc>
      </w:tr>
      <w:tr>
        <w:trPr>
          <w:trHeight w:val="23"/>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29, 2024, the Company recorded a valuation allowance to the "Provision for Income Taxes from Continuing Operations" on the Condensed Consolidated Statements of Income of $7.1 million against certain foreign tax credits, as it is more likely than not a tax benefit will not be realized due to the reduction of future forecasted foreign income as a result of the separation and distribution of the Uniform segment.</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March 31, 2023, the Company recorded a benefit to the "Provision for Income Taxes from Continuing Operations" on the Condensed Consolidated Statements of Income of $3.8 million for the reversal of a valuation allowance at a foreign subsidiary driven by the Company's ability to utilize the deferred tax assets based on future taxable income expected due to the acquisition of a business.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April 26, 2024, the Company's Board of Directors approved a $0.095 dividend per share of common stock, payable on May 28, 2024, to stockholders of record on the close of business on May 13,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100.0 million shares of preferred stock authorized, with a par value of $0.01 per share. At March 29, 2024 and September 29, 2023, zero shares of preferred stock were issued or outstanding.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SHARE-BASED COMPENSATION:</w:t>
      </w:r>
    </w:p>
    <w:p>
      <w:pPr>
        <w:spacing w:after="0" w:line="9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On October 13, 2023, the Company's Compensation and Human Resources Committee of the Board of Directors (the "Committee"), pursuant to the terms of the Third Amended and Restated 2013 Stock Incentive Plan and to reflect the separation and distribution of the Company’s Uniform segment that occurred on September 30, 2023, approved amendments to the performance goals and performance periods for the Company’s outstanding Performance Stock Units ("PSUs"). For the PSUs granted in fiscal 2022, which were subject to performance targets for the three-year period ending September 27, 2024, two-thirds of these PSUs became subject to new adjusted performance targets and an adjusted performance period for the two-year period ending September 29, 2023 and the remaining one-third of these PSUs will be subject to new adjusted performance targets for the one-year period ending September 27, 2024. The PSUs granted in fiscal 2023, which were subject to performance targets for the three-year period ending October 3, 2025, were amended to be subject to adjusted performance targets primarily to reflect the Company on a post-spin off basis. The Committee also approved adjustments increasing the maximum aggregate number of shares authorized for awards under the 2023 Stock Plan by an additional 3.5 million shares.</w:t>
      </w:r>
    </w:p>
    <w:p>
      <w:pPr>
        <w:spacing w:after="0" w:line="77"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share-based compensation expense and related information for Time-Based Options ("TBOs"), Retention Time-Based Options ("TBO-Rs"), Time-Based Restricted Stock Units ("RSUs"), PSUs, Deferred Stock Units and Employee Stock Purchase Plan ("ESPP") recorded within "Selling and general corporate expenses" on the Condensed Consolidated Statements of Income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88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TBOs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TBO-Rs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Stock Units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4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ESPP</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49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related to share-based compensation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Option Exercises/ESPP Purchases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on Share Deliveries</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w:t>
      </w:r>
    </w:p>
    <w:p>
      <w:pPr>
        <w:ind w:left="400"/>
        <w:spacing w:after="0"/>
        <w:rPr>
          <w:sz w:val="20"/>
          <w:szCs w:val="20"/>
          <w:color w:val="auto"/>
        </w:rPr>
      </w:pPr>
      <w:r>
        <w:rPr>
          <w:rFonts w:ascii="Times New Roman" w:cs="Times New Roman" w:eastAsia="Times New Roman" w:hAnsi="Times New Roman"/>
          <w:sz w:val="13"/>
          <w:szCs w:val="13"/>
          <w:color w:val="auto"/>
        </w:rPr>
        <w:t>The Company suspended its ESPP beginning in the second quarter of fiscal 2023.</w:t>
      </w:r>
    </w:p>
    <w:p>
      <w:pPr>
        <w:spacing w:after="0" w:line="187"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The below table summarizes the number of shares granted and the weighted-average grant-date fair value per unit during the six months ended March 29,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34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Shares Granted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right"/>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(dollars per share)</w:t>
            </w:r>
          </w:p>
        </w:tc>
        <w:tc>
          <w:tcPr>
            <w:tcW w:w="0" w:type="dxa"/>
            <w:vAlign w:val="bottom"/>
          </w:tcPr>
          <w:p>
            <w:pPr>
              <w:spacing w:after="0"/>
              <w:rPr>
                <w:sz w:val="1"/>
                <w:szCs w:val="1"/>
                <w:color w:val="auto"/>
              </w:rPr>
            </w:pPr>
          </w:p>
        </w:tc>
      </w:tr>
      <w:tr>
        <w:trPr>
          <w:trHeight w:val="22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TBOs</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30"/>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29"/>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0.7</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9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attributable to the Company's stockholders (in thousands, except per share data):</w:t>
      </w: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80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2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Net income from Continuing Operations attributable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 Aramark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52,747</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77,445</w:t>
            </w:r>
          </w:p>
        </w:tc>
        <w:tc>
          <w:tcPr>
            <w:tcW w:w="0" w:type="dxa"/>
            <w:vAlign w:val="bottom"/>
          </w:tcPr>
          <w:p>
            <w:pPr>
              <w:spacing w:after="0"/>
              <w:rPr>
                <w:sz w:val="1"/>
                <w:szCs w:val="1"/>
                <w:color w:val="auto"/>
              </w:rPr>
            </w:pPr>
          </w:p>
        </w:tc>
      </w:tr>
      <w:tr>
        <w:trPr>
          <w:trHeight w:val="223"/>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attributable to Aramark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130,192</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260,063</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23"/>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265,282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262,537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264,775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261,993</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Aramark stockholders: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30"/>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155"/>
        </w:trPr>
        <w:tc>
          <w:tcPr>
            <w:tcW w:w="5220" w:type="dxa"/>
            <w:vAlign w:val="bottom"/>
            <w:tcBorders>
              <w:top w:val="single" w:sz="8" w:color="CCEEFF"/>
            </w:tcBorders>
            <w:shd w:val="clear" w:color="auto" w:fill="CCEEFF"/>
          </w:tcPr>
          <w:p>
            <w:pPr>
              <w:ind w:left="440"/>
              <w:spacing w:after="0" w:line="156" w:lineRule="exact"/>
              <w:rPr>
                <w:sz w:val="20"/>
                <w:szCs w:val="20"/>
                <w:color w:val="auto"/>
              </w:rPr>
            </w:pPr>
            <w:r>
              <w:rPr>
                <w:rFonts w:ascii="Times New Roman" w:cs="Times New Roman" w:eastAsia="Times New Roman" w:hAnsi="Times New Roman"/>
                <w:sz w:val="18"/>
                <w:szCs w:val="18"/>
                <w:color w:val="auto"/>
              </w:rPr>
              <w:t>Basic earnings per share attributable to Aramark</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Aramark stockholders: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29"/>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155"/>
        </w:trPr>
        <w:tc>
          <w:tcPr>
            <w:tcW w:w="5220" w:type="dxa"/>
            <w:vAlign w:val="bottom"/>
            <w:tcBorders>
              <w:top w:val="single" w:sz="8" w:color="CCEEFF"/>
            </w:tcBorders>
            <w:shd w:val="clear" w:color="auto" w:fill="CCEEFF"/>
          </w:tcPr>
          <w:p>
            <w:pPr>
              <w:ind w:left="440"/>
              <w:spacing w:after="0" w:line="156" w:lineRule="exact"/>
              <w:rPr>
                <w:sz w:val="20"/>
                <w:szCs w:val="20"/>
                <w:color w:val="auto"/>
              </w:rPr>
            </w:pPr>
            <w:r>
              <w:rPr>
                <w:rFonts w:ascii="Times New Roman" w:cs="Times New Roman" w:eastAsia="Times New Roman" w:hAnsi="Times New Roman"/>
                <w:sz w:val="18"/>
                <w:szCs w:val="18"/>
                <w:color w:val="auto"/>
              </w:rPr>
              <w:t>Diluted earnings per share attributable to Aramark</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Share-based awards to purchase 10.2 million and 8.3 million shares were outstanding for the three months ended March 29, 2024 and March 31, 2023, respectively, but were not included in the computation of diluted earnings per common share, as their effect would have been antidilutive. In addition, PSUs related to 1.4 million and 0.8 million shares were outstanding for the three months ended March 29, 2024 and March 31, 2023, respectively, but were not included in the computation of diluted earnings per common share, as the performance targets were not yet met.</w:t>
      </w:r>
    </w:p>
    <w:p>
      <w:pPr>
        <w:spacing w:after="0" w:line="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Share-based awards to purchase 11.5 million and 8.4 million shares were outstanding for the six months ended March 29, 2024 and March 31, 2023, respectively, but were not included in the computation of diluted earnings per common share, as their effect would have been antidilutive. In addition, PSUs related to 1.4 million and 0.8 million shares were outstanding for the six months ended March 29, 2024 and March 31, 2023, respectively, but were not included in the computation of diluted earnings per common share, as the performance targets were not yet met.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Certain of the Company's lease arrangements, primarily vehicle leases, with terms of one to eight years, contain provisions related to residual value guarantees. The maximum potential liability to the Company under such arrangements was approximately $33.1 million at March 29, 2024 if the terminal fair value of vehicles coming off lease was zero. Consistent with past experience, management does not expect any significant required payments pursuant to these arrangements. No amounts have been accrued for the guarantee arrangements at March 29, 2024.</w:t>
      </w:r>
    </w:p>
    <w:p>
      <w:pPr>
        <w:spacing w:after="0" w:line="5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From time to time, the Company and its subsidiaries are a party to various legal actions, proceedings and investigations involving claims incidental to the conduct of their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BUSINESS SEGMENTS: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reports its operating results in two reportable segments: FSS United States and FSS International. Corporate includes general expenses not specifically allocated to an individual segment and share-based compensation expense (see Note 10). Approximately 74% of the global revenue is related to food services and 26% is related to facilities services. During the six months ended March 31, 2023, the Company received proceeds of $19.8 million relating to the recovery of the Company's investment (possessory interest) at one of the National Park Service sites within the FSS United States segment. The Company recorded a gain related to the recovery of its investment, which is included in "Cost of services provided (exclusive of depreciation and amortization)" on the Condensed Consolidated Statements of Income.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follows (in millions):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40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20" w:type="dxa"/>
            <w:vAlign w:val="bottom"/>
            <w:vMerge w:val="continue"/>
          </w:tcPr>
          <w:p>
            <w:pPr>
              <w:spacing w:after="0"/>
              <w:rPr>
                <w:sz w:val="15"/>
                <w:szCs w:val="15"/>
                <w:color w:val="auto"/>
              </w:rPr>
            </w:pPr>
          </w:p>
        </w:tc>
        <w:tc>
          <w:tcPr>
            <w:tcW w:w="17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7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96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3,043.4</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2,843.2</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5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9"/>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96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Income</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Income from Continuing Operations Before Income Taxes</w:t>
            </w:r>
          </w:p>
        </w:tc>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9"/>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96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9"/>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96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5,764.2</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5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9"/>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96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Income</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00" w:type="dxa"/>
            <w:vAlign w:val="bottom"/>
            <w:tcBorders>
              <w:bottom w:val="single" w:sz="8" w:color="9A9A9A"/>
            </w:tcBorders>
          </w:tcPr>
          <w:p>
            <w:pPr>
              <w:spacing w:after="0"/>
              <w:rPr>
                <w:sz w:val="14"/>
                <w:szCs w:val="14"/>
                <w:color w:val="auto"/>
              </w:rPr>
            </w:pPr>
          </w:p>
        </w:tc>
        <w:tc>
          <w:tcPr>
            <w:tcW w:w="27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Income from Continuing Operations Before Income Taxes</w:t>
            </w: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20" w:type="dxa"/>
            <w:vAlign w:val="bottom"/>
          </w:tcPr>
          <w:p>
            <w:pPr>
              <w:spacing w:after="0"/>
              <w:rPr>
                <w:sz w:val="16"/>
                <w:szCs w:val="16"/>
                <w:color w:val="auto"/>
              </w:rPr>
            </w:pPr>
          </w:p>
        </w:tc>
        <w:tc>
          <w:tcPr>
            <w:tcW w:w="14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OF FINANCIAL ASSETS AND FINANCIAL LIABILITIES: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54" w:lineRule="exact"/>
        <w:rPr>
          <w:sz w:val="20"/>
          <w:szCs w:val="20"/>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methodology are quoted prices (unadjusted) for identical assets or liabilities in active markets</w:t>
      </w:r>
    </w:p>
    <w:p>
      <w:pPr>
        <w:spacing w:after="0" w:line="90"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8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40"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9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March 29, 2024 and September 29, 2023 was $5,910.4 million and $6,606.7 million, respectively. The carrying value of the Company's debt at March 29, 2024 and September 29, 2023 was $5,921.5 million and $6,641.7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part of the Union Supply acquisition completed in fiscal 2022, the Company recorded a contingent consideration obligation based on the fair value of the expected payments with a separate amount that was accounted for as compensation expense and recognized on the Condensed Consolidated Statements of Income over the earnout period. The Company performed a fair value assessment of the contingent consideration obligation based on the terms and conditions of the Union Supply purchase agreement, using internal models. The inputs utilized in estimating the fair value of the contingent consideration have been classified as Level 3 in the fair value hierarchy levels and are subject to risk and uncertainty. The calculation of fair value is dependent on several subjective factors including the determination of earnings and profitability. If assumptions or estimates vary from what was expected, the fair value of the contingent consideration liability may materially change. During the three and six months ended March 31, 2023, the Company adjusted the contingent consideration liability to the fair value of the future expected payment, resulting in income of $29.7 million, which is comprised of the adjusted contingent consideration liability recorded as part of the acquisition and reversal of a portion of compensation expense previously recognized in the Condensed Consolidated Statements of Income since the acquisition. The income is included in "Cost of services provided (exclusive of depreciation and amortization)" on the Condensed Consolidated Statements of Income. The contingent consideration liability at March 29, 2024 and September 29, 2023 was $9.0 million and $8.4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Next Level acquisition completed in fiscal 2021, the Company recorded a contingent consideration obligation based on the fair value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payments. The Company performed a fair value assessment of the contingent consideration obligation based on the terms and conditions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Level purchase agreement, as amended, using internal models. The inputs utilized in estimating the fair value of the contingent consideration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classified as Level 3 in the fair value hierarchy levels and are subject to risk and uncertainty. During the three and six months ended March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adjusted the contingent consideration liability to the fair value of the future expected payment, resulting in income of $18.4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 million, respectively, which is included in "Cost of services provided (exclusive of depreciation and amortization)" on the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Income. The earnout period has ended and the fair value of the contingent consideration liability at March 29, 2024 and September 29,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zero.</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Aramark's (the "Company," "we," "our" and "us") financial condition and results of operations for the three and six months ended March 29, 2024 and March 31, 2023 should be read in conjunction with our audited consolidated financial statements and the notes to those statements for the fiscal year ended September 29, 2023 included in our Annual Report on Form 10-K, filed with the Securities and Exchange Commission (the "SEC") on November 21, 2023.</w:t>
      </w:r>
    </w:p>
    <w:p>
      <w:pPr>
        <w:spacing w:after="0" w:line="5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leading global provider of food and facilities services to education, healthcare, business &amp; industry and sports, leisure &amp; corrections clients. Our core market is the United States, which is supplemented by an additional 14-country footprint. Through our established brand, broad geographic presence and employees, we anchor our business in our partnerships with thousands of clients. Through these partnerships, we serve millions of consumers including students, patients, employees, sports fans and guests worldwide. We operate our business in two reportable segments: Food and Support Services United States ("FSS United States") and Food and Support Services International ("FSS International").</w:t>
      </w:r>
    </w:p>
    <w:p>
      <w:pPr>
        <w:spacing w:after="0" w:line="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FSS United States reportable segment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Administrative expenses not allocated to our two reportable segments are presented separately as corporate expenses.</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September 30, 2023, we completed the previously announced separation and distribution of our Aramark Uniform and Career Apparel ("Uniform") segment into an independent publicly traded company, Vestis Corporation ("Vestis"), and the historical results of the Uniform segment have been reflected as discontinued operations in our condensed consolidated financial statements for all periods prior to the separation and distribution. Assets and liabilities associated to the Uniform segment are classified as assets and liabilities of discontinued operations in our Condensed Consolidated Balance Sheet as of September 29, 2023. Additional disclosures regarding the separation and distribution are provided in Note 2 to the condensed consolidated financial statements.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Business Environment</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seen improving inflation trends where inflationary costs in product, energy and labor have continued to moderate over the first half of fiscal 2024, particularly in the United States. However, inflation remains elevated as compared to historical rates within the United States and abroad. In addition, we continue to see elevated market interest rates and significant changes in foreign currencies. We expect these conditions to continue in the near-term, and we regularly evaluate and believe we take appropriate actions to mitigate risk in these areas. These actions include management of operating costs, including supply chain initiatives and pricing actions, and managing interest rate risk through the use of interest rate swaps.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revenue and operating results have varied, and we expect them to continue to vary, from quarter to quarter as a result of different factors. Historically, within our FSS United States segment, there has been a lower level of activity during the first half of our fiscal year in operations that provide services to sports and leisure clients. This lower level of activity, historically, has been partially offset during the first half of our fiscal year by the increased activity levels in our educational operations. Conversely, historically there has been a significant increase in the provision of services to sports and leisure clients during the second half of our fiscal year, which is partially offset by the effect of summer recess at colleges, universities and schools in our educational operations. For cash flows, historically there has been cash usage during our first fiscal quarter due to lower activity within our sports and leisure clients as well as payments related to employee incentives. Conversely, historically there have been cash inflows during our fourth fiscal quarter due to an inflow of customer prepayments particularly within our Higher Education business in anticipation of the fall semester and higher activity within our sports and leisure clients.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fiscal year is the fifty-two or fifty-three week period which ends on the Friday nearest September 30th. The fiscal years ending September 27, 2024 and September 29, 2023 are both fifty-two week periods.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tables present an overview of our results on a consolidated and segment basis with the amount of and percentage change between periods for the three and six months ended March 29, 2024 and March 31, 2023 (in millions).</w:t>
      </w: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7"/>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1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8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8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Provision (Benefit) for Income Taxes from Continuing</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8"/>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gridSpan w:val="7"/>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Segment</w:t>
            </w:r>
            <w:r>
              <w:rPr>
                <w:rFonts w:ascii="Times New Roman" w:cs="Times New Roman" w:eastAsia="Times New Roman" w:hAnsi="Times New Roman"/>
                <w:sz w:val="9"/>
                <w:szCs w:val="9"/>
                <w:b w:val="1"/>
                <w:bCs w:val="1"/>
                <w:color w:val="auto"/>
              </w:rPr>
              <w:t>(1)</w:t>
            </w: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74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7"/>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by Segment</w:t>
            </w: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meaningful</w:t>
      </w:r>
    </w:p>
    <w:p>
      <w:pPr>
        <w:spacing w:after="0" w:line="69" w:lineRule="exact"/>
        <w:rPr>
          <w:sz w:val="20"/>
          <w:szCs w:val="20"/>
          <w:color w:val="auto"/>
        </w:rPr>
      </w:pPr>
    </w:p>
    <w:p>
      <w:pPr>
        <w:ind w:right="460" w:firstLine="8"/>
        <w:spacing w:after="0" w:line="302" w:lineRule="auto"/>
        <w:tabs>
          <w:tab w:leader="none" w:pos="2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percentage of total revenue, FSS United States represented 72.5% and 72.6% and FSS International represented 27.5% and 27.4% for the three months ended March 29, 2024 and March 31, 2023, respectively.</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40" w:type="dxa"/>
            <w:vAlign w:val="bottom"/>
          </w:tcPr>
          <w:p>
            <w:pPr>
              <w:spacing w:after="0"/>
              <w:rPr>
                <w:sz w:val="16"/>
                <w:szCs w:val="16"/>
                <w:color w:val="auto"/>
              </w:rPr>
            </w:pP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0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8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100.2 %</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 from Continuing Operations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8"/>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40" w:type="dxa"/>
            <w:vAlign w:val="bottom"/>
          </w:tcPr>
          <w:p>
            <w:pPr>
              <w:spacing w:after="0"/>
              <w:rPr>
                <w:sz w:val="24"/>
                <w:szCs w:val="24"/>
                <w:color w:val="auto"/>
              </w:rPr>
            </w:pP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Segment</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40" w:type="dxa"/>
            <w:vAlign w:val="bottom"/>
          </w:tcPr>
          <w:p>
            <w:pPr>
              <w:spacing w:after="0"/>
              <w:rPr>
                <w:sz w:val="20"/>
                <w:szCs w:val="20"/>
                <w:color w:val="auto"/>
              </w:rPr>
            </w:pP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by Segment</w:t>
            </w: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meaningful</w:t>
      </w:r>
    </w:p>
    <w:p>
      <w:pPr>
        <w:spacing w:after="0" w:line="55" w:lineRule="exact"/>
        <w:rPr>
          <w:sz w:val="20"/>
          <w:szCs w:val="20"/>
          <w:color w:val="auto"/>
        </w:rPr>
      </w:pPr>
    </w:p>
    <w:p>
      <w:pPr>
        <w:ind w:right="560" w:firstLine="8"/>
        <w:spacing w:after="0" w:line="302" w:lineRule="auto"/>
        <w:tabs>
          <w:tab w:leader="none" w:pos="2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percentage of total revenue, FSS United States represented 72.7% and 73.6% and FSS International represented 27.3% and 26.4% for the six months ended March 29, 2024 and March 31, 2023, respectively.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Overview</w:t>
      </w:r>
    </w:p>
    <w:p>
      <w:pPr>
        <w:spacing w:after="0" w:line="10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Revenue increased by approximately 7.2% and 9.9% during the three and six month periods of fiscal 2024 compared to the prior year periods, respectively. The increase during these periods was primarily attributable to base business growth, including volume growth and contract price increases, and net new business, partially offset by the negative impact of foreign currency translation (2.1% and 1.1% for the three and six month periods, respectively).</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cost of services provided (exclusive of depreciation and amortization) by segment and as a percent of revenue for the three and six months ended March 29, 2024 and March 31, 2023 (in millions).</w:t>
      </w: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gridSpan w:val="4"/>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6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8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Cost of services provided</w:t>
            </w: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88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(exclusive of depreciation</w:t>
            </w:r>
          </w:p>
        </w:tc>
        <w:tc>
          <w:tcPr>
            <w:tcW w:w="220" w:type="dxa"/>
            <w:vAlign w:val="bottom"/>
          </w:tcPr>
          <w:p>
            <w:pPr>
              <w:spacing w:after="0"/>
              <w:rPr>
                <w:sz w:val="11"/>
                <w:szCs w:val="11"/>
                <w:color w:val="auto"/>
              </w:rPr>
            </w:pPr>
          </w:p>
        </w:tc>
        <w:tc>
          <w:tcPr>
            <w:tcW w:w="74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20" w:type="dxa"/>
            <w:vAlign w:val="bottom"/>
          </w:tcPr>
          <w:p>
            <w:pPr>
              <w:spacing w:after="0"/>
              <w:rPr>
                <w:sz w:val="11"/>
                <w:szCs w:val="11"/>
                <w:color w:val="auto"/>
              </w:rPr>
            </w:pPr>
          </w:p>
        </w:tc>
        <w:tc>
          <w:tcPr>
            <w:tcW w:w="74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360" w:type="dxa"/>
            <w:vAlign w:val="bottom"/>
            <w:gridSpan w:val="2"/>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1"/>
                <w:szCs w:val="11"/>
                <w:color w:val="auto"/>
              </w:rPr>
            </w:pPr>
          </w:p>
        </w:tc>
        <w:tc>
          <w:tcPr>
            <w:tcW w:w="76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Pr>
          <w:p>
            <w:pPr>
              <w:spacing w:after="0"/>
              <w:rPr>
                <w:sz w:val="11"/>
                <w:szCs w:val="11"/>
                <w:color w:val="auto"/>
              </w:rPr>
            </w:pPr>
          </w:p>
        </w:tc>
        <w:tc>
          <w:tcPr>
            <w:tcW w:w="7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380" w:type="dxa"/>
            <w:vAlign w:val="bottom"/>
            <w:gridSpan w:val="2"/>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0" w:type="dxa"/>
            <w:vAlign w:val="bottom"/>
          </w:tcPr>
          <w:p>
            <w:pPr>
              <w:spacing w:after="0"/>
              <w:rPr>
                <w:sz w:val="1"/>
                <w:szCs w:val="1"/>
                <w:color w:val="auto"/>
              </w:rPr>
            </w:pPr>
          </w:p>
        </w:tc>
      </w:tr>
      <w:tr>
        <w:trPr>
          <w:trHeight w:val="19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and amortization)</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90.6 %</w:t>
            </w:r>
          </w:p>
        </w:tc>
        <w:tc>
          <w:tcPr>
            <w:tcW w:w="320" w:type="dxa"/>
            <w:vAlign w:val="bottom"/>
            <w:shd w:val="clear" w:color="auto" w:fill="CCEEFF"/>
          </w:tcPr>
          <w:p>
            <w:pPr>
              <w:jc w:val="right"/>
              <w:ind w:right="102"/>
              <w:spacing w:after="0" w:line="130" w:lineRule="exact"/>
              <w:rPr>
                <w:sz w:val="20"/>
                <w:szCs w:val="20"/>
                <w:color w:val="auto"/>
              </w:rPr>
            </w:pPr>
            <w:r>
              <w:rPr>
                <w:rFonts w:ascii="Times New Roman" w:cs="Times New Roman" w:eastAsia="Times New Roman" w:hAnsi="Times New Roman"/>
                <w:sz w:val="12"/>
                <w:szCs w:val="12"/>
                <w:color w:val="auto"/>
                <w:w w:val="99"/>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91.1 %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90.6 %</w:t>
            </w:r>
          </w:p>
        </w:tc>
        <w:tc>
          <w:tcPr>
            <w:tcW w:w="320" w:type="dxa"/>
            <w:vAlign w:val="bottom"/>
            <w:shd w:val="clear" w:color="auto" w:fill="CCEEFF"/>
          </w:tcPr>
          <w:p>
            <w:pPr>
              <w:jc w:val="right"/>
              <w:ind w:right="102"/>
              <w:spacing w:after="0" w:line="130" w:lineRule="exact"/>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229"/>
        </w:trPr>
        <w:tc>
          <w:tcPr>
            <w:tcW w:w="1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94.3 %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1480" w:type="dxa"/>
            <w:vAlign w:val="bottom"/>
            <w:tcBorders>
              <w:bottom w:val="single" w:sz="8" w:color="CCEEFF"/>
            </w:tcBorders>
            <w:gridSpan w:val="3"/>
          </w:tcPr>
          <w:p>
            <w:pPr>
              <w:jc w:val="right"/>
              <w:ind w:right="102"/>
              <w:spacing w:after="0" w:line="230" w:lineRule="exact"/>
              <w:rPr>
                <w:sz w:val="20"/>
                <w:szCs w:val="20"/>
                <w:color w:val="auto"/>
              </w:rPr>
            </w:pPr>
            <w:r>
              <w:rPr>
                <w:rFonts w:ascii="Times New Roman" w:cs="Times New Roman" w:eastAsia="Times New Roman" w:hAnsi="Times New Roman"/>
                <w:sz w:val="18"/>
                <w:szCs w:val="18"/>
                <w:color w:val="auto"/>
              </w:rPr>
              <w:t xml:space="preserve">97.4 %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2,216.5</w:t>
            </w:r>
          </w:p>
        </w:tc>
        <w:tc>
          <w:tcPr>
            <w:tcW w:w="116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8"/>
                <w:szCs w:val="18"/>
                <w:color w:val="auto"/>
              </w:rPr>
              <w:t>94.3 %</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1,990.1</w:t>
            </w:r>
          </w:p>
        </w:tc>
        <w:tc>
          <w:tcPr>
            <w:tcW w:w="1480" w:type="dxa"/>
            <w:vAlign w:val="bottom"/>
            <w:tcBorders>
              <w:bottom w:val="single" w:sz="8" w:color="CCEEFF"/>
            </w:tcBorders>
            <w:gridSpan w:val="3"/>
          </w:tcPr>
          <w:p>
            <w:pPr>
              <w:jc w:val="right"/>
              <w:ind w:right="102"/>
              <w:spacing w:after="0" w:line="230" w:lineRule="exact"/>
              <w:rPr>
                <w:sz w:val="20"/>
                <w:szCs w:val="20"/>
                <w:color w:val="auto"/>
              </w:rPr>
            </w:pPr>
            <w:r>
              <w:rPr>
                <w:rFonts w:ascii="Times New Roman" w:cs="Times New Roman" w:eastAsia="Times New Roman" w:hAnsi="Times New Roman"/>
                <w:sz w:val="18"/>
                <w:szCs w:val="18"/>
                <w:color w:val="auto"/>
              </w:rPr>
              <w:t xml:space="preserve">96.3 % </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48"/>
        </w:trPr>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92.5 %</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7,914.3</w:t>
            </w:r>
          </w:p>
        </w:tc>
        <w:tc>
          <w:tcPr>
            <w:tcW w:w="11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91.9 %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420" w:firstLine="8"/>
        <w:spacing w:after="0" w:line="302" w:lineRule="auto"/>
        <w:tabs>
          <w:tab w:leader="none" w:pos="20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 and six months ended March 31, 2023 were impacted by non-cash income related to the reduction of contingent consideration liabilities related to acquisition earn outs, net of expense of $48.1 million and $74.4 million, respectively (see Note 14 to the condensed consolidated financial statements).</w:t>
      </w:r>
    </w:p>
    <w:p>
      <w:pPr>
        <w:spacing w:after="0" w:line="26"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 and six months ended March 31, 2023 were impacted by $25.8 million of severance charges (see Note 3 to the condensed consolidated financial statements).</w:t>
      </w:r>
    </w:p>
    <w:p>
      <w:pPr>
        <w:spacing w:after="0" w:line="18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percentages attributable to the components in cost of services provided (exclusive of depreciation and amortization) for the three and six months ended March 29, 2024 and March 31, 2023.</w:t>
      </w: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300" w:type="dxa"/>
            <w:vAlign w:val="bottom"/>
            <w:gridSpan w:val="3"/>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w:t>
            </w: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320" w:type="dxa"/>
            <w:vAlign w:val="bottom"/>
            <w:gridSpan w:val="2"/>
            <w:vMerge w:val="continue"/>
          </w:tcPr>
          <w:p>
            <w:pPr>
              <w:spacing w:after="0"/>
              <w:rPr>
                <w:sz w:val="10"/>
                <w:szCs w:val="10"/>
                <w:color w:val="auto"/>
              </w:rPr>
            </w:pPr>
          </w:p>
        </w:tc>
        <w:tc>
          <w:tcPr>
            <w:tcW w:w="1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7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6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195"/>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 components</w:t>
            </w:r>
          </w:p>
        </w:tc>
        <w:tc>
          <w:tcPr>
            <w:tcW w:w="180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Food and support service costs</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direct costs</w:t>
            </w:r>
            <w:r>
              <w:rPr>
                <w:rFonts w:ascii="Times New Roman" w:cs="Times New Roman" w:eastAsia="Times New Roman" w:hAnsi="Times New Roman"/>
                <w:sz w:val="23"/>
                <w:szCs w:val="23"/>
                <w:color w:val="auto"/>
                <w:vertAlign w:val="superscript"/>
              </w:rPr>
              <w:t>(3)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80" w:firstLine="8"/>
        <w:spacing w:after="0" w:line="281" w:lineRule="auto"/>
        <w:tabs>
          <w:tab w:leader="none" w:pos="2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Food and support service costs represented a lower proportion of total cost of services provided (exclusive of depreciation and amortization) during the three and six months ended March 29, 2024 compared to the prior year periods mainly driven by other direct costs increasing at a higher proportion as compared to food and support service costs and the moderation of product inflationary costs.</w:t>
      </w:r>
    </w:p>
    <w:p>
      <w:pPr>
        <w:spacing w:after="0" w:line="42" w:lineRule="exact"/>
        <w:rPr>
          <w:rFonts w:ascii="Times New Roman" w:cs="Times New Roman" w:eastAsia="Times New Roman" w:hAnsi="Times New Roman"/>
          <w:sz w:val="14"/>
          <w:szCs w:val="14"/>
          <w:color w:val="auto"/>
        </w:rPr>
      </w:pPr>
    </w:p>
    <w:p>
      <w:pPr>
        <w:jc w:val="both"/>
        <w:ind w:right="180" w:firstLine="8"/>
        <w:spacing w:after="0" w:line="281" w:lineRule="auto"/>
        <w:tabs>
          <w:tab w:leader="none" w:pos="2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costs decreased as a percentage of total cost of services provided (exclusive of depreciation and amortization) during the three and six months ended March 29, 2024 compared to the prior year periods due to other direct costs increasing at a higher proportion as compared to personnel costs, prior year severance charges ($29.7 million for the three and six month periods, respectively) (see Note 3 to the condensed consolidated financial statements) and moderation of labor inflationary costs.</w:t>
      </w:r>
    </w:p>
    <w:p>
      <w:pPr>
        <w:spacing w:after="0" w:line="42" w:lineRule="exact"/>
        <w:rPr>
          <w:rFonts w:ascii="Times New Roman" w:cs="Times New Roman" w:eastAsia="Times New Roman" w:hAnsi="Times New Roman"/>
          <w:sz w:val="14"/>
          <w:szCs w:val="14"/>
          <w:color w:val="auto"/>
        </w:rPr>
      </w:pPr>
    </w:p>
    <w:p>
      <w:pPr>
        <w:ind w:right="140" w:firstLine="8"/>
        <w:spacing w:after="0" w:line="281" w:lineRule="auto"/>
        <w:tabs>
          <w:tab w:leader="none" w:pos="2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direct costs represented a higher proportion of total cost of services provided (exclusive of depreciation and amortization) during the three and six months ended March 29, 2024 compared to the prior year periods due to prior year non-cash income related to the reduction of contingent consideration liabilities related to acquisition earn outs, net of expense ($48.1 million and $74.4 million for the three and six month periods, respectively) (see Note 14 to the condensed consolidated financial statements).</w:t>
      </w:r>
    </w:p>
    <w:p>
      <w:pPr>
        <w:spacing w:after="0" w:line="4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Operating income increased by $33.7 million and $49.0 million during the three and six month periods of fiscal 2024 compared to the prior year periods, respectively, driven by base business volume growth, cost management, improved supply chain economics, favorable recovery of inflationary costs as compared to prior year periods, prior year severance charges ($29.7 million for the three and six month periods) (see Note 3 to the condensed consolidated financial statements) and prior year non-cash charges for the impairment of operating lease right-of-use assets and property and equipment related to certain real estate properties ($0.7 million and $19.0 million for the three and six month periods, respectively) (see Note 1 to the condensed consolidated financial statements). The increases in operating income during the three and six month periods of fiscal 2024 more than offset the prior year non-cash income related to the reduction of contingent consideration liabilities related to acquisition earn outs, net of expense ($48.1 million and $74.4 million for the three and six month periods, respectively) (see Note 14 to the condensed consolidated financial statements). The increases in operating income during the six month period of fiscal 2024 more than offset higher expenses related to the separation and distribution of the Uniform segment ($25.6 million) (see Note 2 to the condensed consolidated financial statements), the prior year gain relating to the recovery of our investment (possessory interest) at one of the National Park sites ($19.8 million) and prior year income related to favorable loss experience in older insurance years under our general liability, automobile liability and workers' compensation liability programs ($9.8 million).</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Interest Expense, net, decreased by 24.0% and 6.3% during the three and six month periods of fiscal 2024 compared to the prior year periods, respectively. The decrease during the three and six month periods of fiscal 2024 was primarily due to lower interest expense related to the repayment of the 6.375% Senior Notes due May 1, 2025 ("6.375% 2025 Notes") (see Note 5 to the condensed consolidated financial statements). The decrease during the three and six month period of fiscal 2024 was partially offset by $1.6 million for the write-off of unamortized deferred financing costs and discount on the U.S. Term B-5</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Loans due 2028 and U.S. Term B-6 Loans due 2030 and transaction costs related to the repricing of these loans (see Note 5 to the condensed consolidated financial statements). Additionally, the decrease during the six month period of fiscal 2024 was partially offset by the payment of a $23.9 million call premium and a $7.9 million non-cash loss for the write-off of unamortized deferred financing costs related to the repayment of the 6.375% 2025 Notes (see Note 5 to the condensed consolidated financial statements).</w:t>
      </w:r>
    </w:p>
    <w:p>
      <w:pPr>
        <w:spacing w:after="0" w:line="1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provision for income taxes for the three and six month periods of fiscal 2024 was recorded at an effective tax rate of 27.1% and 34.8%, respectively. During the six month period ended March 29, 2024, we recorded a $7.1 million valuation allowance recorded against certain foreign tax credits, as it is more likely than not a tax benefit will not be realized due to the reduction of future forecasted foreign income as a result of the separation and distribution of the Uniform segment (see Note 8 to the condensed consolidated financial statements). The benefit for income taxes for the three month period ended March 31, 2023 was recorded at an effective tax rate of 19.9%. The provision for income taxes for the six month period ended March 31, 2023 was recorded at an effective tax rate of 16.6%. During the three and six month periods ended March 31, 2023, we recorded an income tax benefit of approximately $3.8 million for the reversal of a valuation allowance against deferred tax assets within a foreign subsidiary due to an acquisition of a business (see Note 8 to the condensed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United States Segment</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each of these sectors are summarized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260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11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190"/>
        </w:trPr>
        <w:tc>
          <w:tcPr>
            <w:tcW w:w="3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&amp; Industry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30"/>
        </w:trPr>
        <w:tc>
          <w:tcPr>
            <w:tcW w:w="3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Healthcare</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30"/>
        </w:trPr>
        <w:tc>
          <w:tcPr>
            <w:tcW w:w="3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Facilities &amp; Other</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3"/>
        </w:trPr>
        <w:tc>
          <w:tcPr>
            <w:tcW w:w="3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92" w:lineRule="exact"/>
        <w:rPr>
          <w:sz w:val="20"/>
          <w:szCs w:val="20"/>
          <w:color w:val="auto"/>
        </w:rPr>
      </w:pPr>
    </w:p>
    <w:p>
      <w:pPr>
        <w:ind w:left="420" w:right="40" w:hanging="394"/>
        <w:spacing w:after="0" w:line="189" w:lineRule="auto"/>
        <w:tabs>
          <w:tab w:leader="none" w:pos="420" w:val="left"/>
        </w:tabs>
        <w:numPr>
          <w:ilvl w:val="0"/>
          <w:numId w:val="10"/>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1"/>
          <w:szCs w:val="11"/>
          <w:color w:val="auto"/>
        </w:rPr>
        <w:t>Beginning in fiscal 2024, management began reporting results for healthcare facility services within "Healthcare", whereas the results were previously reported within "Facilities &amp; Other". As such, the "Healthcare" and "Facilities &amp; Other" three and six months ended March 31, 2023 results were recast to reflect this change.</w:t>
      </w:r>
    </w:p>
    <w:p>
      <w:pPr>
        <w:spacing w:after="0" w:line="17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Healthcare, Education and Facilities &amp; Other sectors generally have high-single digit operating income margins and the Business &amp; Industry and Sports, Leisure &amp; Corrections sectors generally have mid-single digit operating income margins.</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FSS United States segment revenue increased by approximately 7.0% and 8.5% during the three and six month periods of fiscal 2024 compared to the prior year periods, respectively. The increase during both the three and six month periods of fiscal 2024 was primarily attributable to base business growth, including higher volume primarily within our Sports &amp; Entertainment business and Business &amp; Industry sector, and contract price increases primarily within our Higher Education and Corrections businesses.</w:t>
      </w:r>
    </w:p>
    <w:p>
      <w:pPr>
        <w:spacing w:after="0" w:line="4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Operating income decreased by $6.8 million and increased by $9.4 million during the three and six month periods of fiscal 2024 compared to the prior year periods, respectively. The decrease during the three month period ended March 29, 2024 was mainly attributable to prior year non-cash income from the reduction of contingent consideration liabilities related to acquisition earn outs, net of expense ($48.1 million) (see Note 14 to the condensed consolidated financial statements). Both the three and six month periods of fiscal 2024 benefited from base business volume growth, cost management, improved supply chain economics, favorable recovery of inflationary costs as compared to prior year periods, prior year non-cash charges for the impairment of operating lease right-of-use assets and property and equipment related to certain real estate properties ($0.7 million and $19.0 million, respectively) (see Note 1 to the condensed consolidated financial statements) and prior year non-cash charges related to information technology assets ($6.1 million for the three and six month periods). The increases during the six months of fiscal 2024 were partially offset by prior year non-cash income related to the reduction of contingent consideration liabilities related to acquisition earn outs, net of expense ($74.4 million) (see Note 14 to the condensed consolidated financial statements), the prior year gain relating to the recovery of our investment (possessory interest) at one of the National Park sites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($19.8 million) and prior year income related to favorable loss experience in older insurance years under our general liability, automobile liability and workers' compensation liability programs ($9.8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International Segment</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FSS International segment revenue increased by approximately 7.8% and 13.8% during the three and six month periods of fiscal 2024 compared to the prior year periods, respectively. The increase during both the three and six month periods of fiscal 2024 was primarily attributable to base business growth, including volume growth and contract price increases, and net new business growth partially offset by the negative impact of foreign currency translation (7.8% and 4.2% for the three and six month periods, respectively).</w:t>
      </w:r>
    </w:p>
    <w:p>
      <w:pPr>
        <w:spacing w:after="0" w:line="5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Operating income increased by $35.6 million and $55.1 million during the three and six month periods of fiscal 2024 compared to the prior year periods, respectively. The increase during the three and six month periods of fiscal 2024 was mainly attributable to the volume growth in base business, net new business, prior year severance charges ($25.8 million for the three and six month periods) (see Note 3 to condensed consolidated financial statements) and improved supply chain economics partially offset by a decline in profit related to the sale of our ownership interest in AIM Services Co., Ltd. The increase during the six month period of fiscal 2024 was also attributable to prior year non-cash charges for the impairment of certain assets related to a business held-for-sale ($5.2 million).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0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Corporate expenses, those administrative expenses not allocated to the business segments, decreased by $4.9 million and increased $15.5 million during the three and six month periods of fiscal 2024 compared to the prior year periods, respectively. The decrease during the three month period ended March 29, 2024 was attributable to lower share-based compensation expense compared to the prior year period ($2.8 million) (see Note 10 to the condensed consolidated financial statements) and lower expenses related to the separation and distribution of the Uniform segment ($1.9 million) (see Note 2 to the condensed consolidated financial statements). The increase during the six month period of fiscal 2024 was attributable to higher expenses related to the separation and distribution of the Uniform segment ($25.6 million) (see Note 2 to the condensed consolidated financial statements) that more than offset lower share-based compensation expense ($9.7 million) compared to the prior year period (see Note 10 to the condensed consolidated financial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March 29, 2024, we had $356.6 million of cash and cash equivalents, $112.8 million of marketable securities and approximately $771.2 million of availability under our senior secured revolving credit facility. A significant portion of our cash and cash equivalents are held in mature, liquid geographies where we have operations. As of March 29, 2024, we had approximately $757.5 million of outstanding foreign currency borrowings.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marketable securities and availability under our revolving credit facility will be adequate to meet anticipated cash requirements for the foreseeable future to fund working capital, capital spending, debt service obligations, refinancings, dividends and other cash needs. We also have flexibility to optimize working capital and defer certain capital expenditures as appropriate without a material impact to the business. We believe that our assumptions used to estimate our liquidity and working capital requirements are reasonable. For additional information regarding the risks associated with our liquidity and capital resources, see Part I, Item 1A, "Risk Factors" in our Annual Report on Form 10-K filed with the SEC on November 21,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activity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2024</w:t>
            </w:r>
          </w:p>
        </w:tc>
        <w:tc>
          <w:tcPr>
            <w:tcW w:w="2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 of Continuing Operations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rPr>
              <w:t>(362.4)</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 of Continuing Operations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left="755"/>
              <w:spacing w:after="0"/>
              <w:rPr>
                <w:sz w:val="20"/>
                <w:szCs w:val="20"/>
                <w:color w:val="auto"/>
              </w:rPr>
            </w:pPr>
            <w:r>
              <w:rPr>
                <w:rFonts w:ascii="Times New Roman" w:cs="Times New Roman" w:eastAsia="Times New Roman" w:hAnsi="Times New Roman"/>
                <w:sz w:val="18"/>
                <w:szCs w:val="18"/>
                <w:color w:val="auto"/>
              </w:rPr>
              <w:t>(204.2)</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 of Continuing Operations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8"/>
              </w:rPr>
              <w:t>486.1</w:t>
            </w:r>
          </w:p>
        </w:tc>
      </w:tr>
    </w:tbl>
    <w:p>
      <w:pPr>
        <w:spacing w:after="0" w:line="171" w:lineRule="exact"/>
        <w:rPr>
          <w:sz w:val="20"/>
          <w:szCs w:val="20"/>
          <w:color w:val="auto"/>
        </w:rPr>
      </w:pPr>
    </w:p>
    <w:p>
      <w:pPr>
        <w:ind w:right="2040"/>
        <w:spacing w:after="0" w:line="352" w:lineRule="auto"/>
        <w:rPr>
          <w:sz w:val="20"/>
          <w:szCs w:val="20"/>
          <w:color w:val="auto"/>
        </w:rPr>
      </w:pPr>
      <w:r>
        <w:rPr>
          <w:rFonts w:ascii="Times New Roman" w:cs="Times New Roman" w:eastAsia="Times New Roman" w:hAnsi="Times New Roman"/>
          <w:sz w:val="18"/>
          <w:szCs w:val="18"/>
          <w:color w:val="auto"/>
        </w:rPr>
        <w:t xml:space="preserve">Reference to the Condensed Consolidated Statements of Cash Flows will facilitate understanding of the discussion that follows. </w:t>
      </w:r>
      <w:r>
        <w:rPr>
          <w:rFonts w:ascii="Times New Roman" w:cs="Times New Roman" w:eastAsia="Times New Roman" w:hAnsi="Times New Roman"/>
          <w:sz w:val="18"/>
          <w:szCs w:val="18"/>
          <w:b w:val="1"/>
          <w:bCs w:val="1"/>
          <w:i w:val="1"/>
          <w:iCs w:val="1"/>
          <w:color w:val="auto"/>
        </w:rPr>
        <w:t>Cash Flows Used in Operating Activities</w:t>
      </w:r>
    </w:p>
    <w:p>
      <w:pPr>
        <w:ind w:right="300"/>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increased by $73.4 million during the six month period of fiscal 2024 compared to the six month period of fiscal 2023. The change was driven by higher use of cash from the change in operating assets and liabilities that more than offset non-cash gains and losses and adjustments to non-operating cash transactions. The $158.9 million change in operating assets and liabilities compared to the prior year period was primarily due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2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by $129.7 million, resulting in a higher use of cash during the six month period of fiscal 2024 compared to the six month period of fiscal 2023 impacted by base and new business growth and timing of collections; and</w:t>
      </w:r>
    </w:p>
    <w:p>
      <w:pPr>
        <w:spacing w:after="0" w:line="26"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by $96.3 million, resulting in a higher use of cash during the six month period of fiscal 2024 compared to the six month period of fiscal 2023 primarily due to the timing of interest payments, higher recognition of deferred income in our Higher Education business, higher income tax payments and timing of other payments; partially offset by the prior year payment of social security taxes deferred under the CARES Act and lower employee incentive payments.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changes in operating assets and liabilities more than offset:</w:t>
      </w:r>
    </w:p>
    <w:p>
      <w:pPr>
        <w:spacing w:after="0" w:line="117" w:lineRule="exact"/>
        <w:rPr>
          <w:sz w:val="20"/>
          <w:szCs w:val="20"/>
          <w:color w:val="auto"/>
        </w:rPr>
      </w:pPr>
    </w:p>
    <w:p>
      <w:pPr>
        <w:ind w:left="660" w:right="200" w:hanging="328"/>
        <w:spacing w:after="0" w:line="255" w:lineRule="auto"/>
        <w:tabs>
          <w:tab w:leader="none" w:pos="648" w:val="left"/>
        </w:tabs>
        <w:numPr>
          <w:ilvl w:val="0"/>
          <w:numId w:val="12"/>
        </w:numPr>
        <w:rPr>
          <w:rFonts w:ascii="Times New Roman" w:cs="Times New Roman" w:eastAsia="Times New Roman" w:hAnsi="Times New Roman"/>
          <w:sz w:val="20"/>
          <w:szCs w:val="20"/>
          <w:i w:val="1"/>
          <w:iCs w:val="1"/>
          <w:color w:val="212529"/>
        </w:rPr>
      </w:pPr>
      <w:r>
        <w:rPr>
          <w:rFonts w:ascii="Times New Roman" w:cs="Times New Roman" w:eastAsia="Times New Roman" w:hAnsi="Times New Roman"/>
          <w:sz w:val="18"/>
          <w:szCs w:val="18"/>
          <w:color w:val="auto"/>
        </w:rPr>
        <w:t>Accounts payable by $40.3 million, resulting in a lower use of cash during the six month period of fiscal 2024 compared to the six month period of fiscal 2023 from the timing of disbursements; and</w:t>
      </w:r>
    </w:p>
    <w:p>
      <w:pPr>
        <w:spacing w:after="0" w:line="75" w:lineRule="exact"/>
        <w:rPr>
          <w:rFonts w:ascii="Times New Roman" w:cs="Times New Roman" w:eastAsia="Times New Roman" w:hAnsi="Times New Roman"/>
          <w:sz w:val="20"/>
          <w:szCs w:val="20"/>
          <w:i w:val="1"/>
          <w:iCs w:val="1"/>
          <w:color w:val="212529"/>
        </w:rPr>
      </w:pPr>
    </w:p>
    <w:p>
      <w:pPr>
        <w:ind w:left="660" w:right="420" w:hanging="328"/>
        <w:spacing w:after="0" w:line="255" w:lineRule="auto"/>
        <w:tabs>
          <w:tab w:leader="none" w:pos="648" w:val="left"/>
        </w:tabs>
        <w:numPr>
          <w:ilvl w:val="0"/>
          <w:numId w:val="12"/>
        </w:numPr>
        <w:rPr>
          <w:rFonts w:ascii="Times New Roman" w:cs="Times New Roman" w:eastAsia="Times New Roman" w:hAnsi="Times New Roman"/>
          <w:sz w:val="20"/>
          <w:szCs w:val="20"/>
          <w:i w:val="1"/>
          <w:iCs w:val="1"/>
          <w:color w:val="212529"/>
        </w:rPr>
      </w:pPr>
      <w:r>
        <w:rPr>
          <w:rFonts w:ascii="Times New Roman" w:cs="Times New Roman" w:eastAsia="Times New Roman" w:hAnsi="Times New Roman"/>
          <w:sz w:val="18"/>
          <w:szCs w:val="18"/>
          <w:color w:val="auto"/>
        </w:rPr>
        <w:t>Inventories by $27.8 million, resulting in a source of cash during the six month period of fiscal 2024 compared to a use of cash during the six month period of fiscal 2023 due to improved inventory management in the Sports, Leisure &amp; Corrections sector.</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six month periods of fiscal 2024 and 2023, we received proceeds of approximately $1.0 million and $15.3 million, respectively, related to favorable loss experience in older insurance years under our general liability, automobile liability and workers' compensation liability programs. The "Other operating activities" caption in both periods reflect adjustments to net income in the current year and prior year periods related to non-cash gains and losses and adjustments to non-operating cash transactions.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Cash flows used in investing activities were $85.7 million higher during the six month period of fiscal 2024 compared to the six month period of fiscal 2023 due to higher acquisitions of certain businesses ($61.5 million) and higher purchases of property and equipment ($32.5 million), offset by lower net purchases of United States Treasury securities related to our captive insurance subsidiary ($31.2 million). The "Other investing activities" caption includes $19.8 million of proceeds received during the six month period of fiscal 2023, relating to the recovery of our investment (possessory interest) at one of the National Park Service sites within our Sports, Leisure &amp; Corrections sector.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108"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During the six month period of fiscal 2024, cash used in financing activities was primarily impacted by repayment of the 6.375% 2025 Notes ($1,500.0 million), offset by borrowings under the Receivables Facility ($600.0 million) and borrowings under the revolving credit facility ($179.3 million).</w:t>
      </w:r>
    </w:p>
    <w:p>
      <w:pPr>
        <w:spacing w:after="0" w:line="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six month period of fiscal 2023, cash provided by financing activities was primarily impacted by borrowings under the Receivables Facility ($395.1 million) and borrowings under the revolving credit facility ($134.8 million).</w:t>
      </w:r>
    </w:p>
    <w:p>
      <w:pPr>
        <w:spacing w:after="0" w:line="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"Other financing activities" caption also reflects a use of cash during the six month periods of fiscal 2024 and fiscal 2023 primarily related to taxes paid by us when we withhold shares upon an employee's exercise or vesting of equity awards to cover income taxes. The six month period of fiscal 2024 also includes the payment of a call premium on the 6.375% 2025 Notes ($23.9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March 29, 2024, we were compliant with these covenants.</w:t>
      </w:r>
    </w:p>
    <w:p>
      <w:pPr>
        <w:spacing w:after="0" w:line="67"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4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of Aramark Services, Inc. ("ASI") and its restricted subsidiaries plus interest expense, net, provision for income taxes and depreciation and amortization, further adjusted to give effect to adjustments required in calculating covenant ratios and compliance under our Credit Agreement and the indentures governing our senior notes.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5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The following is a reconciliation of net income attributable to ASI stockholders,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w w:val="99"/>
              </w:rPr>
              <w:t>Twelve Months Ended</w:t>
            </w:r>
          </w:p>
        </w:tc>
      </w:tr>
      <w:tr>
        <w:trPr>
          <w:trHeight w:val="18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March 29, 2024</w:t>
            </w:r>
          </w:p>
        </w:tc>
      </w:tr>
      <w:tr>
        <w:trPr>
          <w:trHeight w:val="229"/>
        </w:trPr>
        <w:tc>
          <w:tcPr>
            <w:tcW w:w="9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Attributable to ASI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r>
      <w:tr>
        <w:trPr>
          <w:trHeight w:val="230"/>
        </w:trPr>
        <w:tc>
          <w:tcPr>
            <w:tcW w:w="9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Less: Income from Discontinued Operations, net of tax</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3"/>
        </w:trPr>
        <w:tc>
          <w:tcPr>
            <w:tcW w:w="9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from Continuing Operations Attributable to ASI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r>
      <w:tr>
        <w:trPr>
          <w:trHeight w:val="230"/>
        </w:trPr>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w:t>
            </w:r>
          </w:p>
        </w:tc>
      </w:tr>
      <w:tr>
        <w:trPr>
          <w:trHeight w:val="229"/>
        </w:trPr>
        <w:tc>
          <w:tcPr>
            <w:tcW w:w="9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30"/>
        </w:trPr>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243"/>
        </w:trPr>
        <w:tc>
          <w:tcPr>
            <w:tcW w:w="9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9"/>
                <w:szCs w:val="9"/>
                <w:color w:val="auto"/>
              </w:rPr>
              <w:t>(1)</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30"/>
        </w:trPr>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Unusual or non-recurring gains</w:t>
            </w:r>
            <w:r>
              <w:rPr>
                <w:rFonts w:ascii="Times New Roman" w:cs="Times New Roman" w:eastAsia="Times New Roman" w:hAnsi="Times New Roman"/>
                <w:sz w:val="9"/>
                <w:szCs w:val="9"/>
                <w:color w:val="auto"/>
              </w:rPr>
              <w:t>(2)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r>
      <w:tr>
        <w:trPr>
          <w:trHeight w:val="230"/>
        </w:trPr>
        <w:tc>
          <w:tcPr>
            <w:tcW w:w="9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 forma EBITDA for certain transactions</w:t>
            </w:r>
            <w:r>
              <w:rPr>
                <w:rFonts w:ascii="Times New Roman" w:cs="Times New Roman" w:eastAsia="Times New Roman" w:hAnsi="Times New Roman"/>
                <w:sz w:val="9"/>
                <w:szCs w:val="9"/>
                <w:color w:val="auto"/>
              </w:rPr>
              <w:t>(3)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9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9"/>
                <w:szCs w:val="9"/>
                <w:color w:val="auto"/>
              </w:rPr>
              <w:t>(4)</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48"/>
        </w:trPr>
        <w:tc>
          <w:tcPr>
            <w:tcW w:w="9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Covenant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right="20" w:hanging="492"/>
        <w:spacing w:after="0" w:line="282" w:lineRule="auto"/>
        <w:tabs>
          <w:tab w:leader="none" w:pos="4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resulting from the application of accounting for stock options, restricted stock units, performance stock units, deferred stock unit awards and employee stock purchases (see Note 10 to the condensed consolidated financial statements).</w:t>
      </w:r>
    </w:p>
    <w:p>
      <w:pPr>
        <w:spacing w:after="0" w:line="40" w:lineRule="exact"/>
        <w:rPr>
          <w:rFonts w:ascii="Times New Roman" w:cs="Times New Roman" w:eastAsia="Times New Roman" w:hAnsi="Times New Roman"/>
          <w:sz w:val="18"/>
          <w:szCs w:val="18"/>
          <w:color w:val="auto"/>
        </w:rPr>
      </w:pPr>
    </w:p>
    <w:p>
      <w:pPr>
        <w:ind w:left="500" w:right="140" w:hanging="492"/>
        <w:spacing w:after="0" w:line="266" w:lineRule="auto"/>
        <w:tabs>
          <w:tab w:leader="none" w:pos="4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fiscal 2024 non-cash charge for the impairment of certain assets related to a business held-for-sale ($2.3 million), the fiscal 2023 gain from the sale of our equity method investment in AIM Services, Co., Ltd. ($377.1 million) and the fiscal 2023 loss from the sale of a portion of our equity investment in the San Antonio Spurs NBA franchise ($1.1 million).</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annualizing of net EBITDA from certain acquisitions and divestitures made during the period.</w:t>
      </w:r>
    </w:p>
    <w:p>
      <w:pPr>
        <w:spacing w:after="0" w:line="103" w:lineRule="exact"/>
        <w:rPr>
          <w:rFonts w:ascii="Times New Roman" w:cs="Times New Roman" w:eastAsia="Times New Roman" w:hAnsi="Times New Roman"/>
          <w:sz w:val="18"/>
          <w:szCs w:val="18"/>
          <w:color w:val="auto"/>
        </w:rPr>
      </w:pPr>
    </w:p>
    <w:p>
      <w:pPr>
        <w:ind w:left="500" w:right="100" w:hanging="492"/>
        <w:spacing w:after="0" w:line="255" w:lineRule="auto"/>
        <w:tabs>
          <w:tab w:leader="none" w:pos="4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adjustments to remove the impact attributable to the adoption of certain accounting standards that are made to the calculation in accordance with the Credit Agreement and indentures ($51.8 million), charges related to our spin-off of the Uniform segment ($45.5 million), income related to non-United States governmental wage subsidies ($13.6 million), the impact of hyperinflation in Argentina ($11.4 million), the reversal of contingent consideration liabilities related to acquisition earn outs, net of expense ($11.3 million), net severance charges ($10.1 million), non-cash charges for inventory write-downs ($6.1 million), labor charges and other expenses associated with closed or partially closed locations from adverse weather ($5.4 million), non-cash charges related to information technology assets ($2.1 million), multiemployer pension plan withdrawal charges ($2.0 million) and other miscellaneous expenses.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covenant requirement and actual ratio for the twelve months ended March 29, 2024 are as follows:</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96"/>
        </w:trPr>
        <w:tc>
          <w:tcPr>
            <w:tcW w:w="680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229"/>
        </w:trPr>
        <w:tc>
          <w:tcPr>
            <w:tcW w:w="6800" w:type="dxa"/>
            <w:vAlign w:val="bottom"/>
            <w:tcBorders>
              <w:top w:val="single" w:sz="8" w:color="CCEEFF"/>
            </w:tcBorders>
            <w:shd w:val="clear" w:color="auto" w:fill="CCEEFF"/>
          </w:tcPr>
          <w:p>
            <w:pPr>
              <w:ind w:left="60"/>
              <w:spacing w:after="0" w:line="229" w:lineRule="exact"/>
              <w:rPr>
                <w:sz w:val="20"/>
                <w:szCs w:val="20"/>
                <w:color w:val="auto"/>
              </w:rPr>
            </w:pPr>
            <w:r>
              <w:rPr>
                <w:rFonts w:ascii="Times New Roman" w:cs="Times New Roman" w:eastAsia="Times New Roman" w:hAnsi="Times New Roman"/>
                <w:sz w:val="18"/>
                <w:szCs w:val="18"/>
                <w:color w:val="auto"/>
              </w:rPr>
              <w:t>Consolidated Secured Debt Ratio</w:t>
            </w:r>
            <w:r>
              <w:rPr>
                <w:rFonts w:ascii="Times New Roman" w:cs="Times New Roman" w:eastAsia="Times New Roman" w:hAnsi="Times New Roman"/>
                <w:sz w:val="23"/>
                <w:szCs w:val="23"/>
                <w:color w:val="auto"/>
                <w:vertAlign w:val="superscript"/>
              </w:rPr>
              <w:t>(1)</w:t>
            </w:r>
          </w:p>
        </w:tc>
        <w:tc>
          <w:tcPr>
            <w:tcW w:w="16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5.125x</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8"/>
              </w:rPr>
              <w:t>2.75x</w:t>
            </w:r>
          </w:p>
        </w:tc>
      </w:tr>
      <w:tr>
        <w:trPr>
          <w:trHeight w:val="306"/>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Coverage Ratio (Fixed Charge Coverage Ratio)</w:t>
            </w:r>
            <w:r>
              <w:rPr>
                <w:rFonts w:ascii="Times New Roman" w:cs="Times New Roman" w:eastAsia="Times New Roman" w:hAnsi="Times New Roman"/>
                <w:sz w:val="23"/>
                <w:szCs w:val="23"/>
                <w:color w:val="auto"/>
                <w:vertAlign w:val="superscript"/>
              </w:rPr>
              <w:t>(2)</w:t>
            </w:r>
          </w:p>
        </w:tc>
        <w:tc>
          <w:tcPr>
            <w:tcW w:w="17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2.000x</w:t>
            </w:r>
          </w:p>
        </w:tc>
        <w:tc>
          <w:tcPr>
            <w:tcW w:w="164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8"/>
              </w:rPr>
              <w:t>3.62x</w:t>
            </w:r>
          </w:p>
        </w:tc>
      </w:tr>
    </w:tbl>
    <w:p>
      <w:pPr>
        <w:spacing w:after="0" w:line="80" w:lineRule="exact"/>
        <w:rPr>
          <w:sz w:val="20"/>
          <w:szCs w:val="20"/>
          <w:color w:val="auto"/>
        </w:rPr>
      </w:pPr>
    </w:p>
    <w:p>
      <w:pPr>
        <w:ind w:left="500" w:right="40" w:hanging="492"/>
        <w:spacing w:after="0" w:line="254" w:lineRule="auto"/>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U.S. Term B Loans, which lenders do not benefit from the maximum Consolidated Debt Ratio covenant) failed to waive any such default, would also constitute a default under the indentures governing our senior notes.</w:t>
      </w:r>
    </w:p>
    <w:p>
      <w:pPr>
        <w:spacing w:after="0" w:line="70" w:lineRule="exact"/>
        <w:rPr>
          <w:rFonts w:ascii="Times New Roman" w:cs="Times New Roman" w:eastAsia="Times New Roman" w:hAnsi="Times New Roman"/>
          <w:sz w:val="18"/>
          <w:szCs w:val="18"/>
          <w:color w:val="auto"/>
        </w:rPr>
      </w:pPr>
    </w:p>
    <w:p>
      <w:pPr>
        <w:ind w:left="500" w:right="20" w:hanging="492"/>
        <w:spacing w:after="0" w:line="253" w:lineRule="auto"/>
        <w:tabs>
          <w:tab w:leader="none" w:pos="4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specified exceptions, and (2) make certain restricted payments, other than pursuant to certain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our Credit Agreement as consolidated interest expense excluding interest income, adjusted for acquisitions and dispositions, further adjusted for certain non-cash or nonrecurring interest expense. The indentures governing our senior notes include a similar requirement which is referred to as a Fixed Charge Coverage Ratio.</w:t>
      </w:r>
    </w:p>
    <w:p>
      <w:pPr>
        <w:spacing w:after="0" w:line="5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Consolidating Information</w:t>
      </w:r>
    </w:p>
    <w:p>
      <w:pPr>
        <w:spacing w:after="0" w:line="1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Pursuant to Regulation S-X Rule 13-01, which simplifies certain disclosure requirements for guarantors and issuers of guaranteed securities, we are not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business activities do not include the use of unconsolidated special purpose entities and there are no significant business transactions that have not been reflected in the accompanying condensed consolidated financial statements. We insure portions of our risk in general liability, automobile liability, workers’ compensation liability claims as well as certain property damage risks through a wholly owned captive insurance subsidiary (the "Captive") as part of our approach to risk finance.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March 29, 2024. These regulations may have the effect of limiting our ability to access certain cash and cash equivalents held by the Captive for uses other than for the payment of our general liability, automobile liability, workers’ compensation liability, certain property damage and related Captive costs. As of March 29, 2024 and September 29, 2023, cash and cash equivalents at the Captive were $13.2 million and $32.8 million, respectively. The Captive also invests in United States Treasury securities where the amount as of March 29, 2024 and September 29, 2023 was $112.8 million and $110.7 million, respectively, and is recorded in "Prepayments and other current assets" on the Condensed Consolidated Balance Sheets.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described in the notes to the audited consolidated financial statements included in our Annual Report on Form 10-K, filed with the SEC on November 21, 2023.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Annual Report on Form 10-K, filed with the SEC on November 21, 2023.</w:t>
      </w:r>
    </w:p>
    <w:p>
      <w:pPr>
        <w:spacing w:after="0" w:line="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 Updates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full description of recent accounting standard updates, including the expected dates of adoption.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0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March 29, 2024 has not materially changed from September 29, 2023 (see Part II, Item 7A "Quantitative and Qualitative Disclosure About Market Risk" in our Annual Report on Form 10-K for the fiscal year ended September 29, 2023 filed with the SEC on November 21, 2023). However, we completed several debt related transactions during the first half of fiscal 2024 that significantly reduced our consolidated debt and the applicable margin used to calculate our interest expense. As a result, we reduced our related exposure to this market risk. During the first quarter of fiscal 2024, we redeemed the</w:t>
      </w:r>
    </w:p>
    <w:p>
      <w:pPr>
        <w:spacing w:after="0" w:line="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6.375% Senior Notes due 2025 of $1,500.0 million from the proceeds received in conjunction with the separation and distribution of the Uniform segment. In addition, the Uniform segment United States term loans of $800.0 million due 2025 and $700.0 million due 2028 were removed from our condensed consolidated financial statements as a result of the separation and distribution of the Uniform segment on September 30, 2023. During the second quarter of fiscal 2024, we entered into Amendment No. 14 to the Credit Agreement, which provides for a reduction of the applicable margin for U.S. denominated Term B Loans. See Note 5 to the condensed consolidated financial statements related to the changes in our debt levels. See Note 6 to the condensed consolidated financial statements for a discussion of our derivative instruments and Note 14 for the disclosure of the fair value and related carrying value of our debt obligations as of March 29, 2024.</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occurred during our second quarter of fiscal 2024 that has materially affected, or is reasonably likely to materially affect, our internal control over financial reporting.</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we and our subsidiaries are party to various legal actions, proceedings and investigations involving claims incidental to the conduct of our business, including those brought by clients, customers,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subject to various federal, state, international,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March 29, 2024.</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in our Annual Report on Form 10-K for the fiscal year ended September 29, 2023 filed with the SEC on November 21, 2023.</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29, 2024, none of our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37" w:name="page38"/>
    <w:bookmarkEnd w:id="37"/>
    <w:p>
      <w:pPr>
        <w:ind w:left="54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96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7, 2024.</w:t>
      </w:r>
    </w:p>
    <w:p>
      <w:pPr>
        <w:spacing w:after="0" w:line="2"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Aramark</w:t>
            </w:r>
          </w:p>
        </w:tc>
        <w:tc>
          <w:tcPr>
            <w:tcW w:w="450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T. SCHILLING</w:t>
            </w:r>
          </w:p>
        </w:tc>
      </w:t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T. Schilling</w:t>
            </w:r>
          </w:p>
        </w:tc>
      </w:tr>
      <w:tr>
        <w:trPr>
          <w:trHeight w:val="147"/>
        </w:trPr>
        <w:tc>
          <w:tcPr>
            <w:tcW w:w="98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Title:</w:t>
            </w:r>
          </w:p>
        </w:tc>
        <w:tc>
          <w:tcPr>
            <w:tcW w:w="45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Senior Vice President, Controller and Chief Accounting Officer</w:t>
            </w:r>
          </w:p>
        </w:tc>
      </w:tr>
      <w:tr>
        <w:trPr>
          <w:trHeight w:val="190"/>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8" w:name="page39"/>
    <w:bookmarkEnd w:id="38"/>
    <w:p>
      <w:pPr>
        <w:jc w:val="center"/>
        <w:ind w:right="28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52" w:lineRule="exact"/>
        <w:rPr>
          <w:sz w:val="20"/>
          <w:szCs w:val="20"/>
          <w:color w:val="auto"/>
        </w:rPr>
      </w:pPr>
    </w:p>
    <w:p>
      <w:pPr>
        <w:ind w:left="60"/>
        <w:spacing w:after="0"/>
        <w:tabs>
          <w:tab w:leader="none" w:pos="548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8" w:lineRule="exact"/>
        <w:rPr>
          <w:sz w:val="20"/>
          <w:szCs w:val="20"/>
          <w:color w:val="auto"/>
        </w:rPr>
      </w:pPr>
    </w:p>
    <w:p>
      <w:pPr>
        <w:ind w:left="820" w:right="80" w:hanging="458"/>
        <w:spacing w:after="0" w:line="236" w:lineRule="auto"/>
        <w:tabs>
          <w:tab w:leader="none" w:pos="800" w:val="left"/>
        </w:tabs>
        <w:rPr>
          <w:rFonts w:ascii="Times New Roman" w:cs="Times New Roman" w:eastAsia="Times New Roman" w:hAnsi="Times New Roman"/>
          <w:sz w:val="17"/>
          <w:szCs w:val="17"/>
          <w:u w:val="single" w:color="auto"/>
          <w:color w:val="0000FF"/>
        </w:rPr>
      </w:pPr>
      <w:hyperlink r:id="rId51">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51">
        <w:r>
          <w:rPr>
            <w:rFonts w:ascii="Times New Roman" w:cs="Times New Roman" w:eastAsia="Times New Roman" w:hAnsi="Times New Roman"/>
            <w:sz w:val="17"/>
            <w:szCs w:val="17"/>
            <w:u w:val="single" w:color="auto"/>
            <w:color w:val="0000FF"/>
          </w:rPr>
          <w:t>Amendment No. 14 (the “Amendment”), dated as of March 27, 2024, among Aramark Services, Inc. (the “Company”), Aramark</w:t>
        </w:r>
      </w:hyperlink>
      <w:r>
        <w:rPr>
          <w:rFonts w:ascii="Times New Roman" w:cs="Times New Roman" w:eastAsia="Times New Roman" w:hAnsi="Times New Roman"/>
          <w:sz w:val="17"/>
          <w:szCs w:val="17"/>
          <w:u w:val="single" w:color="auto"/>
          <w:color w:val="0000FF"/>
        </w:rPr>
        <w:t xml:space="preserve"> </w:t>
      </w:r>
      <w:hyperlink r:id="rId51">
        <w:r>
          <w:rPr>
            <w:rFonts w:ascii="Times New Roman" w:cs="Times New Roman" w:eastAsia="Times New Roman" w:hAnsi="Times New Roman"/>
            <w:sz w:val="17"/>
            <w:szCs w:val="17"/>
            <w:u w:val="single" w:color="auto"/>
            <w:color w:val="0000FF"/>
          </w:rPr>
          <w:t>Intermediate HoldCo Corporation (“Holdings”), certain wholly-owned subsidiaries of the Company, the financial institutions party thereto</w:t>
        </w:r>
      </w:hyperlink>
    </w:p>
    <w:p>
      <w:pPr>
        <w:ind w:left="820" w:right="320"/>
        <w:spacing w:after="0" w:line="220" w:lineRule="auto"/>
        <w:rPr>
          <w:rFonts w:ascii="Times New Roman" w:cs="Times New Roman" w:eastAsia="Times New Roman" w:hAnsi="Times New Roman"/>
          <w:sz w:val="17"/>
          <w:szCs w:val="17"/>
          <w:u w:val="single" w:color="auto"/>
          <w:color w:val="0000FF"/>
        </w:rPr>
      </w:pPr>
      <w:hyperlink r:id="rId51">
        <w:r>
          <w:rPr>
            <w:rFonts w:ascii="Times New Roman" w:cs="Times New Roman" w:eastAsia="Times New Roman" w:hAnsi="Times New Roman"/>
            <w:sz w:val="17"/>
            <w:szCs w:val="17"/>
            <w:u w:val="single" w:color="auto"/>
            <w:color w:val="0000FF"/>
          </w:rPr>
          <w:t>and JPMorgan Chase Bank, N.A. as administrative agent for the Lenders (as defined below) and collateral agent for the secured parties</w:t>
        </w:r>
      </w:hyperlink>
      <w:r>
        <w:rPr>
          <w:rFonts w:ascii="Times New Roman" w:cs="Times New Roman" w:eastAsia="Times New Roman" w:hAnsi="Times New Roman"/>
          <w:sz w:val="17"/>
          <w:szCs w:val="17"/>
          <w:u w:val="single" w:color="auto"/>
          <w:color w:val="0000FF"/>
        </w:rPr>
        <w:t xml:space="preserve"> </w:t>
      </w:r>
      <w:hyperlink r:id="rId51">
        <w:r>
          <w:rPr>
            <w:rFonts w:ascii="Times New Roman" w:cs="Times New Roman" w:eastAsia="Times New Roman" w:hAnsi="Times New Roman"/>
            <w:sz w:val="17"/>
            <w:szCs w:val="17"/>
            <w:u w:val="single" w:color="auto"/>
            <w:color w:val="0000FF"/>
          </w:rPr>
          <w:t>thereunder to the Credit Agreement, dated March 28, 2017, among the Company, Holdings, certain other borrowers party thereto, the</w:t>
        </w:r>
      </w:hyperlink>
      <w:r>
        <w:rPr>
          <w:rFonts w:ascii="Times New Roman" w:cs="Times New Roman" w:eastAsia="Times New Roman" w:hAnsi="Times New Roman"/>
          <w:sz w:val="17"/>
          <w:szCs w:val="17"/>
          <w:u w:val="single" w:color="auto"/>
          <w:color w:val="0000FF"/>
        </w:rPr>
        <w:t xml:space="preserve"> </w:t>
      </w:r>
      <w:hyperlink r:id="rId51">
        <w:r>
          <w:rPr>
            <w:rFonts w:ascii="Times New Roman" w:cs="Times New Roman" w:eastAsia="Times New Roman" w:hAnsi="Times New Roman"/>
            <w:sz w:val="17"/>
            <w:szCs w:val="17"/>
            <w:u w:val="single" w:color="auto"/>
            <w:color w:val="0000FF"/>
          </w:rPr>
          <w:t>financial institutions from time to time party thereto (including the financial institutions party to the Amendment, the “Lenders”), the</w:t>
        </w:r>
      </w:hyperlink>
    </w:p>
    <w:p>
      <w:pPr>
        <w:spacing w:after="0" w:line="2" w:lineRule="exact"/>
        <w:rPr>
          <w:rFonts w:ascii="Times New Roman" w:cs="Times New Roman" w:eastAsia="Times New Roman" w:hAnsi="Times New Roman"/>
          <w:sz w:val="17"/>
          <w:szCs w:val="17"/>
          <w:u w:val="single" w:color="auto"/>
          <w:color w:val="0000FF"/>
        </w:rPr>
      </w:pPr>
    </w:p>
    <w:p>
      <w:pPr>
        <w:jc w:val="both"/>
        <w:ind w:left="820" w:right="100"/>
        <w:spacing w:after="0" w:line="218" w:lineRule="auto"/>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issuing banks named therein and JPMorgan Chase Bank, N.A., as administrative agent for the Lenders and collateral agent for the secured</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parties thereunder (incorporated by reference to Exhibit 10.1 to Aramark’s Current Report on Form 8-K filed with the SEC on March 27,</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2024, pursuant to the Exchange Act (file number 001-36223)).</w:t>
        </w:r>
      </w:hyperlink>
    </w:p>
    <w:p>
      <w:pPr>
        <w:spacing w:after="0" w:line="10" w:lineRule="exact"/>
        <w:rPr>
          <w:rFonts w:ascii="Times New Roman" w:cs="Times New Roman" w:eastAsia="Times New Roman" w:hAnsi="Times New Roman"/>
          <w:sz w:val="18"/>
          <w:szCs w:val="18"/>
          <w:u w:val="single" w:color="auto"/>
          <w:color w:val="0000FF"/>
        </w:rPr>
      </w:pPr>
    </w:p>
    <w:p>
      <w:pPr>
        <w:ind w:left="280"/>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7"/>
          <w:szCs w:val="17"/>
          <w:u w:val="single" w:color="auto"/>
          <w:color w:val="0000FF"/>
        </w:rPr>
        <w:t>Certification of John J. Zillmer, Chief Executive Officer, pursuant to Section 302 of the Sarbanes-Oxley Act of 2002.</w:t>
      </w:r>
    </w:p>
    <w:p>
      <w:pPr>
        <w:spacing w:after="0" w:line="27" w:lineRule="exact"/>
        <w:rPr>
          <w:rFonts w:ascii="Times New Roman" w:cs="Times New Roman" w:eastAsia="Times New Roman" w:hAnsi="Times New Roman"/>
          <w:sz w:val="18"/>
          <w:szCs w:val="18"/>
          <w:u w:val="single" w:color="auto"/>
          <w:color w:val="0000FF"/>
        </w:rPr>
      </w:pPr>
    </w:p>
    <w:p>
      <w:pPr>
        <w:ind w:left="280"/>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7"/>
          <w:szCs w:val="17"/>
          <w:u w:val="single" w:color="auto"/>
          <w:color w:val="0000FF"/>
        </w:rPr>
        <w:t>Certification of James J. Tarangelo, Chief Financial Officer, pursuant to Section 302 of the Sarbanes-Oxley Act of 2002.</w:t>
      </w:r>
    </w:p>
    <w:p>
      <w:pPr>
        <w:spacing w:after="0" w:line="23" w:lineRule="exact"/>
        <w:rPr>
          <w:rFonts w:ascii="Times New Roman" w:cs="Times New Roman" w:eastAsia="Times New Roman" w:hAnsi="Times New Roman"/>
          <w:sz w:val="18"/>
          <w:szCs w:val="18"/>
          <w:u w:val="single" w:color="auto"/>
          <w:color w:val="0000FF"/>
        </w:rPr>
      </w:pPr>
    </w:p>
    <w:p>
      <w:pPr>
        <w:ind w:left="820" w:right="240" w:hanging="548"/>
        <w:spacing w:after="0" w:line="234"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32.1*</w:t>
        <w:tab/>
        <w:t>Certification of John J. Zillmer, Chief Executive Officer, and James J. Tarangelo, Chief Financial Officer, pursuant to Section 906 of the Sarbanes-Oxley Act of 2002.</w:t>
      </w:r>
    </w:p>
    <w:p>
      <w:pPr>
        <w:spacing w:after="0" w:line="10" w:lineRule="exact"/>
        <w:rPr>
          <w:rFonts w:ascii="Times New Roman" w:cs="Times New Roman" w:eastAsia="Times New Roman" w:hAnsi="Times New Roman"/>
          <w:sz w:val="18"/>
          <w:szCs w:val="18"/>
          <w:u w:val="single" w:color="auto"/>
          <w:color w:val="0000FF"/>
        </w:rPr>
      </w:pPr>
    </w:p>
    <w:p>
      <w:pPr>
        <w:ind w:left="820" w:right="220" w:hanging="414"/>
        <w:spacing w:after="0" w:line="217" w:lineRule="auto"/>
        <w:tabs>
          <w:tab w:leader="none" w:pos="820" w:val="left"/>
        </w:tabs>
        <w:numPr>
          <w:ilvl w:val="0"/>
          <w:numId w:val="1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following financial information from Aramark's Quarterly Report on Form 10-Q for the period ended March 29, 2024 formatted in inline XBRL: (i) Condensed Consolidated Balance Sheets as of March 29, 2024 and September 29, 2023; (ii) Condensed Consolidated Statements of Income for the three and six months ended March 29, 2024 and March 31, 2023; (iii) Condensed Consolidated Statements of Comprehensive Income for the three and six months ended March 29, 2024 and March 31, 2023; (iv) Condensed Consolidated Statements of Cash Flows for the six months ended March 29, 2024 and March 31, 2023; (v) Condensed Consolidated Statements of Stockholders' Equity for the three and six months ended March 29, 2024 and March 31, 2023; and (vi) Notes to condensed consolidated financial statements.</w:t>
      </w:r>
    </w:p>
    <w:p>
      <w:pPr>
        <w:spacing w:after="0" w:line="4" w:lineRule="exact"/>
        <w:rPr>
          <w:rFonts w:ascii="Times New Roman" w:cs="Times New Roman" w:eastAsia="Times New Roman" w:hAnsi="Times New Roman"/>
          <w:sz w:val="18"/>
          <w:szCs w:val="18"/>
          <w:u w:val="single" w:color="auto"/>
          <w:color w:val="0000FF"/>
        </w:rPr>
      </w:pPr>
    </w:p>
    <w:p>
      <w:pPr>
        <w:ind w:right="1080" w:firstLine="406"/>
        <w:spacing w:after="0" w:line="380" w:lineRule="auto"/>
        <w:tabs>
          <w:tab w:leader="none" w:pos="82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Exhibit 101 Inline XBRL document set. * Filed herewith.</w:t>
      </w:r>
    </w:p>
    <w:p>
      <w:pPr>
        <w:spacing w:after="0" w:line="1" w:lineRule="exact"/>
        <w:rPr>
          <w:rFonts w:ascii="Times New Roman" w:cs="Times New Roman" w:eastAsia="Times New Roman" w:hAnsi="Times New Roman"/>
          <w:sz w:val="18"/>
          <w:szCs w:val="18"/>
          <w:u w:val="single" w:color="auto"/>
          <w:color w:val="0000FF"/>
        </w:rPr>
      </w:pPr>
    </w:p>
    <w:p>
      <w:pPr>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5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The XBRL instance document does not appear in the interactive data file because the XBRL tags are embedded within the inline XBRL document.</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jc w:val="center"/>
        <w:ind w:right="28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60"/>
          </w:cols>
          <w:pgMar w:left="660" w:top="1359" w:right="3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Zillmer, Chief Executive Officer, certify that:</w:t>
      </w:r>
    </w:p>
    <w:p>
      <w:pPr>
        <w:spacing w:after="0" w:line="104"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Aramark for the quarter ended March 29, 2024;</w:t>
      </w:r>
    </w:p>
    <w:p>
      <w:pPr>
        <w:spacing w:after="0" w:line="10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17145</wp:posOffset>
            </wp:positionV>
            <wp:extent cx="30003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ectPr>
          <w:pgSz w:w="11900" w:h="16838" w:orient="portrait"/>
          <w:cols w:equalWidth="0" w:num="1">
            <w:col w:w="11240"/>
          </w:cols>
          <w:pgMar w:left="320" w:top="104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Tarangelo, Senior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Aramark for the quarter ended March 29, 2024;</w:t>
      </w:r>
    </w:p>
    <w:p>
      <w:pPr>
        <w:spacing w:after="0" w:line="10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17145</wp:posOffset>
            </wp:positionV>
            <wp:extent cx="30003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James J. Tarangelo</w:t>
      </w:r>
    </w:p>
    <w:p>
      <w:pPr>
        <w:spacing w:after="0" w:line="1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ind w:left="14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8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Aramark (the “Company”) on Form 10-Q for the fiscal quarter ended March 29, 2024, as filed with the Securities and Exchange Commission on the date hereof (the “Report”), we, John J. Zillmer, Chief Executive Officer of the Company, and James J. Tarangelo, Senior Vice President and Chief Financial Officer of the Company, each certify, pursuant to 18 U.S.C. Section 1350, as adopted pursuant to Section 906 of the Sarbanes-Oxley Act of 2002, that, based on each of our knowledge:</w:t>
      </w:r>
    </w:p>
    <w:p>
      <w:pPr>
        <w:spacing w:after="0" w:line="382"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right="140" w:firstLine="332"/>
        <w:spacing w:after="0" w:line="783" w:lineRule="auto"/>
        <w:tabs>
          <w:tab w:leader="none" w:pos="6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7, 2024</w:t>
      </w:r>
    </w:p>
    <w:p>
      <w:pPr>
        <w:spacing w:after="0" w:line="25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James J. Tarangelo</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01"/>
    </w:lvl>
  </w:abstractNum>
  <w:abstractNum w:abstractNumId="15">
    <w:nsid w:val="519B500D"/>
    <w:multiLevelType w:val="hybridMultilevel"/>
    <w:lvl w:ilvl="0">
      <w:lvlJc w:val="left"/>
      <w:lvlText w:val="*"/>
      <w:numFmt w:val="bullet"/>
      <w:start w:val="1"/>
    </w:lvl>
    <w:lvl w:ilvl="1">
      <w:lvlJc w:val="left"/>
      <w:lvlText w:val="%2"/>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1" Type="http://schemas.openxmlformats.org/officeDocument/2006/relationships/hyperlink" Target="https://www.sec.gov/ix?doc=/Archives/edgar/data/1584509/000158450924000088/cik0-202403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2024-05-07T16:11:34Z</dcterms:created>
  <dcterms:modified xsi:type="dcterms:W3CDTF">2024-05-07T16:11:34Z</dcterms:modified>
</cp:coreProperties>
</file>