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6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60" w:after="60"/>
        <w:jc w:val="center"/>
        <w:rPr/>
      </w:pPr>
      <w:r>
        <w:rPr>
          <w:rFonts w:ascii="Wingdings;sans-serif" w:hAnsi="Wingdings;sans-serif"/>
          <w:b w:val="false"/>
          <w:color w:val="000000"/>
          <w:sz w:val="20"/>
        </w:rPr>
        <w:t xml:space="preserve">x </w:t>
      </w:r>
      <w:r>
        <w:rPr>
          <w:rFonts w:ascii="Times New Roman;sans-serif" w:hAnsi="Times New Roman;sans-serif"/>
          <w:b/>
          <w:color w:val="000000"/>
          <w:sz w:val="24"/>
        </w:rPr>
        <w:t>QUARTERLY REPORT 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28, 2024</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60" w:after="60"/>
        <w:jc w:val="center"/>
        <w:rPr/>
      </w:pPr>
      <w:r>
        <w:rPr>
          <w:color w:val="000000"/>
        </w:rPr>
        <w:t xml:space="preserve">☐ </w:t>
      </w:r>
      <w:r>
        <w:rPr>
          <w:rFonts w:ascii="Times New Roman;sans-serif" w:hAnsi="Times New Roman;sans-serif"/>
          <w:b/>
          <w:color w:val="000000"/>
          <w:sz w:val="24"/>
        </w:rPr>
        <w:t xml:space="preserve">TRANSITION REPORT PURSUANT TO SECTION 13 OR 15(d) OF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 to 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001-36223 </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before="60" w:after="60"/>
        <w:jc w:val="center"/>
        <w:rPr/>
      </w:pPr>
      <w:r>
        <w:rPr/>
        <w:drawing>
          <wp:inline distT="0" distB="0" distL="0" distR="0">
            <wp:extent cx="27432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695325"/>
                    </a:xfrm>
                    <a:prstGeom prst="rect">
                      <a:avLst/>
                    </a:prstGeom>
                  </pic:spPr>
                </pic:pic>
              </a:graphicData>
            </a:graphic>
          </wp:inline>
        </w:drawing>
      </w:r>
    </w:p>
    <w:tbl>
      <w:tblPr>
        <w:tblW w:w="4617" w:type="dxa"/>
        <w:jc w:val="center"/>
        <w:tblInd w:w="0" w:type="dxa"/>
        <w:tblLayout w:type="fixed"/>
        <w:tblCellMar>
          <w:top w:w="28" w:type="dxa"/>
          <w:left w:w="28" w:type="dxa"/>
          <w:bottom w:w="28" w:type="dxa"/>
          <w:right w:w="28" w:type="dxa"/>
        </w:tblCellMar>
      </w:tblPr>
      <w:tblGrid>
        <w:gridCol w:w="518"/>
        <w:gridCol w:w="456"/>
        <w:gridCol w:w="456"/>
        <w:gridCol w:w="477"/>
        <w:gridCol w:w="477"/>
        <w:gridCol w:w="478"/>
        <w:gridCol w:w="513"/>
        <w:gridCol w:w="513"/>
        <w:gridCol w:w="729"/>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Aramark</w:t>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20-8236097</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Number)</w:t>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2400 Market Street</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19103</w:t>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Philadelphia,</w:t>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Pennsylvania</w:t>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238-3000 </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before="0" w:after="0"/>
        <w:jc w:val="left"/>
        <w:rPr/>
      </w:pPr>
      <w:r>
        <w:rPr/>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73" w:type="dxa"/>
        <w:jc w:val="left"/>
        <w:tblInd w:w="0" w:type="dxa"/>
        <w:tblLayout w:type="fixed"/>
        <w:tblCellMar>
          <w:top w:w="28" w:type="dxa"/>
          <w:left w:w="28" w:type="dxa"/>
          <w:bottom w:w="28" w:type="dxa"/>
          <w:right w:w="28" w:type="dxa"/>
        </w:tblCellMar>
      </w:tblPr>
      <w:tblGrid>
        <w:gridCol w:w="452"/>
        <w:gridCol w:w="396"/>
        <w:gridCol w:w="396"/>
        <w:gridCol w:w="625"/>
        <w:gridCol w:w="625"/>
        <w:gridCol w:w="625"/>
        <w:gridCol w:w="564"/>
        <w:gridCol w:w="564"/>
        <w:gridCol w:w="566"/>
        <w:gridCol w:w="1157"/>
        <w:gridCol w:w="1157"/>
        <w:gridCol w:w="1646"/>
      </w:tblGrid>
      <w:tr>
        <w:trPr/>
        <w:tc>
          <w:tcPr>
            <w:tcW w:w="4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ARMK</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60"/>
        <w:gridCol w:w="492"/>
        <w:gridCol w:w="495"/>
        <w:gridCol w:w="109"/>
        <w:gridCol w:w="109"/>
        <w:gridCol w:w="109"/>
        <w:gridCol w:w="480"/>
        <w:gridCol w:w="480"/>
        <w:gridCol w:w="481"/>
        <w:gridCol w:w="109"/>
        <w:gridCol w:w="109"/>
        <w:gridCol w:w="109"/>
        <w:gridCol w:w="537"/>
        <w:gridCol w:w="537"/>
        <w:gridCol w:w="538"/>
        <w:gridCol w:w="109"/>
        <w:gridCol w:w="109"/>
        <w:gridCol w:w="109"/>
        <w:gridCol w:w="770"/>
        <w:gridCol w:w="770"/>
        <w:gridCol w:w="771"/>
        <w:gridCol w:w="109"/>
        <w:gridCol w:w="109"/>
        <w:gridCol w:w="109"/>
        <w:gridCol w:w="536"/>
        <w:gridCol w:w="536"/>
        <w:gridCol w:w="538"/>
        <w:gridCol w:w="109"/>
        <w:gridCol w:w="109"/>
        <w:gridCol w:w="158"/>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firstLine="45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00" w:after="60"/>
        <w:ind w:left="0" w:right="0" w:firstLine="45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r>
        <w:rPr>
          <w:color w:val="000000"/>
        </w:rPr>
        <w:t xml:space="preserve"> </w:t>
      </w:r>
    </w:p>
    <w:p>
      <w:pPr>
        <w:pStyle w:val="TextBody"/>
        <w:bidi w:val="0"/>
        <w:spacing w:lineRule="auto" w:line="288" w:before="10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26, 2024, the number of shares of the registrant's common stock outstanding is 263,448,528.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jc w:val="center"/>
        <w:rPr>
          <w:color w:val="000000"/>
        </w:rPr>
      </w:pPr>
      <w:r>
        <w:rPr>
          <w:color w:val="000000"/>
        </w:rPr>
        <w:t>    </w:t>
      </w:r>
    </w:p>
    <w:tbl>
      <w:tblPr>
        <w:tblW w:w="9879" w:type="dxa"/>
        <w:jc w:val="center"/>
        <w:tblInd w:w="0" w:type="dxa"/>
        <w:tblLayout w:type="fixed"/>
        <w:tblCellMar>
          <w:top w:w="28" w:type="dxa"/>
          <w:left w:w="28" w:type="dxa"/>
          <w:bottom w:w="28" w:type="dxa"/>
          <w:right w:w="28" w:type="dxa"/>
        </w:tblCellMar>
      </w:tblPr>
      <w:tblGrid>
        <w:gridCol w:w="329"/>
        <w:gridCol w:w="288"/>
        <w:gridCol w:w="288"/>
        <w:gridCol w:w="288"/>
        <w:gridCol w:w="288"/>
        <w:gridCol w:w="288"/>
        <w:gridCol w:w="2443"/>
        <w:gridCol w:w="2443"/>
        <w:gridCol w:w="2449"/>
        <w:gridCol w:w="222"/>
        <w:gridCol w:w="222"/>
        <w:gridCol w:w="331"/>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8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1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3">
              <w:r>
                <w:rPr>
                  <w:rStyle w:val="InternetLink"/>
                  <w:rFonts w:ascii="Times New Roman;sans-serif" w:hAnsi="Times New Roman;sans-serif"/>
                  <w:b w:val="false"/>
                  <w:color w:val="0000FF"/>
                  <w:sz w:val="20"/>
                  <w:u w:val="single"/>
                </w:rPr>
                <w:t>PART I - Financial Information</w:t>
              </w:r>
            </w:hyperlink>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6">
              <w:r>
                <w:rPr>
                  <w:rStyle w:val="InternetLink"/>
                  <w:rFonts w:ascii="Times New Roman;sans-serif" w:hAnsi="Times New Roman;sans-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04ffac6520844000883f37eaf1e0a0f1_16">
              <w:r>
                <w:rPr>
                  <w:rStyle w:val="InternetLink"/>
                  <w:rFonts w:ascii="Times New Roman;sans-serif" w:hAnsi="Times New Roman;sans-serif"/>
                  <w:b w:val="false"/>
                  <w:color w:val="0000FF"/>
                  <w:sz w:val="20"/>
                  <w:u w:val="single"/>
                </w:rPr>
                <w:t>Financial Statements (Unaudited)</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6">
              <w:r>
                <w:rPr>
                  <w:rStyle w:val="InternetLink"/>
                  <w:rFonts w:ascii="Times New Roman;sans-serif" w:hAnsi="Times New Roman;sans-serif"/>
                  <w:b w:val="false"/>
                  <w:color w:val="0000FF"/>
                  <w:sz w:val="20"/>
                  <w:u w:val="singl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9">
              <w:r>
                <w:rPr>
                  <w:rStyle w:val="InternetLink"/>
                  <w:rFonts w:ascii="Times New Roman;sans-serif" w:hAnsi="Times New Roman;sans-serif"/>
                  <w:b w:val="false"/>
                  <w:color w:val="0000FF"/>
                  <w:sz w:val="20"/>
                  <w:u w:val="single"/>
                </w:rPr>
                <w:t>Condensed Consolidated Balance Sheets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9">
              <w:r>
                <w:rPr>
                  <w:rStyle w:val="InternetLink"/>
                  <w:rFonts w:ascii="Times New Roman;sans-serif" w:hAnsi="Times New Roman;sans-serif"/>
                  <w:b w:val="false"/>
                  <w:color w:val="0000FF"/>
                  <w:sz w:val="20"/>
                  <w:u w:val="singl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22">
              <w:r>
                <w:rPr>
                  <w:rStyle w:val="InternetLink"/>
                  <w:rFonts w:ascii="Times New Roman;sans-serif" w:hAnsi="Times New Roman;sans-serif"/>
                  <w:b w:val="false"/>
                  <w:color w:val="0000FF"/>
                  <w:sz w:val="20"/>
                  <w:u w:val="single"/>
                </w:rPr>
                <w:t>Condensed Consolidated Statements of Income</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22">
              <w:r>
                <w:rPr>
                  <w:rStyle w:val="InternetLink"/>
                  <w:rFonts w:ascii="Times New Roman;sans-serif" w:hAnsi="Times New Roman;sans-serif"/>
                  <w:b w:val="false"/>
                  <w:color w:val="0000FF"/>
                  <w:sz w:val="20"/>
                  <w:u w:val="single"/>
                </w:rPr>
                <w:t>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25">
              <w:r>
                <w:rPr>
                  <w:rStyle w:val="InternetLink"/>
                  <w:rFonts w:ascii="Times New Roman;sans-serif" w:hAnsi="Times New Roman;sans-serif"/>
                  <w:b w:val="false"/>
                  <w:color w:val="0000FF"/>
                  <w:sz w:val="20"/>
                  <w:u w:val="single"/>
                </w:rPr>
                <w:t>Condensed Consolidated Statements of Comprehensive Income</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25">
              <w:r>
                <w:rPr>
                  <w:rStyle w:val="InternetLink"/>
                  <w:rFonts w:ascii="Times New Roman;sans-serif" w:hAnsi="Times New Roman;sans-serif"/>
                  <w:b w:val="false"/>
                  <w:color w:val="0000FF"/>
                  <w:sz w:val="20"/>
                  <w:u w:val="single"/>
                </w:rPr>
                <w:t>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28">
              <w:r>
                <w:rPr>
                  <w:rStyle w:val="InternetLink"/>
                  <w:rFonts w:ascii="Times New Roman;sans-serif" w:hAnsi="Times New Roman;sans-serif"/>
                  <w:b w:val="false"/>
                  <w:color w:val="0000FF"/>
                  <w:sz w:val="20"/>
                  <w:u w:val="single"/>
                </w:rPr>
                <w:t>Condensed Consolidated Statements of Cash Flows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28">
              <w:r>
                <w:rPr>
                  <w:rStyle w:val="InternetLink"/>
                  <w:rFonts w:ascii="Times New Roman;sans-serif" w:hAnsi="Times New Roman;sans-serif"/>
                  <w:b w:val="false"/>
                  <w:color w:val="0000FF"/>
                  <w:sz w:val="20"/>
                  <w:u w:val="single"/>
                </w:rPr>
                <w:t>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31">
              <w:r>
                <w:rPr>
                  <w:rStyle w:val="InternetLink"/>
                  <w:rFonts w:ascii="Times New Roman;sans-serif" w:hAnsi="Times New Roman;sans-serif"/>
                  <w:b w:val="false"/>
                  <w:color w:val="0000FF"/>
                  <w:sz w:val="20"/>
                  <w:u w:val="single"/>
                </w:rPr>
                <w:t>Condensed Consolidated Statements of Stockholders' Equity</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31">
              <w:r>
                <w:rPr>
                  <w:rStyle w:val="InternetLink"/>
                  <w:rFonts w:ascii="Times New Roman;sans-serif" w:hAnsi="Times New Roman;sans-serif"/>
                  <w:b w:val="false"/>
                  <w:color w:val="0000FF"/>
                  <w:sz w:val="20"/>
                  <w:u w:val="single"/>
                </w:rPr>
                <w:t>6</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34">
              <w:r>
                <w:rPr>
                  <w:rStyle w:val="InternetLink"/>
                  <w:rFonts w:ascii="Times New Roman;sans-serif" w:hAnsi="Times New Roman;sans-serif"/>
                  <w:b w:val="false"/>
                  <w:color w:val="0000FF"/>
                  <w:sz w:val="20"/>
                  <w:u w:val="single"/>
                </w:rPr>
                <w:t>Notes to Condensed Consolidated Financial Statements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34">
              <w:r>
                <w:rPr>
                  <w:rStyle w:val="InternetLink"/>
                  <w:rFonts w:ascii="Times New Roman;sans-serif" w:hAnsi="Times New Roman;sans-serif"/>
                  <w:b w:val="false"/>
                  <w:color w:val="0000FF"/>
                  <w:sz w:val="20"/>
                  <w:u w:val="single"/>
                </w:rPr>
                <w:t>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82">
              <w:r>
                <w:rPr>
                  <w:rStyle w:val="InternetLink"/>
                  <w:rFonts w:ascii="Times New Roman;sans-serif" w:hAnsi="Times New Roman;sans-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82">
              <w:r>
                <w:rPr>
                  <w:rStyle w:val="InternetLink"/>
                  <w:rFonts w:ascii="Times New Roman;sans-serif" w:hAnsi="Times New Roman;sans-serif"/>
                  <w:b w:val="false"/>
                  <w:color w:val="0000FF"/>
                  <w:sz w:val="20"/>
                  <w:u w:val="single"/>
                </w:rPr>
                <w:t>23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00">
              <w:r>
                <w:rPr>
                  <w:rStyle w:val="InternetLink"/>
                  <w:rFonts w:ascii="Times New Roman;sans-serif" w:hAnsi="Times New Roman;sans-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00">
              <w:r>
                <w:rPr>
                  <w:rStyle w:val="InternetLink"/>
                  <w:rFonts w:ascii="Times New Roman;sans-serif" w:hAnsi="Times New Roman;sans-serif"/>
                  <w:b w:val="false"/>
                  <w:color w:val="0000FF"/>
                  <w:sz w:val="20"/>
                  <w:u w:val="single"/>
                </w:rPr>
                <w:t>Quantitative and Qualitative Disclosure About Market Risk</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00">
              <w:r>
                <w:rPr>
                  <w:rStyle w:val="InternetLink"/>
                  <w:rFonts w:ascii="Times New Roman;sans-serif" w:hAnsi="Times New Roman;sans-serif"/>
                  <w:b w:val="false"/>
                  <w:color w:val="0000FF"/>
                  <w:sz w:val="20"/>
                  <w:u w:val="single"/>
                </w:rPr>
                <w:t>33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03">
              <w:r>
                <w:rPr>
                  <w:rStyle w:val="InternetLink"/>
                  <w:rFonts w:ascii="Times New Roman;sans-serif" w:hAnsi="Times New Roman;sans-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03">
              <w:r>
                <w:rPr>
                  <w:rStyle w:val="InternetLink"/>
                  <w:rFonts w:ascii="Times New Roman;sans-serif" w:hAnsi="Times New Roman;sans-serif"/>
                  <w:b w:val="false"/>
                  <w:color w:val="0000FF"/>
                  <w:sz w:val="20"/>
                  <w:u w:val="single"/>
                </w:rPr>
                <w:t>Controls and Procedures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03">
              <w:r>
                <w:rPr>
                  <w:rStyle w:val="InternetLink"/>
                  <w:rFonts w:ascii="Times New Roman;sans-serif" w:hAnsi="Times New Roman;sans-serif"/>
                  <w:b w:val="false"/>
                  <w:color w:val="0000FF"/>
                  <w:sz w:val="20"/>
                  <w:u w:val="single"/>
                </w:rPr>
                <w:t>33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06">
              <w:r>
                <w:rPr>
                  <w:rStyle w:val="InternetLink"/>
                  <w:rFonts w:ascii="Times New Roman;sans-serif" w:hAnsi="Times New Roman;sans-serif"/>
                  <w:b w:val="false"/>
                  <w:color w:val="0000FF"/>
                  <w:sz w:val="20"/>
                  <w:u w:val="single"/>
                </w:rPr>
                <w:t>PART II - Other Information</w:t>
              </w:r>
            </w:hyperlink>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09">
              <w:r>
                <w:rPr>
                  <w:rStyle w:val="InternetLink"/>
                  <w:rFonts w:ascii="Times New Roman;sans-serif" w:hAnsi="Times New Roman;sans-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09">
              <w:r>
                <w:rPr>
                  <w:rStyle w:val="InternetLink"/>
                  <w:rFonts w:ascii="Times New Roman;sans-serif" w:hAnsi="Times New Roman;sans-serif"/>
                  <w:b w:val="false"/>
                  <w:color w:val="0000FF"/>
                  <w:sz w:val="20"/>
                  <w:u w:val="single"/>
                </w:rPr>
                <w:t>Legal Proceedings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09">
              <w:r>
                <w:rPr>
                  <w:rStyle w:val="InternetLink"/>
                  <w:rFonts w:ascii="Times New Roman;sans-serif" w:hAnsi="Times New Roman;sans-serif"/>
                  <w:b w:val="false"/>
                  <w:color w:val="0000FF"/>
                  <w:sz w:val="20"/>
                  <w:u w:val="single"/>
                </w:rPr>
                <w:t>34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12">
              <w:r>
                <w:rPr>
                  <w:rStyle w:val="InternetLink"/>
                  <w:rFonts w:ascii="Times New Roman;sans-serif" w:hAnsi="Times New Roman;sans-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12">
              <w:r>
                <w:rPr>
                  <w:rStyle w:val="InternetLink"/>
                  <w:rFonts w:ascii="Times New Roman;sans-serif" w:hAnsi="Times New Roman;sans-serif"/>
                  <w:b w:val="false"/>
                  <w:color w:val="0000FF"/>
                  <w:sz w:val="20"/>
                  <w:u w:val="single"/>
                </w:rPr>
                <w:t>Risk Factors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12">
              <w:r>
                <w:rPr>
                  <w:rStyle w:val="InternetLink"/>
                  <w:rFonts w:ascii="Times New Roman;sans-serif" w:hAnsi="Times New Roman;sans-serif"/>
                  <w:b w:val="false"/>
                  <w:color w:val="0000FF"/>
                  <w:sz w:val="20"/>
                  <w:u w:val="single"/>
                </w:rPr>
                <w:t>34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15">
              <w:r>
                <w:rPr>
                  <w:rStyle w:val="InternetLink"/>
                  <w:rFonts w:ascii="Times New Roman;sans-serif" w:hAnsi="Times New Roman;sans-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15">
              <w:r>
                <w:rPr>
                  <w:rStyle w:val="InternetLink"/>
                  <w:rFonts w:ascii="Times New Roman;sans-serif" w:hAnsi="Times New Roman;sans-serif"/>
                  <w:b w:val="false"/>
                  <w:color w:val="0000FF"/>
                  <w:sz w:val="20"/>
                  <w:u w:val="single"/>
                </w:rPr>
                <w:t>Unregistered Sales of Equity Securities and Use of Proceeds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15">
              <w:r>
                <w:rPr>
                  <w:rStyle w:val="InternetLink"/>
                  <w:rFonts w:ascii="Times New Roman;sans-serif" w:hAnsi="Times New Roman;sans-serif"/>
                  <w:b w:val="false"/>
                  <w:color w:val="0000FF"/>
                  <w:sz w:val="20"/>
                  <w:u w:val="single"/>
                </w:rPr>
                <w:t>34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18">
              <w:r>
                <w:rPr>
                  <w:rStyle w:val="InternetLink"/>
                  <w:rFonts w:ascii="Times New Roman;sans-serif" w:hAnsi="Times New Roman;sans-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18">
              <w:r>
                <w:rPr>
                  <w:rStyle w:val="InternetLink"/>
                  <w:rFonts w:ascii="Times New Roman;sans-serif" w:hAnsi="Times New Roman;sans-serif"/>
                  <w:b w:val="false"/>
                  <w:color w:val="0000FF"/>
                  <w:sz w:val="20"/>
                  <w:u w:val="single"/>
                </w:rPr>
                <w:t>Defaults Upon Senior Securities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18">
              <w:r>
                <w:rPr>
                  <w:rStyle w:val="InternetLink"/>
                  <w:rFonts w:ascii="Times New Roman;sans-serif" w:hAnsi="Times New Roman;sans-serif"/>
                  <w:b w:val="false"/>
                  <w:color w:val="0000FF"/>
                  <w:sz w:val="20"/>
                  <w:u w:val="single"/>
                </w:rPr>
                <w:t>34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21">
              <w:r>
                <w:rPr>
                  <w:rStyle w:val="InternetLink"/>
                  <w:rFonts w:ascii="Times New Roman;sans-serif" w:hAnsi="Times New Roman;sans-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21">
              <w:r>
                <w:rPr>
                  <w:rStyle w:val="InternetLink"/>
                  <w:rFonts w:ascii="Times New Roman;sans-serif" w:hAnsi="Times New Roman;sans-serif"/>
                  <w:b w:val="false"/>
                  <w:color w:val="0000FF"/>
                  <w:sz w:val="20"/>
                  <w:u w:val="single"/>
                </w:rPr>
                <w:t>Mine Safety Disclosures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21">
              <w:r>
                <w:rPr>
                  <w:rStyle w:val="InternetLink"/>
                  <w:rFonts w:ascii="Times New Roman;sans-serif" w:hAnsi="Times New Roman;sans-serif"/>
                  <w:b w:val="false"/>
                  <w:color w:val="0000FF"/>
                  <w:sz w:val="20"/>
                  <w:u w:val="single"/>
                </w:rPr>
                <w:t>34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24">
              <w:r>
                <w:rPr>
                  <w:rStyle w:val="InternetLink"/>
                  <w:rFonts w:ascii="Times New Roman;sans-serif" w:hAnsi="Times New Roman;sans-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24">
              <w:r>
                <w:rPr>
                  <w:rStyle w:val="InternetLink"/>
                  <w:rFonts w:ascii="Times New Roman;sans-serif" w:hAnsi="Times New Roman;sans-serif"/>
                  <w:b w:val="false"/>
                  <w:color w:val="0000FF"/>
                  <w:sz w:val="20"/>
                  <w:u w:val="single"/>
                </w:rPr>
                <w:t>Other Information</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24">
              <w:r>
                <w:rPr>
                  <w:rStyle w:val="InternetLink"/>
                  <w:rFonts w:ascii="Times New Roman;sans-serif" w:hAnsi="Times New Roman;sans-serif"/>
                  <w:b w:val="false"/>
                  <w:color w:val="0000FF"/>
                  <w:sz w:val="20"/>
                  <w:u w:val="single"/>
                </w:rPr>
                <w:t>34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27">
              <w:r>
                <w:rPr>
                  <w:rStyle w:val="InternetLink"/>
                  <w:rFonts w:ascii="Times New Roman;sans-serif" w:hAnsi="Times New Roman;sans-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27">
              <w:r>
                <w:rPr>
                  <w:rStyle w:val="InternetLink"/>
                  <w:rFonts w:ascii="Times New Roman;sans-serif" w:hAnsi="Times New Roman;sans-serif"/>
                  <w:b w:val="false"/>
                  <w:color w:val="0000FF"/>
                  <w:sz w:val="20"/>
                  <w:u w:val="single"/>
                </w:rPr>
                <w:t>Exhibits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27">
              <w:r>
                <w:rPr>
                  <w:rStyle w:val="InternetLink"/>
                  <w:rFonts w:ascii="Times New Roman;sans-serif" w:hAnsi="Times New Roman;sans-serif"/>
                  <w:b w:val="false"/>
                  <w:color w:val="0000FF"/>
                  <w:sz w:val="20"/>
                  <w:u w:val="single"/>
                </w:rPr>
                <w:t>34</w:t>
              </w:r>
            </w:hyperlink>
          </w:p>
        </w:tc>
      </w:tr>
    </w:tbl>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19"/>
        </w:rPr>
      </w:pPr>
      <w:r>
        <w:rPr>
          <w:rFonts w:ascii="Times New Roman;sans-serif" w:hAnsi="Times New Roman;sans-serif"/>
          <w:b/>
          <w:color w:val="000000"/>
          <w:sz w:val="19"/>
        </w:rPr>
        <w:t>Special Note About Forward-Looking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but not limited to, the ongoing conflict between Russia and Ukraine and the ongoing conflict in the Middle East, global supply chain disruptions,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 qualified personnel or increases in labor costs; our expansion strategy and our ability to successfully integrate the businesses we acquire and costs and timing related thereto; risks associated with the completed spin-off of Aramark Uniform and Career Apparel ("Uniform") as an independent publicly traded company to our stockholders;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21, 2023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share amounts) </w:t>
      </w:r>
    </w:p>
    <w:tbl>
      <w:tblPr>
        <w:tblW w:w="10205" w:type="dxa"/>
        <w:jc w:val="center"/>
        <w:tblInd w:w="0" w:type="dxa"/>
        <w:tblLayout w:type="fixed"/>
        <w:tblCellMar>
          <w:top w:w="28" w:type="dxa"/>
          <w:left w:w="28" w:type="dxa"/>
          <w:bottom w:w="28" w:type="dxa"/>
          <w:right w:w="28" w:type="dxa"/>
        </w:tblCellMar>
      </w:tblPr>
      <w:tblGrid>
        <w:gridCol w:w="2869"/>
        <w:gridCol w:w="2142"/>
        <w:gridCol w:w="2149"/>
        <w:gridCol w:w="196"/>
        <w:gridCol w:w="961"/>
        <w:gridCol w:w="109"/>
        <w:gridCol w:w="109"/>
        <w:gridCol w:w="109"/>
        <w:gridCol w:w="109"/>
        <w:gridCol w:w="216"/>
        <w:gridCol w:w="1063"/>
        <w:gridCol w:w="173"/>
      </w:tblGrid>
      <w:tr>
        <w:trPr/>
        <w:tc>
          <w:tcPr>
            <w:tcW w:w="286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1,927,088 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(less allowances: $40,002 and $31,506)</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1,970,782 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Prepayments and 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297,519 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 of discontinued operations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620,931 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3,330,366 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5,220,027 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1,425,973 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4,615,986 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1,804,473 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572,268 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728,678 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 of Discontinued Operations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2,503,836 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12,548,711 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16,871,241 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long-term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1,543,032 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1,271,859 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related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479,827 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1,288,454 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 of discontinued operations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395,524 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5,029,967 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5,034,327 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5,098,662 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Operating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245,871 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410,935 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503,129 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 of Discontinued Operations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1,861,735 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12)</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(authorized: 600,000,000 shares; issued: 303,742,547 shares and 301,069,012 shares; and outstanding: 263,445,025 shares and 261,450,373 shares)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surplus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3,825,620 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964,158 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(98,237)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(held in treasury: 40,297,522 shares and 39,618,639 shares)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(981,834)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2,943,924 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3,712,718 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12,548,711 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16,871,241 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per share data) </w:t>
      </w:r>
    </w:p>
    <w:tbl>
      <w:tblPr>
        <w:tblW w:w="10205" w:type="dxa"/>
        <w:jc w:val="center"/>
        <w:tblInd w:w="0" w:type="dxa"/>
        <w:tblLayout w:type="fixed"/>
        <w:tblCellMar>
          <w:top w:w="28" w:type="dxa"/>
          <w:left w:w="28" w:type="dxa"/>
          <w:bottom w:w="28" w:type="dxa"/>
          <w:right w:w="28" w:type="dxa"/>
        </w:tblCellMar>
      </w:tblPr>
      <w:tblGrid>
        <w:gridCol w:w="1616"/>
        <w:gridCol w:w="1331"/>
        <w:gridCol w:w="1346"/>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961"/>
        <w:gridCol w:w="156"/>
      </w:tblGrid>
      <w:tr>
        <w:trPr/>
        <w:tc>
          <w:tcPr>
            <w:tcW w:w="16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4,053,050 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11,882,926 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provided (exclusive of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general corporate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12,496,039 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11,473,372 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409,554 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Equity Investments,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 from Continuing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from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income attributable to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from Continuing Operations attributable to Aramark stockholders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 net of tax</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Aramark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 attributable to Aramark stockholders: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 attributable to Aramark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 attributable to Aramark stockholders: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 attributable to Aramark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640" w:type="dxa"/>
            <w:gridSpan w:val="6"/>
            <w:tcBorders/>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1708"/>
        <w:gridCol w:w="1456"/>
        <w:gridCol w:w="1464"/>
        <w:gridCol w:w="225"/>
        <w:gridCol w:w="770"/>
        <w:gridCol w:w="115"/>
        <w:gridCol w:w="109"/>
        <w:gridCol w:w="109"/>
        <w:gridCol w:w="109"/>
        <w:gridCol w:w="211"/>
        <w:gridCol w:w="826"/>
        <w:gridCol w:w="109"/>
        <w:gridCol w:w="109"/>
        <w:gridCol w:w="109"/>
        <w:gridCol w:w="109"/>
        <w:gridCol w:w="211"/>
        <w:gridCol w:w="826"/>
        <w:gridCol w:w="109"/>
        <w:gridCol w:w="109"/>
        <w:gridCol w:w="109"/>
        <w:gridCol w:w="109"/>
        <w:gridCol w:w="211"/>
        <w:gridCol w:w="826"/>
        <w:gridCol w:w="157"/>
      </w:tblGrid>
      <w:tr>
        <w:trPr/>
        <w:tc>
          <w:tcPr>
            <w:tcW w:w="170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equity investee's comprehensive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514,139 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21" w:type="dxa"/>
            <w:gridSpan w:val="6"/>
            <w:tcBorders/>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77"/>
        <w:gridCol w:w="2415"/>
        <w:gridCol w:w="2423"/>
        <w:gridCol w:w="208"/>
        <w:gridCol w:w="784"/>
        <w:gridCol w:w="115"/>
        <w:gridCol w:w="109"/>
        <w:gridCol w:w="109"/>
        <w:gridCol w:w="109"/>
        <w:gridCol w:w="208"/>
        <w:gridCol w:w="781"/>
        <w:gridCol w:w="167"/>
      </w:tblGrid>
      <w:tr>
        <w:trPr/>
        <w:tc>
          <w:tcPr>
            <w:tcW w:w="2777"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 of Continuing Operations: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from Continuing Operations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338,765 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from Continuing Operations to Net cash used in operating activities of Continuing Operations</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307,083 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write-downs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of contingent consideration liability (see Note 14)</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(73,891)</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equity investments,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(375,972)</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89,760 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Share-based compensation expense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56,872 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(236,390)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(178,606)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Prepayments and Other Current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(274,844)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(353,730)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(246,933)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made to clients on contracts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activities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 of Continuing Operations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(295,101)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(415,007)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 of Continuing Operations: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and 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Disposals of property and equipment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(69,998)</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marketable securities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certain businesses, net of cash acquired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equity investments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633,179 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investing activities of Continuing Operations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(379,404)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323,504 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 of Continuing Operations: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298,329 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1,550,886 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long-term borrowings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(1,591,906)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(1,807,652)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funding under the Receivables Facility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dividends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 of Continuing Operations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(800,564)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76,166 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144,914 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(41,598)</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Discontinued Operations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83,885 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rates on cash and cash equivalents and restricted cash</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cash and cash equivalents and restricted cash</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(1,476,838)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81,816 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beginning of period</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1,972,367 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365,431 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end of period</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495,529 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447,247 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tbl>
      <w:tblPr>
        <w:tblW w:w="6296" w:type="dxa"/>
        <w:jc w:val="center"/>
        <w:tblInd w:w="0" w:type="dxa"/>
        <w:tblLayout w:type="fixed"/>
        <w:tblCellMar>
          <w:top w:w="28" w:type="dxa"/>
          <w:left w:w="28" w:type="dxa"/>
          <w:bottom w:w="28" w:type="dxa"/>
          <w:right w:w="28" w:type="dxa"/>
        </w:tblCellMar>
      </w:tblPr>
      <w:tblGrid>
        <w:gridCol w:w="1331"/>
        <w:gridCol w:w="1170"/>
        <w:gridCol w:w="1173"/>
        <w:gridCol w:w="256"/>
        <w:gridCol w:w="727"/>
        <w:gridCol w:w="142"/>
        <w:gridCol w:w="109"/>
        <w:gridCol w:w="109"/>
        <w:gridCol w:w="109"/>
        <w:gridCol w:w="253"/>
        <w:gridCol w:w="718"/>
        <w:gridCol w:w="199"/>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reported within the condensed consolidated Balance Sheets:</w:t>
      </w:r>
    </w:p>
    <w:tbl>
      <w:tblPr>
        <w:tblW w:w="7602" w:type="dxa"/>
        <w:jc w:val="center"/>
        <w:tblInd w:w="0" w:type="dxa"/>
        <w:tblLayout w:type="fixed"/>
        <w:tblCellMar>
          <w:top w:w="28" w:type="dxa"/>
          <w:left w:w="28" w:type="dxa"/>
          <w:bottom w:w="28" w:type="dxa"/>
          <w:right w:w="28" w:type="dxa"/>
        </w:tblCellMar>
      </w:tblPr>
      <w:tblGrid>
        <w:gridCol w:w="1805"/>
        <w:gridCol w:w="1583"/>
        <w:gridCol w:w="1592"/>
        <w:gridCol w:w="212"/>
        <w:gridCol w:w="796"/>
        <w:gridCol w:w="117"/>
        <w:gridCol w:w="109"/>
        <w:gridCol w:w="109"/>
        <w:gridCol w:w="109"/>
        <w:gridCol w:w="211"/>
        <w:gridCol w:w="793"/>
        <w:gridCol w:w="166"/>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2622"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388,166 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Prepayments and other 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 Current assets of discontinued operations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 and restricted cash</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495,529 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447,247 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32" w:type="dxa"/>
        <w:jc w:val="center"/>
        <w:tblInd w:w="0" w:type="dxa"/>
        <w:tblLayout w:type="fixed"/>
        <w:tblCellMar>
          <w:top w:w="28" w:type="dxa"/>
          <w:left w:w="28" w:type="dxa"/>
          <w:bottom w:w="28" w:type="dxa"/>
          <w:right w:w="28" w:type="dxa"/>
        </w:tblCellMar>
      </w:tblPr>
      <w:tblGrid>
        <w:gridCol w:w="824"/>
        <w:gridCol w:w="263"/>
        <w:gridCol w:w="264"/>
        <w:gridCol w:w="211"/>
        <w:gridCol w:w="976"/>
        <w:gridCol w:w="109"/>
        <w:gridCol w:w="109"/>
        <w:gridCol w:w="109"/>
        <w:gridCol w:w="109"/>
        <w:gridCol w:w="211"/>
        <w:gridCol w:w="616"/>
        <w:gridCol w:w="109"/>
        <w:gridCol w:w="109"/>
        <w:gridCol w:w="109"/>
        <w:gridCol w:w="109"/>
        <w:gridCol w:w="211"/>
        <w:gridCol w:w="976"/>
        <w:gridCol w:w="109"/>
        <w:gridCol w:w="109"/>
        <w:gridCol w:w="109"/>
        <w:gridCol w:w="109"/>
        <w:gridCol w:w="211"/>
        <w:gridCol w:w="826"/>
        <w:gridCol w:w="109"/>
        <w:gridCol w:w="109"/>
        <w:gridCol w:w="109"/>
        <w:gridCol w:w="109"/>
        <w:gridCol w:w="211"/>
        <w:gridCol w:w="896"/>
        <w:gridCol w:w="109"/>
        <w:gridCol w:w="109"/>
        <w:gridCol w:w="109"/>
        <w:gridCol w:w="109"/>
        <w:gridCol w:w="211"/>
        <w:gridCol w:w="99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29,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of Uniform Segment (see Note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($0.095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29,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noncontrolling</w:t>
              <w:br/>
              <w:t>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of Uniform Segment (see Note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($0.095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29,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($0.095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28,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(1,001,526)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60" w:after="60"/>
        <w:jc w:val="center"/>
        <w:rPr/>
      </w:pPr>
      <w:r>
        <w:rPr/>
      </w:r>
    </w:p>
    <w:p>
      <w:pPr>
        <w:pStyle w:val="TextBody"/>
        <w:bidi w:val="0"/>
        <w:spacing w:before="6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844"/>
        <w:gridCol w:w="292"/>
        <w:gridCol w:w="293"/>
        <w:gridCol w:w="214"/>
        <w:gridCol w:w="990"/>
        <w:gridCol w:w="110"/>
        <w:gridCol w:w="109"/>
        <w:gridCol w:w="109"/>
        <w:gridCol w:w="109"/>
        <w:gridCol w:w="212"/>
        <w:gridCol w:w="620"/>
        <w:gridCol w:w="109"/>
        <w:gridCol w:w="109"/>
        <w:gridCol w:w="109"/>
        <w:gridCol w:w="109"/>
        <w:gridCol w:w="211"/>
        <w:gridCol w:w="976"/>
        <w:gridCol w:w="109"/>
        <w:gridCol w:w="109"/>
        <w:gridCol w:w="109"/>
        <w:gridCol w:w="109"/>
        <w:gridCol w:w="212"/>
        <w:gridCol w:w="831"/>
        <w:gridCol w:w="109"/>
        <w:gridCol w:w="109"/>
        <w:gridCol w:w="109"/>
        <w:gridCol w:w="109"/>
        <w:gridCol w:w="212"/>
        <w:gridCol w:w="902"/>
        <w:gridCol w:w="109"/>
        <w:gridCol w:w="109"/>
        <w:gridCol w:w="109"/>
        <w:gridCol w:w="109"/>
        <w:gridCol w:w="211"/>
        <w:gridCol w:w="842"/>
        <w:gridCol w:w="162"/>
      </w:tblGrid>
      <w:tr>
        <w:trPr/>
        <w:tc>
          <w:tcPr>
            <w:tcW w:w="8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(950,515)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30, 2022</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3,143,263 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(966,074)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56,041 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3,183,273 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(968,801)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338,484 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3,551,269 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(971,666)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10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 BASIS OF PRESENTATION AND SUMMARY OF SIGNIFICANT ACCOUNTING POLICIES: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Aramark (the "Company") is a leading global provider of food and facilities services to education, healthcare, business &amp; industry and sports, leisure &amp; corrections clients. The Company's core market is the United States, which is supplemented by an additional 14-country footprint. The Company also provides services on a more limited basis in several additional countries and in offshore locations. The Company operates its business in two reportable segments that share many of the same operating characteristics: Food and Support Services United States ("FSS United States") and Food and Support Services International ("FSS International").</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2023, the Company completed the previously announced separation and distribution of its Aramark Uniform and Career Apparel ("Uniform") segment into an independent publicly traded company, Vestis Corporation ("Vestis"), and the historical results of the Uniform segment have been reflected as discontinued operations in the Company's condensed consolidated financial statements for all periods prior to the separation and distribution. Assets and liabilities associated with the Uniform segment are classified as assets and liabilities of discontinued operations in the Company's Condensed Consolidated Balance Sheet as of September 29, 2023. Additional disclosures regarding the separation and distribution are provided in Note 2.</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included herein have been prepared by the Company pursuant to the rules and regulations of the Securities and Exchange Commission (the "SEC") and should be read in conjunction with the audited consolidated financial statements, and the notes to those statements, included in the Company's Form 10-K filed with the SEC on November 21, 2023. The Condensed Consolidated Balance Sheet as of September 29, 2023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all of its subsidiaries in which a controlling financial interest is maintained. All intercompany transactions and accounts have been eliminated.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New Accounting Standards Updates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Adopted Standards (from most to least recent date of issuance)</w:t>
      </w:r>
    </w:p>
    <w:p>
      <w:pPr>
        <w:pStyle w:val="TextBody"/>
        <w:bidi w:val="0"/>
        <w:spacing w:lineRule="auto" w:line="288" w:before="100" w:after="60"/>
        <w:jc w:val="left"/>
        <w:rPr/>
      </w:pPr>
      <w:r>
        <w:rPr>
          <w:rFonts w:ascii="Times New Roman;sans-serif" w:hAnsi="Times New Roman;sans-serif"/>
          <w:b w:val="false"/>
          <w:color w:val="000000"/>
          <w:sz w:val="20"/>
        </w:rPr>
        <w:t xml:space="preserve">In September 2022, the Financial Accounting Standards Board ("FASB") issued </w:t>
      </w:r>
      <w:r>
        <w:rPr>
          <w:rFonts w:ascii="Times New Roman;sans-serif" w:hAnsi="Times New Roman;sans-serif"/>
          <w:b w:val="false"/>
          <w:i/>
          <w:color w:val="000000"/>
          <w:sz w:val="20"/>
        </w:rPr>
        <w:t>Accounting Standard Update ("ASU") 2022-04 Liabilities - Supplier Finance Programs (Subtopic 405-50)</w:t>
      </w:r>
      <w:r>
        <w:rPr>
          <w:color w:val="000000"/>
        </w:rPr>
        <w:t xml:space="preserve"> </w:t>
      </w:r>
      <w:r>
        <w:rPr>
          <w:rFonts w:ascii="Times New Roman;sans-serif" w:hAnsi="Times New Roman;sans-serif"/>
          <w:b w:val="false"/>
          <w:color w:val="000000"/>
          <w:sz w:val="20"/>
        </w:rPr>
        <w:t>to enhance the transparency of supplier finance programs, which may be referred to as reverse factoring, payables finance or structured payables arrangements. The guidance requires that a buyer in a supplier finance program disclose the program's nature, activity and potential magnitude. The guidance was effective for the Company in the first quarter of fiscal 2024. The Company reviewed existing supplier finance agreements and enhanced disclosures with qualitative and quantitative information about its supplier finance program, but the adoption of this guidance did not have a material impact on the condensed consolidated financial statements.</w:t>
      </w:r>
    </w:p>
    <w:p>
      <w:pPr>
        <w:pStyle w:val="TextBody"/>
        <w:bidi w:val="0"/>
        <w:spacing w:lineRule="auto" w:line="288" w:before="100" w:after="60"/>
        <w:jc w:val="left"/>
        <w:rPr/>
      </w:pPr>
      <w:r>
        <w:rPr>
          <w:rFonts w:ascii="Times New Roman;sans-serif" w:hAnsi="Times New Roman;sans-serif"/>
          <w:b w:val="false"/>
          <w:color w:val="000000"/>
          <w:sz w:val="20"/>
        </w:rPr>
        <w:t xml:space="preserve">In October 2021, the FASB issued </w:t>
      </w:r>
      <w:r>
        <w:rPr>
          <w:rFonts w:ascii="Times New Roman;sans-serif" w:hAnsi="Times New Roman;sans-serif"/>
          <w:b w:val="false"/>
          <w:i/>
          <w:color w:val="000000"/>
          <w:sz w:val="20"/>
        </w:rPr>
        <w:t>ASU 2021-08 Business Combinations (Topic 805): Accounting for Contract Assets and Contract Liabilities from Contracts with Customers</w:t>
      </w:r>
      <w:r>
        <w:rPr>
          <w:color w:val="000000"/>
        </w:rPr>
        <w:t xml:space="preserve"> </w:t>
      </w:r>
      <w:r>
        <w:rPr>
          <w:rFonts w:ascii="Times New Roman;sans-serif" w:hAnsi="Times New Roman;sans-serif"/>
          <w:b w:val="false"/>
          <w:color w:val="000000"/>
          <w:sz w:val="20"/>
        </w:rPr>
        <w:t xml:space="preserve">which required that an entity (acquirer) recognize and measure contract assets and contract liabilities acquired in a business combination in accordance with Accounting Standards Codification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as if it had originated the contracts. The guidance was effective for the Company in the first quarter of fiscal 2024. The adoption of this guidance did not have a material impact on the condensed consolidated financial statements.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Standards Not Yet Adopted (from most to least recent date of issuance)</w:t>
      </w:r>
    </w:p>
    <w:p>
      <w:pPr>
        <w:pStyle w:val="TextBody"/>
        <w:bidi w:val="0"/>
        <w:spacing w:lineRule="auto" w:line="288" w:before="100" w:after="60"/>
        <w:jc w:val="left"/>
        <w:rPr/>
      </w:pPr>
      <w:r>
        <w:rPr>
          <w:rFonts w:ascii="Times New Roman;sans-serif" w:hAnsi="Times New Roman;sans-serif"/>
          <w:b w:val="false"/>
          <w:color w:val="000000"/>
          <w:sz w:val="20"/>
        </w:rPr>
        <w:t xml:space="preserve">In March 2024, the SEC adopted final climate-related disclosure rules under SEC Release Nos. 33-11275 and 34-99678, </w:t>
      </w:r>
      <w:r>
        <w:rPr>
          <w:rFonts w:ascii="Times New Roman;sans-serif" w:hAnsi="Times New Roman;sans-serif"/>
          <w:b w:val="false"/>
          <w:i/>
          <w:color w:val="000000"/>
          <w:sz w:val="20"/>
        </w:rPr>
        <w:t>The Enhancement and Standardization of Climate-Related Disclosures for Investors</w:t>
      </w:r>
      <w:r>
        <w:rPr>
          <w:rFonts w:ascii="Times New Roman;sans-serif" w:hAnsi="Times New Roman;sans-serif"/>
          <w:b w:val="false"/>
          <w:color w:val="000000"/>
          <w:sz w:val="20"/>
        </w:rPr>
        <w:t>. The rules require disclosure of governance, risk management and strategy related to material climate-related risks as well as disclosure of material greenhouse gas emissions in registration statements and annual reports. In addition, the rules require presentation of certain material climate-related disclosures in the annual consolidated financial statements. On April 4, 2024, the SEC voluntarily stayed the effective date of the final rules pending completion of judicial review following legal challenges. The disclosure requirements will apply to the Company's fiscal year reporting beginning October 4, 2025, pending resolution of the stay. The Company is currently evaluating the impact of the rules on the Company’s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pPr>
      <w:r>
        <w:rPr>
          <w:rFonts w:ascii="Times New Roman;sans-serif" w:hAnsi="Times New Roman;sans-serif"/>
          <w:b w:val="false"/>
          <w:color w:val="000000"/>
          <w:sz w:val="20"/>
        </w:rPr>
        <w:t xml:space="preserve">In December 2023, the FASB issued </w:t>
      </w:r>
      <w:r>
        <w:rPr>
          <w:rFonts w:ascii="Times New Roman;sans-serif" w:hAnsi="Times New Roman;sans-serif"/>
          <w:b w:val="false"/>
          <w:i/>
          <w:color w:val="000000"/>
          <w:sz w:val="20"/>
        </w:rPr>
        <w:t>ASU 2023-09 Income Taxes (Topic 740): Improvements to Income Tax Disclosures</w:t>
      </w:r>
      <w:r>
        <w:rPr>
          <w:color w:val="000000"/>
        </w:rPr>
        <w:t xml:space="preserve"> </w:t>
      </w:r>
      <w:r>
        <w:rPr>
          <w:rFonts w:ascii="Times New Roman;sans-serif" w:hAnsi="Times New Roman;sans-serif"/>
          <w:b w:val="false"/>
          <w:color w:val="000000"/>
          <w:sz w:val="20"/>
        </w:rPr>
        <w:t>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is currently evaluating the impact of this standard.</w:t>
      </w:r>
    </w:p>
    <w:p>
      <w:pPr>
        <w:pStyle w:val="TextBody"/>
        <w:bidi w:val="0"/>
        <w:spacing w:lineRule="auto" w:line="288" w:before="100" w:after="60"/>
        <w:jc w:val="left"/>
        <w:rPr/>
      </w:pPr>
      <w:r>
        <w:rPr>
          <w:rFonts w:ascii="Times New Roman;sans-serif" w:hAnsi="Times New Roman;sans-serif"/>
          <w:b w:val="false"/>
          <w:color w:val="000000"/>
          <w:sz w:val="20"/>
        </w:rPr>
        <w:t xml:space="preserve">In November 2023, the FASB issued </w:t>
      </w:r>
      <w:r>
        <w:rPr>
          <w:rFonts w:ascii="Times New Roman;sans-serif" w:hAnsi="Times New Roman;sans-serif"/>
          <w:b w:val="false"/>
          <w:i/>
          <w:color w:val="000000"/>
          <w:sz w:val="20"/>
        </w:rPr>
        <w:t>ASU 2023-07 Segment Reporting (Topic 280): Improvements to Reportable Segment Disclosures</w:t>
      </w:r>
      <w:r>
        <w:rPr>
          <w:color w:val="000000"/>
        </w:rPr>
        <w:t xml:space="preserve"> </w:t>
      </w:r>
      <w:r>
        <w:rPr>
          <w:rFonts w:ascii="Times New Roman;sans-serif" w:hAnsi="Times New Roman;sans-serif"/>
          <w:b w:val="false"/>
          <w:color w:val="000000"/>
          <w:sz w:val="20"/>
        </w:rPr>
        <w:t>to enhance the reportable segment disclosures. The guidance will require additional disclosures about significant segment expenses. The guidance is effective for the Company's annual disclosures for fiscal 2025 and early adoption is permitted. The Company is currently evaluating the impact of this standard.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includes all changes to stockholders' equity during a period, except those resulting from investments by and distributions to stockholders. Components of comprehensive income include net income, changes in foreign currency translation adjustments (net of tax), changes in the fair value of cash flow hedges (net of tax) and changes to the share of any equity investees' comprehensive income (net of tax).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the components of comprehensive income is as follows (in thousands):</w:t>
      </w:r>
    </w:p>
    <w:tbl>
      <w:tblPr>
        <w:tblW w:w="10205" w:type="dxa"/>
        <w:jc w:val="left"/>
        <w:tblInd w:w="0" w:type="dxa"/>
        <w:tblLayout w:type="fixed"/>
        <w:tblCellMar>
          <w:top w:w="28" w:type="dxa"/>
          <w:left w:w="28" w:type="dxa"/>
          <w:bottom w:w="28" w:type="dxa"/>
          <w:right w:w="28" w:type="dxa"/>
        </w:tblCellMar>
      </w:tblPr>
      <w:tblGrid>
        <w:gridCol w:w="1212"/>
        <w:gridCol w:w="916"/>
        <w:gridCol w:w="926"/>
        <w:gridCol w:w="444"/>
        <w:gridCol w:w="358"/>
        <w:gridCol w:w="327"/>
        <w:gridCol w:w="400"/>
        <w:gridCol w:w="321"/>
        <w:gridCol w:w="229"/>
        <w:gridCol w:w="236"/>
        <w:gridCol w:w="928"/>
        <w:gridCol w:w="122"/>
        <w:gridCol w:w="109"/>
        <w:gridCol w:w="109"/>
        <w:gridCol w:w="109"/>
        <w:gridCol w:w="444"/>
        <w:gridCol w:w="358"/>
        <w:gridCol w:w="327"/>
        <w:gridCol w:w="379"/>
        <w:gridCol w:w="382"/>
        <w:gridCol w:w="229"/>
        <w:gridCol w:w="235"/>
        <w:gridCol w:w="924"/>
        <w:gridCol w:w="181"/>
      </w:tblGrid>
      <w:tr>
        <w:trPr/>
        <w:tc>
          <w:tcPr>
            <w:tcW w:w="12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equity investee's comprehensive income</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43,304 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(13,789)</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368,070 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367,999 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468,088 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(46,384)</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equity investee's comprehensive income</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w:t>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(50,103)</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51,960 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513,551 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514,139 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in the table above exclude the impact of a $5.1 million pension plan adjustment and $26.3 million currency translation adjustment during the nine months ended June 28, 2024 related to the separation and distribution of the Uniform segment (see Note 2).</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(in thousands):</w:t>
      </w:r>
    </w:p>
    <w:tbl>
      <w:tblPr>
        <w:tblW w:w="6573" w:type="dxa"/>
        <w:jc w:val="left"/>
        <w:tblInd w:w="0" w:type="dxa"/>
        <w:tblLayout w:type="fixed"/>
        <w:tblCellMar>
          <w:top w:w="28" w:type="dxa"/>
          <w:left w:w="28" w:type="dxa"/>
          <w:bottom w:w="28" w:type="dxa"/>
          <w:right w:w="28" w:type="dxa"/>
        </w:tblCellMar>
      </w:tblPr>
      <w:tblGrid>
        <w:gridCol w:w="1244"/>
        <w:gridCol w:w="1094"/>
        <w:gridCol w:w="1097"/>
        <w:gridCol w:w="211"/>
        <w:gridCol w:w="901"/>
        <w:gridCol w:w="109"/>
        <w:gridCol w:w="109"/>
        <w:gridCol w:w="109"/>
        <w:gridCol w:w="109"/>
        <w:gridCol w:w="289"/>
        <w:gridCol w:w="1090"/>
        <w:gridCol w:w="211"/>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(98,237)</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Currency Translation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Argentina remeasurement was a foreign currency transaction loss of $0.4 million and $5.2 million during the three and nine month periods ended June 28, 2024. The impact of the Argentina remeasurement was a foreign currency transaction loss of $2.8 million and $6.7 million during the three and nine month periods ended June 30, 2023. The impact of foreign currency transaction gains and losses exclusive of Argentina's operations included in the Company's operating results during the three and nine month periods of both fiscal 2024 and 2023 were immaterial to the condensed consolidated financial statements.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Current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insures portions of its risk in general liability, automobile liability, workers’ compensation liability claims as well as certain property damage risks through a wholly owned captive insurance subsidiary (the "Captive") as part of its approach to risk finance.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June 28, 2024. These regulations may have the effect of limiting the Company's ability to access certain cash and cash equivalents held by the Captive for uses other than for the payment of its general liability, automobile liability, workers' compensation liability, certain property damage and related Captive costs. As of June 28, 2024 and September 29, 2023, cash and cash equivalents at the Captive were $15.7 million and $32.8 million, respectively. The Captive also invests in United States Treasury securities where the amount as of June 28, 2024 and September 29, 2023 was $114.3 million and $110.7 million, respectively, and is recorded in "Prepayments and other current assets" on the Condensed Consolidated Balance Sheets.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Within the FSS International segment, the Company receives certain cash on behalf of the Company's clients, which is contractually restricted from withdrawal and usage. This restricted cash is recorded in "Prepayments and other current assets" on the Condensed Consolidated Balance Sheets.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Property and Equipment and Operating Lease Right-of-use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completed a strategic review of certain administrative locations, taking into account facility capacity and current utilization, among other factors. Based on this review, the Company vacated or otherwise reduced its usage at certain of these locations, resulting in an analysis of the recoverability of the assets associated with the locations. As a result, for the nine months ended June 30, 2023, the Company recorded an impairment charge of $19.0 million within its FSS United States segment, which is included in "Cost of services provided (exclusive of depreciation and amortization)" on the Condensed Consolidated Statements of Income. For the nine months ended June 30, 2023, the non-cash impairment charges within the FSS United States segment consisted of operating lease right-of-use assets of $8.6 million and property and equipment of $10.4 million.</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 primarily of costs to obtain or fulfill contracts (including employee sales commissions), long-term receivables, investments in 50% or less owned entities and computer software costs.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investments in 50% or less owned entities accounted for under the equity method of accounting, the carrying amount as of June 28, 2024 and September 29, 2023 was $75.4 million and $73.5 million, respectively. During the third quarter of fiscal 2023, the Company sold its 50% ownership interest in AIM Services Co., Ltd., a leading Japanese food services company, to Mitsui &amp; Co., Ltd. for $535.0 million in cash in a taxable transaction resulting in a pre-tax gain on sale of this equity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of $377.1 million ($275.9 million net of tax) during the three and nine months ended June 30, 2023. The pre-tax gain is included in "Gain on Sale of Equity Investments, net" on the Condensed Consolidated Statements of Income.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both June 28, 2024 and September 29, 2023 was $83.6 million. During the third quarter of fiscal 2023, the Company sold a portion of its ownership interest in an equity investment for $98.2 million in cash in a taxable transaction resulting in a pre-tax loss on sale of this equity investment of $1.1 million ($2.2 million net of tax) during the three and nine months ended June 30, 2023. The pre-tax loss is included in "Gain on Sale of Equity Investments, net" on the Condensed Consolidated Statements of Income.</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Supply Chain Finance Program</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 not provide asset pledges, or other forms of guarantees, as security for the committed payment to the financial institutions. As of June 28, 2024 and September 29, 2023, the Company had $2.9 million and $2.8 million, respectively, of outstanding payment obligations to the financial institutions as part of the SCF Program recorded in "Accounts payable" on the Condensed Consolidated Balance Sheets.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Other Current and Noncurrent Liabilities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self-insured for certain obligations related to its employee health care benefit programs as well as for certain risks retained under its general liability, automobile liability, workers' compensation liability and certain property damage programs. Reserves for these programs are estimated through actuarial methods, with the assistance of third-party actuaries using loss development assumptions based on the Company's claims history.</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Coronavirus Aid, Relief and Economic Security Act ("CARES Act") provided for deferred payment of the employer portion of social security taxes through the end of calendar 2020, with 50% of the deferred amount due December 31, 2021 and the remaining 50% of the amount due December 31, 2022. Approximately $47.6 million of deferred social security taxes were paid during the nine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2. DISCONTINUED OPERATIONS: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2023, the Company completed the previously announced separation and distribution of its Uniform segment into an independent publicly traded company, Vestis. The separation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New York Stock Exchange.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separation and distribution, the Company entered into or adopted several agreements that provide a framework for the relationship between the Company and Vestis, including, but not limited to the following:</w:t>
      </w:r>
    </w:p>
    <w:p>
      <w:pPr>
        <w:pStyle w:val="TextBody"/>
        <w:bidi w:val="0"/>
        <w:spacing w:lineRule="auto" w:line="288" w:before="60" w:after="60"/>
        <w:jc w:val="left"/>
        <w:rPr/>
      </w:pPr>
      <w:r>
        <w:rPr>
          <w:rFonts w:ascii="Times New Roman;sans-serif" w:hAnsi="Times New Roman;sans-serif"/>
          <w:b w:val="false"/>
          <w:i/>
          <w:color w:val="000000"/>
          <w:sz w:val="20"/>
        </w:rPr>
        <w:t>Separation and Distribution Agreement</w:t>
      </w:r>
      <w:r>
        <w:rPr>
          <w:color w:val="000000"/>
        </w:rPr>
        <w:t xml:space="preserve"> </w:t>
      </w:r>
      <w:r>
        <w:rPr>
          <w:rFonts w:ascii="Times New Roman;sans-serif" w:hAnsi="Times New Roman;sans-serif"/>
          <w:b w:val="false"/>
          <w:color w:val="000000"/>
          <w:sz w:val="20"/>
        </w:rPr>
        <w:t>- governs the rights and obligations of the parties regarding the distribution following the completion of the separation, including the transfer of assets and assumption of liabilities, and establishes certain rights and obligations between the Company and Vestis following the distribution, including procedures with respect to claims subject to indemnification and related matters.</w:t>
      </w:r>
    </w:p>
    <w:p>
      <w:pPr>
        <w:pStyle w:val="TextBody"/>
        <w:bidi w:val="0"/>
        <w:spacing w:lineRule="auto" w:line="288" w:before="60" w:after="60"/>
        <w:jc w:val="left"/>
        <w:rPr/>
      </w:pPr>
      <w:r>
        <w:rPr>
          <w:rFonts w:ascii="Times New Roman;sans-serif" w:hAnsi="Times New Roman;sans-serif"/>
          <w:b w:val="false"/>
          <w:i/>
          <w:color w:val="000000"/>
          <w:sz w:val="20"/>
        </w:rPr>
        <w:t>Transition Services Agreement</w:t>
      </w:r>
      <w:r>
        <w:rPr>
          <w:color w:val="000000"/>
        </w:rPr>
        <w:t xml:space="preserve"> </w:t>
      </w:r>
      <w:r>
        <w:rPr>
          <w:rFonts w:ascii="Times New Roman;sans-serif" w:hAnsi="Times New Roman;sans-serif"/>
          <w:b w:val="false"/>
          <w:color w:val="000000"/>
          <w:sz w:val="20"/>
        </w:rPr>
        <w:t>- governs services between the Company and Vestis and their respective affiliates to provide each other on an interim, transitional basis, various services, including, but not limited to, administrative, information technology and cybersecurity support services and certain finance, treasury, tax and governmental function services. The services will terminate no later than 24 months following the distribution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60" w:after="60"/>
        <w:jc w:val="left"/>
        <w:rPr/>
      </w:pPr>
      <w:r>
        <w:rPr>
          <w:rFonts w:ascii="Times New Roman;sans-serif" w:hAnsi="Times New Roman;sans-serif"/>
          <w:b w:val="false"/>
          <w:i/>
          <w:color w:val="000000"/>
          <w:sz w:val="20"/>
        </w:rPr>
        <w:t xml:space="preserve">Tax Matters Agreement </w:t>
      </w:r>
      <w:r>
        <w:rPr>
          <w:rFonts w:ascii="Times New Roman;sans-serif" w:hAnsi="Times New Roman;sans-serif"/>
          <w:b w:val="false"/>
          <w:color w:val="000000"/>
          <w:sz w:val="20"/>
        </w:rPr>
        <w:t>- governs the parties’ respective rights, responsibilities and obligations with respect to tax liabilities and benefits, tax attributes, the preparation and filing of tax returns, the control of audits and other tax proceedings and other matters regarding taxes.</w:t>
      </w:r>
    </w:p>
    <w:p>
      <w:pPr>
        <w:pStyle w:val="TextBody"/>
        <w:bidi w:val="0"/>
        <w:spacing w:lineRule="auto" w:line="288" w:before="60" w:after="60"/>
        <w:jc w:val="left"/>
        <w:rPr/>
      </w:pPr>
      <w:r>
        <w:rPr>
          <w:rFonts w:ascii="Times New Roman;sans-serif" w:hAnsi="Times New Roman;sans-serif"/>
          <w:b w:val="false"/>
          <w:i/>
          <w:color w:val="000000"/>
          <w:sz w:val="20"/>
        </w:rPr>
        <w:t>Employee Matters Agreement</w:t>
      </w:r>
      <w:r>
        <w:rPr>
          <w:color w:val="000000"/>
        </w:rPr>
        <w:t xml:space="preserve"> </w:t>
      </w:r>
      <w:r>
        <w:rPr>
          <w:rFonts w:ascii="Times New Roman;sans-serif" w:hAnsi="Times New Roman;sans-serif"/>
          <w:b w:val="false"/>
          <w:color w:val="000000"/>
          <w:sz w:val="20"/>
        </w:rPr>
        <w:t>- governs the allocation of liabilities and responsibilities relating to employment matters, employee compensation and benefits plans and programs and other related matters.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Under these agreements, the Company will continue to provide certain services to Vestis following the separation and distribution. The agreements do not provide the Company with the ability to influence the operating or financial policies of Vestis subsequent to the separation date. During the three and nine months ended June 28, 2024, the value of the services provided to Vestis were $2.3 million and $10.4 million, respectively. Current amounts due to Aramark from Vestis as of June 28, 2024 were not material.</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historical results of the Uniform segment have been reflected as discontinued operations in the Company's consolidated financial statements for all periods prior to the separation and distribution on September 30, 2023.</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"Income from Discontinued Operations, net of tax" are as follows (in thousands):</w:t>
      </w:r>
    </w:p>
    <w:tbl>
      <w:tblPr>
        <w:tblW w:w="8560" w:type="dxa"/>
        <w:jc w:val="left"/>
        <w:tblInd w:w="0" w:type="dxa"/>
        <w:tblLayout w:type="fixed"/>
        <w:tblCellMar>
          <w:top w:w="28" w:type="dxa"/>
          <w:left w:w="28" w:type="dxa"/>
          <w:bottom w:w="28" w:type="dxa"/>
          <w:right w:w="28" w:type="dxa"/>
        </w:tblCellMar>
      </w:tblPr>
      <w:tblGrid>
        <w:gridCol w:w="1828"/>
        <w:gridCol w:w="1611"/>
        <w:gridCol w:w="1630"/>
        <w:gridCol w:w="302"/>
        <w:gridCol w:w="1135"/>
        <w:gridCol w:w="168"/>
        <w:gridCol w:w="109"/>
        <w:gridCol w:w="109"/>
        <w:gridCol w:w="109"/>
        <w:gridCol w:w="250"/>
        <w:gridCol w:w="1113"/>
        <w:gridCol w:w="196"/>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696,159 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2,069,366 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provided (exclusive of depreciation and amortization)</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560,162 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1,688,450 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general corporate expenses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625,289 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1,893,909 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 Before Income Taxes</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70,358 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 from Discontinued Operations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 net of tax</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129,323 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June 30, 2023, the Company incurred charges of $9.5 million and $19.9 million, respectively, related to the Company's separation and distribution of its Uniform segment, including salaries and benefits, recruiting and relocation costs, accounting and legal related expenses, branding and other costs, of which $6.0 million and $13.0 million, respectively, were recorded within "Income from Discontinued Operations, net of tax" and $3.5 million and $6.9 million, respectively, were recorded within "Selling and general corporate expenses" on the Condensed Consolidated Statements of Income.</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June 28, 2024, the Company incurred $20.0 million of transaction fees related to the separation and distribution of its Uniform segment and $8.8 million of charitable contribution expense for the contribution of Vestis shares to a donor advised fund in order to fund charitable contributions, which were recorded within "Selling and general corporate expenses" on the Condensed Consolidated Statements of Income.</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Uniform segment assets and liabilities classified as discontinued operations in the Company's Condensed Consolidated Balance Sheets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5324" w:type="dxa"/>
        <w:jc w:val="left"/>
        <w:tblInd w:w="0" w:type="dxa"/>
        <w:tblLayout w:type="fixed"/>
        <w:tblCellMar>
          <w:top w:w="28" w:type="dxa"/>
          <w:left w:w="28" w:type="dxa"/>
          <w:bottom w:w="28" w:type="dxa"/>
          <w:right w:w="28" w:type="dxa"/>
        </w:tblCellMar>
      </w:tblPr>
      <w:tblGrid>
        <w:gridCol w:w="1332"/>
        <w:gridCol w:w="1168"/>
        <w:gridCol w:w="1174"/>
        <w:gridCol w:w="265"/>
        <w:gridCol w:w="1177"/>
        <w:gridCol w:w="208"/>
      </w:tblGrid>
      <w:tr>
        <w:trPr/>
        <w:tc>
          <w:tcPr>
            <w:tcW w:w="133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(less allowance: $25,066)</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392,916 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of discontinued operations</w:t>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620,931 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664,530 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963,543 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238,609 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579,264 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 of Discontinued Operations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2,503,836 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borrowings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134,497 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other related expenses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113,770 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73,412 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of discontinued operations</w:t>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395,524 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w:t>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1,567,910 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 of Discontinued Operations</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1,861,735 </w:t>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2023, the Uniform legal entity entered into the Uniform credit agreement. The Uniform credit agreement included a revolving credit facility, a United States dollar denominated term loan in the amount of $800.0 million due September 2025 and a United States dollar denominated term loan in the amount of $700.0 million due September 2028, which are recorded in "Noncurrent Liabilities of Discontinued Operations" on the Condensed Consolidated Balance Sheets as of September 29, 2023. Also in the fourth quarter of fiscal 2023, the Uniform legal entity paid a cash dividend to the Company of $1,456.7 million. On October 2, 2023, the Company used the proceeds from the cash dividend, along with cash on hand, to repay the $1,500.0 million 6.375% Senior Notes due May 1, 2025 (the "6.375% 2025 Notes") (see Note 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its distribution of Vestis' net assets as a change in "Retained Earnings". The amount recorded reflected the carrying amounts, as of September 29, 2023, of the net assets distributed offset by the holdback of Vestis shares upon distribution of $8.8 million, net cash received from Vestis post-separation of $6.1 million and other adjustments of $0.6 million. The Company also recorded a net decrease to "Accumulated other comprehensive loss" of $31.4 million to derecognize foreign currency translation adjustments and pension plan adjustments which were attributable to Vestis.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3. SEVERANCE: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2023, the Company approved headcount reductions to streamline and improve the efficiency and effectiveness of operational and administrative functions. As a result of these actions, severance charges of $29.7 million were recorded within “Cost of services provided (exclusive of depreciation and amortization)” and "Selling and general corporate expenses" on the Condensed Consolidated Statements of Income for the nine months ended June 30,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severance charges by segment recognized in the Condensed Consolidated Statements of Income for the nine months ended June 30, 2023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2435" w:type="dxa"/>
        <w:jc w:val="left"/>
        <w:tblInd w:w="0" w:type="dxa"/>
        <w:tblLayout w:type="fixed"/>
        <w:tblCellMar>
          <w:top w:w="28" w:type="dxa"/>
          <w:left w:w="28" w:type="dxa"/>
          <w:bottom w:w="28" w:type="dxa"/>
          <w:right w:w="28" w:type="dxa"/>
        </w:tblCellMar>
      </w:tblPr>
      <w:tblGrid>
        <w:gridCol w:w="565"/>
        <w:gridCol w:w="496"/>
        <w:gridCol w:w="498"/>
        <w:gridCol w:w="211"/>
        <w:gridCol w:w="51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28, 2024, the Company had an accrual of approximately $6.0 million related to these unpaid severance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4. GOODWILL AND OTHER INTANGIBLE ASSETS: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total goodwill during the nine months ended June 28, 2024 are as follows (in thousands):</w:t>
      </w:r>
    </w:p>
    <w:tbl>
      <w:tblPr>
        <w:tblW w:w="7632" w:type="dxa"/>
        <w:jc w:val="left"/>
        <w:tblInd w:w="0" w:type="dxa"/>
        <w:tblLayout w:type="fixed"/>
        <w:tblCellMar>
          <w:top w:w="28" w:type="dxa"/>
          <w:left w:w="28" w:type="dxa"/>
          <w:bottom w:w="28" w:type="dxa"/>
          <w:right w:w="28" w:type="dxa"/>
        </w:tblCellMar>
      </w:tblPr>
      <w:tblGrid>
        <w:gridCol w:w="564"/>
        <w:gridCol w:w="496"/>
        <w:gridCol w:w="500"/>
        <w:gridCol w:w="251"/>
        <w:gridCol w:w="1164"/>
        <w:gridCol w:w="130"/>
        <w:gridCol w:w="109"/>
        <w:gridCol w:w="109"/>
        <w:gridCol w:w="109"/>
        <w:gridCol w:w="211"/>
        <w:gridCol w:w="721"/>
        <w:gridCol w:w="109"/>
        <w:gridCol w:w="109"/>
        <w:gridCol w:w="109"/>
        <w:gridCol w:w="109"/>
        <w:gridCol w:w="109"/>
        <w:gridCol w:w="109"/>
        <w:gridCol w:w="213"/>
        <w:gridCol w:w="622"/>
        <w:gridCol w:w="111"/>
        <w:gridCol w:w="109"/>
        <w:gridCol w:w="109"/>
        <w:gridCol w:w="109"/>
        <w:gridCol w:w="211"/>
        <w:gridCol w:w="97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4,164,392 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4,615,986 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 of the following (in thousands): </w:t>
      </w:r>
    </w:p>
    <w:tbl>
      <w:tblPr>
        <w:tblW w:w="10282" w:type="dxa"/>
        <w:jc w:val="left"/>
        <w:tblInd w:w="0" w:type="dxa"/>
        <w:tblLayout w:type="fixed"/>
        <w:tblCellMar>
          <w:top w:w="28" w:type="dxa"/>
          <w:left w:w="28" w:type="dxa"/>
          <w:bottom w:w="28" w:type="dxa"/>
          <w:right w:w="28" w:type="dxa"/>
        </w:tblCellMar>
      </w:tblPr>
      <w:tblGrid>
        <w:gridCol w:w="397"/>
        <w:gridCol w:w="349"/>
        <w:gridCol w:w="350"/>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1,804,473 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nine months ended June 28, 2024 and June 30, 2023 was $78.8 million and $66.7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5. BORROWINGS: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net, are summarized in the following table (in thousands):</w:t>
      </w:r>
    </w:p>
    <w:tbl>
      <w:tblPr>
        <w:tblW w:w="8144" w:type="dxa"/>
        <w:jc w:val="left"/>
        <w:tblInd w:w="0" w:type="dxa"/>
        <w:tblLayout w:type="fixed"/>
        <w:tblCellMar>
          <w:top w:w="28" w:type="dxa"/>
          <w:left w:w="28" w:type="dxa"/>
          <w:bottom w:w="28" w:type="dxa"/>
          <w:right w:w="28" w:type="dxa"/>
        </w:tblCellMar>
      </w:tblPr>
      <w:tblGrid>
        <w:gridCol w:w="1669"/>
        <w:gridCol w:w="1463"/>
        <w:gridCol w:w="1473"/>
        <w:gridCol w:w="109"/>
        <w:gridCol w:w="109"/>
        <w:gridCol w:w="109"/>
        <w:gridCol w:w="211"/>
        <w:gridCol w:w="976"/>
        <w:gridCol w:w="109"/>
        <w:gridCol w:w="109"/>
        <w:gridCol w:w="109"/>
        <w:gridCol w:w="109"/>
        <w:gridCol w:w="250"/>
        <w:gridCol w:w="1157"/>
        <w:gridCol w:w="182"/>
      </w:tblGrid>
      <w:tr>
        <w:trPr/>
        <w:tc>
          <w:tcPr>
            <w:tcW w:w="166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due 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January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April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June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1,078,588 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April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3.125% senior notes, due April 2025</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6.375% senior notes, due May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1,492,153 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February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1,142,910 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 due 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(1,543,032)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5,098,662 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711" w:type="dxa"/>
        <w:jc w:val="center"/>
        <w:tblInd w:w="0" w:type="dxa"/>
        <w:tblLayout w:type="fixed"/>
        <w:tblCellMar>
          <w:top w:w="28" w:type="dxa"/>
          <w:left w:w="28" w:type="dxa"/>
          <w:bottom w:w="28" w:type="dxa"/>
          <w:right w:w="28" w:type="dxa"/>
        </w:tblCellMar>
      </w:tblPr>
      <w:tblGrid>
        <w:gridCol w:w="124"/>
        <w:gridCol w:w="109"/>
        <w:gridCol w:w="109"/>
        <w:gridCol w:w="694"/>
        <w:gridCol w:w="694"/>
        <w:gridCol w:w="9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36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This is a Euro denominated borrowing.</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28, 2024, the Company had approximately $739.4 million of outstanding foreign currency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28, 2024, the Company had approximately $702.2 million of availability under the senior secured revolving credit facility.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28, 2024, the 5.000% Senior Notes due April 1, 2025 and 3.125% Senior Notes due April 1, 2025 mature within one year. The Company intends to repay, redeem or otherwise refinance the outstanding obligations related to these securities.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Senior Secured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March 27, 2024, the Company amended its existing Credit Agreement (“Amendment No. 14”), to provide for, among other things, the repricing of all the United States dollar denominated Term B-5 Loans previously outstanding under the Credit Agreement (“U.S. Term B-5 Loans due 2028”) and the repricing of all the United States dollar denominated Term B-6 Loans previously outstanding under the Credit Agreement (“U.S. Term B-6 Loans due 2030”).</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Amendment No. 14, (i) U.S. Term B-5 Loans due 2028 previously outstanding under the Credit Agreement were replaced with new United States dollar denominated Term B-7 Loans (“U.S. Term B-7 Loans due 2028”) in an amount equal to $730.5 million due in April 2028 and (ii) U.S. Term B-6 Loans due 2030 previously outstanding under the Credit Agreement were replaced with the new United States dollar denominated Term B-8 Loans (“U.S. Term B-8 Loans due 2030”) in an amount equal to $1,094.5 million due in June 2030, each with an interest rate equal to the sum of (a) the Term SOFR Rate (as defined in the Credit Agreement) plus (b) an applicable margin of 2.00% plus (c) a credit spread adjustment of 0.0% (as compared to the interest rate for the U.S. Term B-5 Loans due 2028 and the U.S. Term B-6 Loans due 2030 equal to the sum of (a) the Term SOFR Rate plus (b) an applicable margin of 2.50% plus (c) a credit spread adjustment between 0.11448% and 0.42826% (depending on the selected interest period)).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U.S. Term B-7 Loans due 2028 do not require any quarterly repayments of the principal amount and require the payment of $730.5 million at maturity. The U.S. Term B-8 Loans due 2030 require repayment of principal in quarterly installments of $2.8 million from March 31, 2024 through March 31, 2030 and $1,025.8 million at maturity.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$0.9 million of transaction costs directly attributable to the repricings in Amendment No. 14, which are included in “Long-Term Borrowings” on the Condensed Consolidated Balance Sheet as of June 28, 2024. Amounts paid for capitalized transaction costs are included within “Other financing activities” on the Condensed Consolidated Statement of Cash Flows for the nine months ended June 28, 2024. Additionally, the Company recorded $1.6 million of charges to "Interest Expense, net" on the Condensed Consolidated Statements of Income for the nine months ended June 28, 2024, consisting of a $1.2 million non-cash loss for the write-off of unamortized deferred financing costs and discount on the U.S. Term B-5 Loans due 2028 and U.S. Term B-6 Loans due 2030 and the payment of $0.4 million of transaction costs related to the repricings.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6.375% Senior Notes due 2025 Repayment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 2023, the Company repaid the $1,500.0 million 6.375% 2025 Notes in conjunction with the separation and distribution of the Uniform segment (see Note 2). The Company recorded $31.8 million of charges to "Interest Expense, net" in the Condensed Consolidated Statements of Income for the nine months ended June 28, 2024, consisting of the payment of a $23.9 million call premium and a $7.9 million non-cash loss for the write-off of unamortized deferred financing costs on the 6.375% 2025 Notes. The amount paid for the call premium is included within "Other financing activities" on the Condensed Consolidated Statements of Cash Flows for the nine months ended June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6. DERIVATIVE INSTRUMENTS: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contractual derivative arrangements to manage changes in market conditions related to interest on debt obligations, including interest rate swap agreements, that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Cash Flow Hedges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$2.3 billion notional amount of outstanding interest rate swap agreements as of June 28, 2024, which fix the rate on a like amount of variable rate borrowings with varying maturities through December of fiscal 2028. During the second quarter of fiscal 2024, $100.0 million notional amount of previously forward starting interest rate swap agreements to hedge the cash flow risk of variability in interest payments on variable rate borrowings became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As of June 28, 2024 and September 29, 2023, $74.8 million and $109.1 million, respectively, of unrealized net of tax gains related to the interest rate swaps were included in "Accumulated other comprehensive loss" on the Condensed Consolidated Balance Sheets.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effect of the Company's derivatives designated as cash flow hedging instruments on Other comprehensive income (loss) (in thousands): </w:t>
      </w:r>
    </w:p>
    <w:tbl>
      <w:tblPr>
        <w:tblW w:w="7998" w:type="dxa"/>
        <w:jc w:val="left"/>
        <w:tblInd w:w="0" w:type="dxa"/>
        <w:tblLayout w:type="fixed"/>
        <w:tblCellMar>
          <w:top w:w="28" w:type="dxa"/>
          <w:left w:w="28" w:type="dxa"/>
          <w:bottom w:w="28" w:type="dxa"/>
          <w:right w:w="28" w:type="dxa"/>
        </w:tblCellMar>
      </w:tblPr>
      <w:tblGrid>
        <w:gridCol w:w="896"/>
        <w:gridCol w:w="788"/>
        <w:gridCol w:w="791"/>
        <w:gridCol w:w="228"/>
        <w:gridCol w:w="779"/>
        <w:gridCol w:w="117"/>
        <w:gridCol w:w="109"/>
        <w:gridCol w:w="109"/>
        <w:gridCol w:w="109"/>
        <w:gridCol w:w="228"/>
        <w:gridCol w:w="779"/>
        <w:gridCol w:w="117"/>
        <w:gridCol w:w="109"/>
        <w:gridCol w:w="109"/>
        <w:gridCol w:w="109"/>
        <w:gridCol w:w="228"/>
        <w:gridCol w:w="779"/>
        <w:gridCol w:w="117"/>
        <w:gridCol w:w="109"/>
        <w:gridCol w:w="109"/>
        <w:gridCol w:w="109"/>
        <w:gridCol w:w="227"/>
        <w:gridCol w:w="777"/>
        <w:gridCol w:w="166"/>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location and fair value, using Level 2 inputs (see Note 14 for a description of the fair value levels), of the Company's derivatives designated as hedging instruments on the Condensed Consolidated Balance Sheets (in thousands):</w:t>
      </w:r>
    </w:p>
    <w:tbl>
      <w:tblPr>
        <w:tblW w:w="9243" w:type="dxa"/>
        <w:jc w:val="left"/>
        <w:tblInd w:w="0" w:type="dxa"/>
        <w:tblLayout w:type="fixed"/>
        <w:tblCellMar>
          <w:top w:w="28" w:type="dxa"/>
          <w:left w:w="28" w:type="dxa"/>
          <w:bottom w:w="28" w:type="dxa"/>
          <w:right w:w="28" w:type="dxa"/>
        </w:tblCellMar>
      </w:tblPr>
      <w:tblGrid>
        <w:gridCol w:w="893"/>
        <w:gridCol w:w="788"/>
        <w:gridCol w:w="793"/>
        <w:gridCol w:w="109"/>
        <w:gridCol w:w="109"/>
        <w:gridCol w:w="109"/>
        <w:gridCol w:w="1024"/>
        <w:gridCol w:w="1024"/>
        <w:gridCol w:w="1026"/>
        <w:gridCol w:w="109"/>
        <w:gridCol w:w="109"/>
        <w:gridCol w:w="109"/>
        <w:gridCol w:w="228"/>
        <w:gridCol w:w="779"/>
        <w:gridCol w:w="117"/>
        <w:gridCol w:w="109"/>
        <w:gridCol w:w="109"/>
        <w:gridCol w:w="109"/>
        <w:gridCol w:w="434"/>
        <w:gridCol w:w="837"/>
        <w:gridCol w:w="319"/>
      </w:tblGrid>
      <w:tr>
        <w:trPr/>
        <w:tc>
          <w:tcPr>
            <w:tcW w:w="8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of the gain reclassified from "Accumulated other comprehensive loss" into earnings for derivatives designated as hedging instruments on the Condensed Consolidated Statements of Income (in thousands): </w:t>
      </w:r>
    </w:p>
    <w:tbl>
      <w:tblPr>
        <w:tblW w:w="10205" w:type="dxa"/>
        <w:jc w:val="left"/>
        <w:tblInd w:w="0" w:type="dxa"/>
        <w:tblLayout w:type="fixed"/>
        <w:tblCellMar>
          <w:top w:w="28" w:type="dxa"/>
          <w:left w:w="28" w:type="dxa"/>
          <w:bottom w:w="28" w:type="dxa"/>
          <w:right w:w="28" w:type="dxa"/>
        </w:tblCellMar>
      </w:tblPr>
      <w:tblGrid>
        <w:gridCol w:w="800"/>
        <w:gridCol w:w="703"/>
        <w:gridCol w:w="706"/>
        <w:gridCol w:w="109"/>
        <w:gridCol w:w="109"/>
        <w:gridCol w:w="109"/>
        <w:gridCol w:w="622"/>
        <w:gridCol w:w="622"/>
        <w:gridCol w:w="623"/>
        <w:gridCol w:w="109"/>
        <w:gridCol w:w="109"/>
        <w:gridCol w:w="109"/>
        <w:gridCol w:w="211"/>
        <w:gridCol w:w="790"/>
        <w:gridCol w:w="109"/>
        <w:gridCol w:w="109"/>
        <w:gridCol w:w="109"/>
        <w:gridCol w:w="109"/>
        <w:gridCol w:w="211"/>
        <w:gridCol w:w="790"/>
        <w:gridCol w:w="109"/>
        <w:gridCol w:w="109"/>
        <w:gridCol w:w="109"/>
        <w:gridCol w:w="109"/>
        <w:gridCol w:w="211"/>
        <w:gridCol w:w="790"/>
        <w:gridCol w:w="109"/>
        <w:gridCol w:w="109"/>
        <w:gridCol w:w="109"/>
        <w:gridCol w:w="109"/>
        <w:gridCol w:w="211"/>
        <w:gridCol w:w="789"/>
        <w:gridCol w:w="164"/>
      </w:tblGrid>
      <w:tr>
        <w:trPr/>
        <w:tc>
          <w:tcPr>
            <w:tcW w:w="8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28, 2024, the Company has a Euro denominated term loan in the amount of €63.1 million. The term loan was designated as a hedge of the Company's net Euro currency exposure represented by certain holdings in the Company's European affiliates.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At June 28, 2024, the net of tax gain expected to be reclassified from "Accumulated other comprehensive loss" into earnings over the next twelve months based on current market rates is approximately $41.3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7. REVENUE RECOGNITION: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disaggregated by revenue source (in millions):</w:t>
      </w:r>
    </w:p>
    <w:tbl>
      <w:tblPr>
        <w:tblW w:w="8730" w:type="dxa"/>
        <w:jc w:val="left"/>
        <w:tblInd w:w="0" w:type="dxa"/>
        <w:tblLayout w:type="fixed"/>
        <w:tblCellMar>
          <w:top w:w="28" w:type="dxa"/>
          <w:left w:w="28" w:type="dxa"/>
          <w:bottom w:w="28" w:type="dxa"/>
          <w:right w:w="28" w:type="dxa"/>
        </w:tblCellMar>
      </w:tblPr>
      <w:tblGrid>
        <w:gridCol w:w="995"/>
        <w:gridCol w:w="873"/>
        <w:gridCol w:w="877"/>
        <w:gridCol w:w="109"/>
        <w:gridCol w:w="109"/>
        <w:gridCol w:w="109"/>
        <w:gridCol w:w="218"/>
        <w:gridCol w:w="794"/>
        <w:gridCol w:w="113"/>
        <w:gridCol w:w="109"/>
        <w:gridCol w:w="109"/>
        <w:gridCol w:w="109"/>
        <w:gridCol w:w="218"/>
        <w:gridCol w:w="794"/>
        <w:gridCol w:w="113"/>
        <w:gridCol w:w="109"/>
        <w:gridCol w:w="109"/>
        <w:gridCol w:w="109"/>
        <w:gridCol w:w="211"/>
        <w:gridCol w:w="871"/>
        <w:gridCol w:w="109"/>
        <w:gridCol w:w="109"/>
        <w:gridCol w:w="109"/>
        <w:gridCol w:w="109"/>
        <w:gridCol w:w="211"/>
        <w:gridCol w:w="87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Business &amp; Industry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Healthcare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Sports, Leisure &amp; Corrections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Facilities &amp; Other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Beginning in fiscal 2024, management began reporting results for healthcare facility services within "Healthcare", whereas the results were previously reported within "Facilities &amp; Other". As such, the "Healthcare" and "Facilities &amp; Other" results for the three and nine months ended June 30, 2023 were recast to reflect this change.</w:t>
            </w:r>
          </w:p>
        </w:tc>
      </w:tr>
    </w:tbl>
    <w:p>
      <w:pPr>
        <w:pStyle w:val="TextBody"/>
        <w:bidi w:val="0"/>
        <w:spacing w:lineRule="auto" w:line="192"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is recognized in "Accrued expenses and other 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deferred income is expected to be recognized in the next 12 months. If the Company cannot render its performance obligation according to contract terms after receiving the consideration in advance, amounts may be contractually required to be refunded to the customer.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June 28, 2024, deferred income increased related to customer prepayments and decreased related to income recognized during the period as a result of satisfying the performance obligation or return of funds related to non-performance. For the nine months ended June 28, 2024, the Company recognized $290.0 million of revenue that was included in deferred income at the beginning of the period. Deferred income balances are summarized in the following table (in millions): </w:t>
      </w:r>
    </w:p>
    <w:tbl>
      <w:tblPr>
        <w:tblW w:w="4823" w:type="dxa"/>
        <w:jc w:val="left"/>
        <w:tblInd w:w="0" w:type="dxa"/>
        <w:tblLayout w:type="fixed"/>
        <w:tblCellMar>
          <w:top w:w="28" w:type="dxa"/>
          <w:left w:w="28" w:type="dxa"/>
          <w:bottom w:w="28" w:type="dxa"/>
          <w:right w:w="28" w:type="dxa"/>
        </w:tblCellMar>
      </w:tblPr>
      <w:tblGrid>
        <w:gridCol w:w="527"/>
        <w:gridCol w:w="463"/>
        <w:gridCol w:w="464"/>
        <w:gridCol w:w="109"/>
        <w:gridCol w:w="109"/>
        <w:gridCol w:w="109"/>
        <w:gridCol w:w="253"/>
        <w:gridCol w:w="741"/>
        <w:gridCol w:w="131"/>
        <w:gridCol w:w="109"/>
        <w:gridCol w:w="109"/>
        <w:gridCol w:w="109"/>
        <w:gridCol w:w="342"/>
        <w:gridCol w:w="999"/>
        <w:gridCol w:w="24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8. INCOME TAXES: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June 28, 2024, the Company recorded a valuation allowance to the "Provision for Income Taxes from Continuing Operations" on the Condensed Consolidated Statements of Income of $7.1 million against certain foreign tax credits, as it is more likely than not a tax benefit will not be realized due to the reduction of future forecasted foreign income as a result of the separation and distribution of the Uniform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June 30, 2023, the Company recorded a benefit to the "Provision for Income Taxes from Continuing Operations" on the Condensed Consolidated Statements of Income of $3.8 million for the reversal of a valuation allowance at a foreign subsidiary driven by the Company's ability to utilize the deferred tax assets based on future taxable income expected due to the acquisition of a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9. STOCKHOLDERS' EQUITY: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2024, the Company's Board of Directors approved a $0.095 dividend per share of common stock, payable on September 3, 2024, to stockholders of record on the close of business on August 19,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100.0 million shares of preferred stock authorized, with a par value of $0.01 per share. At June 28, 2024 and September 29, 2023, zero shares of preferred stock were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10. SHARE-BASED COMPENSATION:</w:t>
      </w:r>
    </w:p>
    <w:p>
      <w:pPr>
        <w:pStyle w:val="TextBody"/>
        <w:bidi w:val="0"/>
        <w:spacing w:lineRule="auto" w:line="26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13, 2023, the Company's Compensation and Human Resources Committee of the Board of Directors (the "Committee"), pursuant to the terms of the Third Amended and Restated 2013 Stock Incentive Plan and to reflect the separation and distribution of the Company’s Uniform segment that occurred on September 30, 2023, approved amendments to the performance goals and performance periods for the Company’s outstanding Performance Stock Units ("PSUs"). For the PSUs granted in fiscal 2022, which were subject to performance targets for the three-year period ending September 27, 2024, two-thirds of these PSUs became subject to new adjusted performance targets and an adjusted performance period for the two-year period ending September 29, 2023 and the remaining one-third of these PSUs will be subject to new adjusted performance targets for the one-year period ending September 27, 2024. The PSUs granted in fiscal 2023, which were subject to performance targets for the three-year period ending October 3, 2025, were amended to be subject to adjusted performance targets primarily to reflect the Company on a post-spin off basis. The Committee also approved adjustments increasing the maximum aggregate number of shares authorized for awards under the 2023 Stock Plan by an additional 3.5 million shares.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share-based compensation expense and related information for Time-Based Options ("TBOs"), Retention Time-Based Options ("TBO-Rs"), Time-Based Restricted Stock Units ("RSUs"), PSUs, Deferred Stock Units and Employee Stock Purchase Plan ("ESPP") recorded within "Selling and general corporate expenses" on the Condensed Consolidated Statements of Income (in millions).</w:t>
      </w:r>
    </w:p>
    <w:tbl>
      <w:tblPr>
        <w:tblW w:w="10205" w:type="dxa"/>
        <w:jc w:val="left"/>
        <w:tblInd w:w="0" w:type="dxa"/>
        <w:tblLayout w:type="fixed"/>
        <w:tblCellMar>
          <w:top w:w="28" w:type="dxa"/>
          <w:left w:w="28" w:type="dxa"/>
          <w:bottom w:w="28" w:type="dxa"/>
          <w:right w:w="28" w:type="dxa"/>
        </w:tblCellMar>
      </w:tblPr>
      <w:tblGrid>
        <w:gridCol w:w="1589"/>
        <w:gridCol w:w="1386"/>
        <w:gridCol w:w="1421"/>
        <w:gridCol w:w="109"/>
        <w:gridCol w:w="109"/>
        <w:gridCol w:w="109"/>
        <w:gridCol w:w="282"/>
        <w:gridCol w:w="685"/>
        <w:gridCol w:w="145"/>
        <w:gridCol w:w="109"/>
        <w:gridCol w:w="109"/>
        <w:gridCol w:w="109"/>
        <w:gridCol w:w="282"/>
        <w:gridCol w:w="685"/>
        <w:gridCol w:w="145"/>
        <w:gridCol w:w="109"/>
        <w:gridCol w:w="109"/>
        <w:gridCol w:w="109"/>
        <w:gridCol w:w="282"/>
        <w:gridCol w:w="685"/>
        <w:gridCol w:w="145"/>
        <w:gridCol w:w="109"/>
        <w:gridCol w:w="109"/>
        <w:gridCol w:w="109"/>
        <w:gridCol w:w="279"/>
        <w:gridCol w:w="676"/>
        <w:gridCol w:w="210"/>
      </w:tblGrid>
      <w:tr>
        <w:trPr/>
        <w:tc>
          <w:tcPr>
            <w:tcW w:w="158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ESPP</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 Exercises/ESPP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on Share Deliveries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57" w:type="dxa"/>
        <w:jc w:val="left"/>
        <w:tblInd w:w="0" w:type="dxa"/>
        <w:tblLayout w:type="fixed"/>
        <w:tblCellMar>
          <w:top w:w="28" w:type="dxa"/>
          <w:left w:w="28" w:type="dxa"/>
          <w:bottom w:w="28" w:type="dxa"/>
          <w:right w:w="28" w:type="dxa"/>
        </w:tblCellMar>
      </w:tblPr>
      <w:tblGrid>
        <w:gridCol w:w="124"/>
        <w:gridCol w:w="109"/>
        <w:gridCol w:w="109"/>
        <w:gridCol w:w="1408"/>
        <w:gridCol w:w="1408"/>
        <w:gridCol w:w="19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481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Company suspended its ESPP beginning in the second quarter of fiscal 2023.</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number of shares granted and the weighted-average grant-date fair value per unit during the nine months ended June 28, 2024:</w:t>
      </w:r>
    </w:p>
    <w:tbl>
      <w:tblPr>
        <w:tblW w:w="5381" w:type="dxa"/>
        <w:jc w:val="left"/>
        <w:tblInd w:w="0" w:type="dxa"/>
        <w:tblLayout w:type="fixed"/>
        <w:tblCellMar>
          <w:top w:w="28" w:type="dxa"/>
          <w:left w:w="28" w:type="dxa"/>
          <w:bottom w:w="28" w:type="dxa"/>
          <w:right w:w="28" w:type="dxa"/>
        </w:tblCellMar>
      </w:tblPr>
      <w:tblGrid>
        <w:gridCol w:w="212"/>
        <w:gridCol w:w="186"/>
        <w:gridCol w:w="188"/>
        <w:gridCol w:w="414"/>
        <w:gridCol w:w="414"/>
        <w:gridCol w:w="416"/>
        <w:gridCol w:w="109"/>
        <w:gridCol w:w="109"/>
        <w:gridCol w:w="109"/>
        <w:gridCol w:w="692"/>
        <w:gridCol w:w="2023"/>
        <w:gridCol w:w="50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Granted</w:t>
              <w:b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w:t>
              <w:br/>
              <w:t xml:space="preserve">(dollars per share) </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TBOs</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11. EARNINGS PER SHARE: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attributable to the Company's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1702"/>
        <w:gridCol w:w="1252"/>
        <w:gridCol w:w="1262"/>
        <w:gridCol w:w="222"/>
        <w:gridCol w:w="759"/>
        <w:gridCol w:w="114"/>
        <w:gridCol w:w="109"/>
        <w:gridCol w:w="109"/>
        <w:gridCol w:w="109"/>
        <w:gridCol w:w="211"/>
        <w:gridCol w:w="826"/>
        <w:gridCol w:w="109"/>
        <w:gridCol w:w="109"/>
        <w:gridCol w:w="109"/>
        <w:gridCol w:w="109"/>
        <w:gridCol w:w="211"/>
        <w:gridCol w:w="826"/>
        <w:gridCol w:w="109"/>
        <w:gridCol w:w="109"/>
        <w:gridCol w:w="109"/>
        <w:gridCol w:w="109"/>
        <w:gridCol w:w="211"/>
        <w:gridCol w:w="826"/>
        <w:gridCol w:w="584"/>
      </w:tblGrid>
      <w:tr>
        <w:trPr/>
        <w:tc>
          <w:tcPr>
            <w:tcW w:w="170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attributable</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Aramark stockholders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339,353 </w:t>
            </w:r>
          </w:p>
        </w:tc>
        <w:tc>
          <w:tcPr>
            <w:tcW w:w="58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129,323 </w:t>
            </w:r>
          </w:p>
        </w:tc>
        <w:tc>
          <w:tcPr>
            <w:tcW w:w="58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468,676 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outstanding</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260,349 </w:t>
            </w:r>
          </w:p>
        </w:tc>
        <w:tc>
          <w:tcPr>
            <w:tcW w:w="584" w:type="dxa"/>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outstanding</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262,267 </w:t>
            </w:r>
          </w:p>
        </w:tc>
        <w:tc>
          <w:tcPr>
            <w:tcW w:w="5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Aramark stockholders: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58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58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Aramark</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Aramark stockholders:</w:t>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58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58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Aramark</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shares that were outstanding but were not included in the diluted earnings per common share (in millions):</w:t>
      </w:r>
    </w:p>
    <w:tbl>
      <w:tblPr>
        <w:tblW w:w="7760" w:type="dxa"/>
        <w:jc w:val="left"/>
        <w:tblInd w:w="0" w:type="dxa"/>
        <w:tblLayout w:type="fixed"/>
        <w:tblCellMar>
          <w:top w:w="28" w:type="dxa"/>
          <w:left w:w="28" w:type="dxa"/>
          <w:bottom w:w="28" w:type="dxa"/>
          <w:right w:w="28" w:type="dxa"/>
        </w:tblCellMar>
      </w:tblPr>
      <w:tblGrid>
        <w:gridCol w:w="674"/>
        <w:gridCol w:w="592"/>
        <w:gridCol w:w="594"/>
        <w:gridCol w:w="375"/>
        <w:gridCol w:w="375"/>
        <w:gridCol w:w="375"/>
        <w:gridCol w:w="178"/>
        <w:gridCol w:w="178"/>
        <w:gridCol w:w="178"/>
        <w:gridCol w:w="375"/>
        <w:gridCol w:w="375"/>
        <w:gridCol w:w="375"/>
        <w:gridCol w:w="109"/>
        <w:gridCol w:w="109"/>
        <w:gridCol w:w="109"/>
        <w:gridCol w:w="375"/>
        <w:gridCol w:w="375"/>
        <w:gridCol w:w="375"/>
        <w:gridCol w:w="165"/>
        <w:gridCol w:w="165"/>
        <w:gridCol w:w="165"/>
        <w:gridCol w:w="342"/>
        <w:gridCol w:w="342"/>
        <w:gridCol w:w="48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awards</w:t>
            </w:r>
            <w:r>
              <w:rPr>
                <w:rFonts w:ascii="Times New Roman;sans-serif" w:hAnsi="Times New Roman;sans-serif"/>
                <w:b w:val="false"/>
                <w:color w:val="000000"/>
                <w:sz w:val="13"/>
              </w:rPr>
              <w:t>(1)</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PSUs</w:t>
            </w:r>
            <w:r>
              <w:rPr>
                <w:rFonts w:ascii="Times New Roman;sans-serif" w:hAnsi="Times New Roman;sans-serif"/>
                <w:b w:val="false"/>
                <w:color w:val="000000"/>
                <w:sz w:val="13"/>
              </w:rPr>
              <w:t>(2)</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532" w:type="dxa"/>
        <w:jc w:val="left"/>
        <w:tblInd w:w="0" w:type="dxa"/>
        <w:tblLayout w:type="fixed"/>
        <w:tblCellMar>
          <w:top w:w="28" w:type="dxa"/>
          <w:left w:w="28" w:type="dxa"/>
          <w:bottom w:w="28" w:type="dxa"/>
          <w:right w:w="28" w:type="dxa"/>
        </w:tblCellMar>
      </w:tblPr>
      <w:tblGrid>
        <w:gridCol w:w="124"/>
        <w:gridCol w:w="109"/>
        <w:gridCol w:w="109"/>
        <w:gridCol w:w="2394"/>
        <w:gridCol w:w="2394"/>
        <w:gridCol w:w="34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34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819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awards were not included in the computation of diluted earnings per common share, as their effect would have been antidilutive.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PSUs were not included in the computation of diluted earnings per common share, as the performance targets were not yet met.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Company's lease arrangements, primarily vehicle leases, with terms of one to eight years, contain provisions related to residual value guarantees. The maximum potential liability to the Company under such arrangements was approximately $34.5 million at June 28, 2024 if the terminal fair value of vehicles coming off lease was zero. Consistent with past experience, management does not expect any significant required payments pursuant to these arrangements. No amounts have been accrued for the guarantee arrangements at June 28, 2024.</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13. BUSINESS SEGMENTS: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its operating results in two reportable segments: FSS United States and FSS International. Corporate includes general expenses not specifically allocated to an individual segment and share-based compensation expense (see Note 10). Approximately 74% of the global revenue is related to food services and 26% is related to facilities services. During the nine months ended June 30, 2023, the Company received proceeds of $19.8 million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segment follows (in millions):</w:t>
      </w:r>
    </w:p>
    <w:tbl>
      <w:tblPr>
        <w:tblW w:w="7218" w:type="dxa"/>
        <w:jc w:val="left"/>
        <w:tblInd w:w="0" w:type="dxa"/>
        <w:tblLayout w:type="fixed"/>
        <w:tblCellMar>
          <w:top w:w="28" w:type="dxa"/>
          <w:left w:w="28" w:type="dxa"/>
          <w:bottom w:w="28" w:type="dxa"/>
          <w:right w:w="28" w:type="dxa"/>
        </w:tblCellMar>
      </w:tblPr>
      <w:tblGrid>
        <w:gridCol w:w="564"/>
        <w:gridCol w:w="496"/>
        <w:gridCol w:w="500"/>
        <w:gridCol w:w="218"/>
        <w:gridCol w:w="794"/>
        <w:gridCol w:w="113"/>
        <w:gridCol w:w="109"/>
        <w:gridCol w:w="109"/>
        <w:gridCol w:w="109"/>
        <w:gridCol w:w="218"/>
        <w:gridCol w:w="794"/>
        <w:gridCol w:w="113"/>
        <w:gridCol w:w="109"/>
        <w:gridCol w:w="109"/>
        <w:gridCol w:w="109"/>
        <w:gridCol w:w="211"/>
        <w:gridCol w:w="871"/>
        <w:gridCol w:w="109"/>
        <w:gridCol w:w="109"/>
        <w:gridCol w:w="109"/>
        <w:gridCol w:w="109"/>
        <w:gridCol w:w="211"/>
        <w:gridCol w:w="87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30" w:type="dxa"/>
        <w:jc w:val="center"/>
        <w:tblInd w:w="0" w:type="dxa"/>
        <w:tblLayout w:type="fixed"/>
        <w:tblCellMar>
          <w:top w:w="28" w:type="dxa"/>
          <w:left w:w="28" w:type="dxa"/>
          <w:bottom w:w="28" w:type="dxa"/>
          <w:right w:w="28" w:type="dxa"/>
        </w:tblCellMar>
      </w:tblPr>
      <w:tblGrid>
        <w:gridCol w:w="1015"/>
        <w:gridCol w:w="892"/>
        <w:gridCol w:w="898"/>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44"/>
        <w:gridCol w:w="1532"/>
        <w:gridCol w:w="1536"/>
        <w:gridCol w:w="245"/>
        <w:gridCol w:w="718"/>
        <w:gridCol w:w="127"/>
        <w:gridCol w:w="109"/>
        <w:gridCol w:w="109"/>
        <w:gridCol w:w="109"/>
        <w:gridCol w:w="245"/>
        <w:gridCol w:w="718"/>
        <w:gridCol w:w="127"/>
        <w:gridCol w:w="109"/>
        <w:gridCol w:w="109"/>
        <w:gridCol w:w="109"/>
        <w:gridCol w:w="245"/>
        <w:gridCol w:w="718"/>
        <w:gridCol w:w="127"/>
        <w:gridCol w:w="109"/>
        <w:gridCol w:w="109"/>
        <w:gridCol w:w="109"/>
        <w:gridCol w:w="243"/>
        <w:gridCol w:w="714"/>
        <w:gridCol w:w="185"/>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to Income from Continuing Operations Before Income Taxes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Investments, net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14. FAIR VALUE OF FINANCIAL ASSETS AND FINANCIAL LIABILITIES: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Level 1—inputs to the valuation methodology are quoted prices (unadjusted) for identical assets or liabilities in active markets</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Level 3—inputs to the valuation methodology are unobservable and significant to the fair value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June 28, 2024 and September 29, 2023 was $5,968.9 million and $6,606.7 million, respectively. The carrying value of the Company's debt at June 28, 2024 and September 29, 2023 was $5,977.6 million and $6,641.7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Union Supply acquisition completed in fiscal 2022, the Company recorded a contingent consideration obligation based on the fair value of the expected payments with a separate amount that was accounted for as compensation expense and recognized on the Condensed Consolidated Statements of Income over the earnout period. The Company performed a fair value assessment of the contingent consideration obligation based on the terms and conditions of the Union Supply purchase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the determination of earnings and profitability. If assumptions or estimates vary from what was expected, the fair value of the contingent consideration liability may materially change. During the nine months ended June 30, 2023, the Company adjusted the contingent consideration liability to the fair value of the future expected payment, resulting in income of $29.7 million, which is comprised of the adjusted contingent consideration liability recorded as part of the acquisition and reversal of a portion of compensation expense previously recognized in the Condensed Consolidated Statements of Income since the acquisition. The income is included in "Cost of services provided (exclusive of depreciation and amortization)" on the Condensed Consolidated Statements of Income. The contingent consideration liability at June 28, 2024 and September 29, 2023 was $9.0 million and $8.4 million, respectively.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Next Level acquisition completed in fiscal 2021, the Company recorded a contingent consideration obligation based on the fair value of the expected payments. The Company performed a fair value assessment of the contingent consideration obligation based on the terms and conditions of the Next Level purchase agreement, as amended, using internal models. The inputs utilized in estimating the fair value of the contingent consideration have been classified as Level 3 in the fair value hierarchy levels and are subject to risk and uncertainty. During the nine months ended June 30, 2023, the Company adjusted the contingent consideration liability to the fair value of the future expected payment, resulting in income of $48.4 million, which is included in "Cost of services provided (exclusive of depreciation and amortization)" on the Condensed Consolidated Statements of Income. The earnout period has ended and the fair value of the contingent consideration liability at June 28, 2024 and September 29, 2023 was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15. SUBSEQUENT EVENTS: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Senior Secured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2024, the Company amended its existing Credit Agreement (“Amendment No. 15”), to provide for, among other things, the refinancing and replacement of the 2021 Tranche Revolving Facility, the Canadian Term A-3 Loans and the Euro Term A-2 Loans under the Credit Agreement through the establishment of Replacing Revolving Commitments, New Revolving Commitments, and borrowings of Refinancing Term Loans, under the Credit Agreement comprised of (i) new 2024 Tranche Revolving Commitments in an amount equal to $1.4 billion, terminating in August 2029, (ii) new Canadian Term A-4 Loans in an amount equal to C$214.6 million, due in August 2029, (iii) new Euro Term A-3 Loans in an amount equal to €94.1 million, due in August 2029, (iv) new U.S. Term A Loans in an amount equal to $70.7 million, due in August 2029, (v) new U.S. Term A-1 Loans in an amount equal to $90.0 million, due in August 2029 and (vi) new GBP Term A Loans in an amount equal to £62.0 million, due in August 2029. The new Term A Loans were applied by the Company to refinance in full the Canadian Term A-3 Loans and Euro Term A-2 Loans and are subject to customary springing maturity provisions with respect to the U.S. Term B-7 Loans and the 5.000% Senior Notes due 2028, as further specified in Amendment No. 15.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2024 Tranche Revolving Commitments bear interest at a rate equal to, at the Company’s option, depending on the currency of the loans borrowed under the new 2024 Tranche Revolving Commitments, either (a) a Term CORRA rate, (b) a Term SOFR rate, (c) a EURIBOR rate, (d) Canadian base rate determined by the higher of (1) prime rate of the administrative agent or (2) the Term CORRA rate plus 1.00%, (e) base rate determined by the highest of (1) the prime rate of the administrative agent, (2) the federal funds rate plus 0.50% or (3) the Term SOFR rate plus 1.00%, or (f) a SONIA rate plus an applicable margin set initially at 1.625% for borrowings based on the Term CORRA rate, Term SOFR rate and EURIBOR rate, 1.6576% for borrowings based on the SONIA rate and 0.625% for borrowings based on the Canadian base rate or base rate,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case, subject to a reduction upon the Company achieving improvement on the consolidated leverage ratio. In addition to paying interest on outstanding principal under the 2024 Tranche Revolving Commitments, the Company is required to pay a commitment fee in respect of the unutilized commitments thereunder, initially set at 0.30%, subject to a reduction upon the Company achieving improvement in the consolidated leverage ratio.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Canadian Term A-4 Loans bear interest at a rate equal to, at the Company’s option, either (a) a Term CORRA rate or (b) a base rate or Canadian base rate determined by reference to the higher of (1) the prime rate of the administrative agent and (2) the Term CORRA rate plus 1.00% plus an applicable margin set initially at 1.625% for borrowings based on the Term CORRA rate and 0.625% for borrowings based on the Canadian base rate, in each case, subject to a reduction upon the Company achieving improvement in the consolidated leverage ratio.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new Euro Term A-3 Loans bear interest at a rate equal to a EURIBOR rate plus an applicable margin set initially at 1.625%, subject to a reduction upon the Company achieving improvement in the consolidated leverage ratio.</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new U.S. Term A Loans and new U.S. Term A-1 Loans bear interest at a rate determined by reference to either (a) a Term SOFR rate or (b) a base rate determined by reference to the highest of (1) the prime rate of the administrative agent, (2) the federal funds rate plus 0.50% or (3) the Term SOFR rate plus 1.00%, plus an applicable margin set initially at 1.625%, subject to a reduction upon the Company achieving improvement in the consolidated leverage ratio.</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new GBP Term A Loans bear interest at a rate equal to a SONIA rate plus an applicable margin set initially at 1.6576%, subject to a reduction upon the Company achieving improvement in the consolidated leverage.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Canadian Term A-4 Loans, Euro Term A-3 Loans, U.S. Term A Loans, U.S. Term A-1 Loans and GBP Term A Loans require repayment of principal in quarterly installments equal to 1.25% of the original principal amount funded on the Closing Date, respectively, with the remainder due at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2.</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OF FINANCIAL CONDITION AND RESULTS OF OPERATIONS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Aramark's (the "Company," "we," "our" and "us") financial condition and results of operations for the three and nine months ended June 28, 2024 and June 30, 2023 should be read in conjunction with our audited consolidated financial statements and the notes to those statements for the fiscal year ended September 29, 2023 included in our Annual Report on Form 10-K, filed with the Securities and Exchange Commission (the "SEC") on November 21, 2023.</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food and facilities services to education, healthcare, business &amp; industry and sports, leisure &amp; corrections clients. Our core market is the United States, which is supplemented by an additional 14-country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two reportable segments: Food and Support Services United States ("FSS United States") and Food and Support Services International ("FSS International").</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Administrative expenses not allocated to our two reportable segments are presented separately as corporate expenses.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2023, we completed the previously announced separation and distribution of our Aramark Uniform and Career Apparel ("Uniform") segment into an independent publicly traded company, Vestis Corporation ("Vestis"), and the historical results of the Uniform segment have been reflected as discontinued operations in our condensed consolidated financial statements for all periods prior to the separation and distribution. Assets and liabilities associated to the Uniform segment are classified as assets and liabilities of discontinued operations in our Condensed Consolidated Balance Sheet as of September 29, 2023. Additional disclosures regarding the separation and distribution are provided in Note 2 to the condensed consolidated financial statements.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Current Business Environment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see improving inflation trends where inflationary costs in product, energy and labor have moderated over the first nine months of fiscal 2024, particularly in the United States. In addition, we continue to see elevated market interest rates and significant changes in foreign currencies. We expect these conditions to continue in the near-term, and we regularly evaluate and believe we take appropriate actions to mitigate risk in these areas. These actions include management of operating costs, including supply chain initiatives and pricing actions, and managing interest rate risk through the use of interest rate swaps.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operating results have varied, and we expect them to continue to vary, from quarter to quarter as a result of different factors. Historically, within our FSS United States segment, there has been a lower level of activity during the first half of our fiscal year in operations that provide services to sports and leisure clients. This lower level of activity, historically, has been partially offset during the first half of our fiscal year by the increased activity levels in our educational operations. Conversely, historically there has been a significant increase in the provision of services to sports and leisure clients during the second half of our fiscal year,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have been cash inflows during our fourth fiscal quarter due to an inflow of customer prepayments particularly within our Higher Education business in anticipation of the fall semester and higher activity within our sports and leisure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Foreign Currency Fluctuations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fiscal year is the fifty-two or fifty-three week period which ends on the Friday nearest September 30th. The fiscal years ending September 27, 2024 and September 29, 2023 are both fifty-two week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an overview of our results on a consolidated and segment basis with the amount of and percentage change between periods for the three and nine months ended June 28, 2024 and June 30, 2023 (in millions). </w:t>
      </w:r>
    </w:p>
    <w:tbl>
      <w:tblPr>
        <w:tblW w:w="10205" w:type="dxa"/>
        <w:jc w:val="left"/>
        <w:tblInd w:w="0" w:type="dxa"/>
        <w:tblLayout w:type="fixed"/>
        <w:tblCellMar>
          <w:top w:w="28" w:type="dxa"/>
          <w:left w:w="28" w:type="dxa"/>
          <w:bottom w:w="28" w:type="dxa"/>
          <w:right w:w="28" w:type="dxa"/>
        </w:tblCellMar>
      </w:tblPr>
      <w:tblGrid>
        <w:gridCol w:w="1854"/>
        <w:gridCol w:w="1594"/>
        <w:gridCol w:w="1605"/>
        <w:gridCol w:w="216"/>
        <w:gridCol w:w="789"/>
        <w:gridCol w:w="112"/>
        <w:gridCol w:w="109"/>
        <w:gridCol w:w="109"/>
        <w:gridCol w:w="109"/>
        <w:gridCol w:w="216"/>
        <w:gridCol w:w="789"/>
        <w:gridCol w:w="112"/>
        <w:gridCol w:w="109"/>
        <w:gridCol w:w="109"/>
        <w:gridCol w:w="109"/>
        <w:gridCol w:w="211"/>
        <w:gridCol w:w="681"/>
        <w:gridCol w:w="109"/>
        <w:gridCol w:w="109"/>
        <w:gridCol w:w="109"/>
        <w:gridCol w:w="109"/>
        <w:gridCol w:w="307"/>
        <w:gridCol w:w="309"/>
        <w:gridCol w:w="320"/>
      </w:tblGrid>
      <w:tr>
        <w:trPr/>
        <w:tc>
          <w:tcPr>
            <w:tcW w:w="185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Investments, net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from Continuing Operations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3"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841"/>
        <w:gridCol w:w="741"/>
        <w:gridCol w:w="743"/>
        <w:gridCol w:w="109"/>
        <w:gridCol w:w="109"/>
        <w:gridCol w:w="109"/>
        <w:gridCol w:w="218"/>
        <w:gridCol w:w="794"/>
        <w:gridCol w:w="113"/>
        <w:gridCol w:w="109"/>
        <w:gridCol w:w="109"/>
        <w:gridCol w:w="109"/>
        <w:gridCol w:w="218"/>
        <w:gridCol w:w="794"/>
        <w:gridCol w:w="113"/>
        <w:gridCol w:w="109"/>
        <w:gridCol w:w="109"/>
        <w:gridCol w:w="109"/>
        <w:gridCol w:w="211"/>
        <w:gridCol w:w="616"/>
        <w:gridCol w:w="109"/>
        <w:gridCol w:w="109"/>
        <w:gridCol w:w="109"/>
        <w:gridCol w:w="109"/>
        <w:gridCol w:w="255"/>
        <w:gridCol w:w="25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 by Segment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As a percentage of total revenue, FSS United States represented 71.9% and 71.3% and FSS International represented 28.1% and 28.7% for the three months ended June 28, 2024 and June 30,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79"/>
        <w:gridCol w:w="1516"/>
        <w:gridCol w:w="1527"/>
        <w:gridCol w:w="211"/>
        <w:gridCol w:w="871"/>
        <w:gridCol w:w="109"/>
        <w:gridCol w:w="109"/>
        <w:gridCol w:w="109"/>
        <w:gridCol w:w="109"/>
        <w:gridCol w:w="211"/>
        <w:gridCol w:w="871"/>
        <w:gridCol w:w="109"/>
        <w:gridCol w:w="109"/>
        <w:gridCol w:w="109"/>
        <w:gridCol w:w="109"/>
        <w:gridCol w:w="211"/>
        <w:gridCol w:w="766"/>
        <w:gridCol w:w="109"/>
        <w:gridCol w:w="109"/>
        <w:gridCol w:w="109"/>
        <w:gridCol w:w="109"/>
        <w:gridCol w:w="307"/>
        <w:gridCol w:w="309"/>
        <w:gridCol w:w="318"/>
      </w:tblGrid>
      <w:tr>
        <w:trPr/>
        <w:tc>
          <w:tcPr>
            <w:tcW w:w="177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Investments,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from Continuing Operations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482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bl>
    <w:tbl>
      <w:tblPr>
        <w:tblW w:w="8002" w:type="dxa"/>
        <w:jc w:val="left"/>
        <w:tblInd w:w="0" w:type="dxa"/>
        <w:tblLayout w:type="fixed"/>
        <w:tblCellMar>
          <w:top w:w="28" w:type="dxa"/>
          <w:left w:w="28" w:type="dxa"/>
          <w:bottom w:w="28" w:type="dxa"/>
          <w:right w:w="28" w:type="dxa"/>
        </w:tblCellMar>
      </w:tblPr>
      <w:tblGrid>
        <w:gridCol w:w="841"/>
        <w:gridCol w:w="741"/>
        <w:gridCol w:w="743"/>
        <w:gridCol w:w="109"/>
        <w:gridCol w:w="109"/>
        <w:gridCol w:w="109"/>
        <w:gridCol w:w="211"/>
        <w:gridCol w:w="871"/>
        <w:gridCol w:w="109"/>
        <w:gridCol w:w="109"/>
        <w:gridCol w:w="109"/>
        <w:gridCol w:w="109"/>
        <w:gridCol w:w="211"/>
        <w:gridCol w:w="871"/>
        <w:gridCol w:w="109"/>
        <w:gridCol w:w="109"/>
        <w:gridCol w:w="109"/>
        <w:gridCol w:w="109"/>
        <w:gridCol w:w="211"/>
        <w:gridCol w:w="766"/>
        <w:gridCol w:w="109"/>
        <w:gridCol w:w="109"/>
        <w:gridCol w:w="109"/>
        <w:gridCol w:w="109"/>
        <w:gridCol w:w="291"/>
        <w:gridCol w:w="294"/>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 by Segment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As a percentage of total revenue, FSS United States represented 72.4% and 72.8% and FSS International represented 27.6% and 27.2% for the nine months ended June 28, 2024 and June 30, 2023, respectively. </w:t>
      </w:r>
    </w:p>
    <w:p>
      <w:pPr>
        <w:pStyle w:val="TextBody"/>
        <w:bidi w:val="0"/>
        <w:spacing w:before="60" w:after="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approximately 8.0% and 9.3% during the three and nine month periods of fiscal 2024 compared to the prior year periods, respectively. The increase during these periods was primarily attributable to base business growth, including volume growth and contract price increases, and net new business, partially offset by the negative impact of foreign currency translation (2.9% and 1.7%,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cost of services provided (exclusive of depreciation and amortization) by segment and as a percent of revenue for the three and nine months ended June 28, 2024 and June 30, 2023 (in millions).</w:t>
      </w:r>
    </w:p>
    <w:tbl>
      <w:tblPr>
        <w:tblW w:w="12361" w:type="dxa"/>
        <w:jc w:val="left"/>
        <w:tblInd w:w="0" w:type="dxa"/>
        <w:tblLayout w:type="fixed"/>
        <w:tblCellMar>
          <w:top w:w="28" w:type="dxa"/>
          <w:left w:w="28" w:type="dxa"/>
          <w:bottom w:w="28" w:type="dxa"/>
          <w:right w:w="28" w:type="dxa"/>
        </w:tblCellMar>
      </w:tblPr>
      <w:tblGrid>
        <w:gridCol w:w="491"/>
        <w:gridCol w:w="339"/>
        <w:gridCol w:w="341"/>
        <w:gridCol w:w="109"/>
        <w:gridCol w:w="109"/>
        <w:gridCol w:w="109"/>
        <w:gridCol w:w="211"/>
        <w:gridCol w:w="766"/>
        <w:gridCol w:w="109"/>
        <w:gridCol w:w="109"/>
        <w:gridCol w:w="109"/>
        <w:gridCol w:w="109"/>
        <w:gridCol w:w="255"/>
        <w:gridCol w:w="256"/>
        <w:gridCol w:w="401"/>
        <w:gridCol w:w="109"/>
        <w:gridCol w:w="109"/>
        <w:gridCol w:w="109"/>
        <w:gridCol w:w="211"/>
        <w:gridCol w:w="766"/>
        <w:gridCol w:w="109"/>
        <w:gridCol w:w="109"/>
        <w:gridCol w:w="109"/>
        <w:gridCol w:w="109"/>
        <w:gridCol w:w="255"/>
        <w:gridCol w:w="256"/>
        <w:gridCol w:w="401"/>
        <w:gridCol w:w="109"/>
        <w:gridCol w:w="109"/>
        <w:gridCol w:w="109"/>
        <w:gridCol w:w="211"/>
        <w:gridCol w:w="871"/>
        <w:gridCol w:w="109"/>
        <w:gridCol w:w="109"/>
        <w:gridCol w:w="109"/>
        <w:gridCol w:w="109"/>
        <w:gridCol w:w="255"/>
        <w:gridCol w:w="256"/>
        <w:gridCol w:w="401"/>
        <w:gridCol w:w="109"/>
        <w:gridCol w:w="109"/>
        <w:gridCol w:w="109"/>
        <w:gridCol w:w="211"/>
        <w:gridCol w:w="871"/>
        <w:gridCol w:w="109"/>
        <w:gridCol w:w="109"/>
        <w:gridCol w:w="109"/>
        <w:gridCol w:w="109"/>
        <w:gridCol w:w="255"/>
        <w:gridCol w:w="256"/>
        <w:gridCol w:w="401"/>
        <w:gridCol w:w="109"/>
        <w:gridCol w:w="109"/>
        <w:gridCol w:w="154"/>
      </w:tblGrid>
      <w:tr>
        <w:trPr/>
        <w:tc>
          <w:tcPr>
            <w:tcW w:w="49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(1) The nine months ended June 30, 2023 were impacted by non-cash income related to the reduction of contingent consideration liabilities related to acquisition earn outs, net of expense of $72.3 million (see Note 14 to the condensed consolidated financial statements).</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The nine months ended June 30, 2023 were impacted by $25.8 million of severance charges (see Note 3 to the condensed consolidated financial statements).</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percentages attributable to the components in cost of services provided (exclusive of depreciation and amortization) for the three and nine months ended June 28, 2024 and June 30, 2023.</w:t>
      </w:r>
    </w:p>
    <w:tbl>
      <w:tblPr>
        <w:tblW w:w="10205" w:type="dxa"/>
        <w:jc w:val="left"/>
        <w:tblInd w:w="0" w:type="dxa"/>
        <w:tblLayout w:type="fixed"/>
        <w:tblCellMar>
          <w:top w:w="28" w:type="dxa"/>
          <w:left w:w="28" w:type="dxa"/>
          <w:bottom w:w="28" w:type="dxa"/>
          <w:right w:w="28" w:type="dxa"/>
        </w:tblCellMar>
      </w:tblPr>
      <w:tblGrid>
        <w:gridCol w:w="1560"/>
        <w:gridCol w:w="1368"/>
        <w:gridCol w:w="1376"/>
        <w:gridCol w:w="109"/>
        <w:gridCol w:w="109"/>
        <w:gridCol w:w="109"/>
        <w:gridCol w:w="307"/>
        <w:gridCol w:w="309"/>
        <w:gridCol w:w="496"/>
        <w:gridCol w:w="125"/>
        <w:gridCol w:w="125"/>
        <w:gridCol w:w="125"/>
        <w:gridCol w:w="307"/>
        <w:gridCol w:w="309"/>
        <w:gridCol w:w="496"/>
        <w:gridCol w:w="109"/>
        <w:gridCol w:w="109"/>
        <w:gridCol w:w="109"/>
        <w:gridCol w:w="307"/>
        <w:gridCol w:w="309"/>
        <w:gridCol w:w="496"/>
        <w:gridCol w:w="119"/>
        <w:gridCol w:w="119"/>
        <w:gridCol w:w="119"/>
        <w:gridCol w:w="307"/>
        <w:gridCol w:w="309"/>
        <w:gridCol w:w="563"/>
      </w:tblGrid>
      <w:tr>
        <w:trPr/>
        <w:tc>
          <w:tcPr>
            <w:tcW w:w="15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Food and support service costs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direct costs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(1) Food and support service costs represented a lower proportion of total cost of services provided (exclusive of depreciation and amortization) during the nine months ended June 28, 2024 compared to the prior year period mainly driven by other direct costs increasing at a higher proportion as compared to food and support service costs and the moderation of product inflationary costs.</w:t>
      </w:r>
    </w:p>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(2) Personnel costs decreased as a percentage of total cost of services provided (exclusive of depreciation and amortization) during the three and nine months ended June 28, 2024 compared to the prior year periods due to other direct costs increasing at a higher proportion as compared to personnel costs and prior year severance charges ($29.7 million for the nine month period) (see Note 3 to the condensed consolidated financial statements) and moderation of labor inflationary costs.</w:t>
      </w:r>
    </w:p>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(3) Other direct costs represented a higher proportion of total cost of services provided (exclusive of depreciation and amortization) during the three and nine months ended June 28, 2024 compared to the prior year periods due to increased payments made to clients related to business volume growth in the current year. Further, the nine months ended June 30, 2023 was affected by non-cash income related to the reduction of contingent consideration liabilities related to acquisition earn outs, net of expense ($72.3 million) (see Note 14 to the condensed consolidated financial statements); partially offset by non-cash impairment charges of operating lease right of use assets, property and equipment and other costs related to certain real estate properties ($19.0 million) (see Note 1 to the consolidated financial statements).</w:t>
      </w:r>
    </w:p>
    <w:p>
      <w:pPr>
        <w:pStyle w:val="TextBody"/>
        <w:bidi w:val="0"/>
        <w:spacing w:lineRule="auto" w:line="26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$29.1 million and $78.1 million during the three and nine month periods of fiscal 2024 compared to the prior year periods, respectively, driven by base business volume growth, cost management, improved supply chain economics and favorable recovery of inflationary costs as compared to prior year periods. The increase in operating income during the three month period of fiscal 2024, compared to prior year period, was partially offset by prior year favorable loss experience under our general liability, automobile liability and workers' compensation liability programs ($15.8 million). The increase in operating income during the nine month period of fiscal 2024 was attributable to the factors noted above as well as prior year severance charges ($29.7 million) (see Note 3 to the condensed consolidated financial statements) and prior year non-cash charges for the impairment of operating lease right-of-use assets and property and equipment related to certain real estate properties ($19.0 million) (see Note 1 to the condensed consolidated financial statements) and was partially offset by prior year non-cash income related to the reduction of contingent consideration liabilities related to acquisition earn outs, net of expense ($72.3 million) (see Note 14 to the condensed consolidated financial statements), prior year favorable loss experience under our general liability, automobile liability and workers' compensation liability programs ($27.1 million), higher expenses related to the separation and distribution of the Uniform segment ($22.1 million) (see Note 2 to the condensed consolidated financial statements) and a prior year gain relating to the recovery of our investment (possessory interest) at one of the National Park sites ($19.8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June 30, 2023, we recognized a $377.1 million gain on the sale of our 50% ownership interest in AIM Services Co., Ltd., which is included in "Gain on Sale of Equity Investments, net" on the Condensed Consolidated Statements of Income. This gain was partially offset by a $1.1 million loss on the sale of a portion of our ownership interest in an equity investment (see Note 1 to the condensed consolidated financial statements).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by 27.4% and 13.6% during the three and nine month periods of fiscal 2024 compared to the prior year periods, respectively. The decrease during the three and nine month periods of fiscal 2024 was primarily due to lower interest expense related to the repayment of the 6.375% Senior Notes due May 1, 2025 ("6.375% 2025 Notes") (see Note 5 to the condensed consolidated financial statements). Additionally, the decrease during the nine month period of fiscal 2024 was partially offset by the payment of a $23.9 million call premium, a $7.9 million non-cash loss for the write-off of unamortized deferred financing costs related to the repayment of the 6.375% 2025 Notes (see Note 5 to the condensed consolidated financial statements), higher borrowings on the Receivables Facility, a $1.6 million non-cash loss for the write-off of unamortized deferred financing costs and discount on the U.S. Term B-5 Loans due 2028 and U.S. Term B-6 Loans due 2030 and transaction costs related to the repricing of these loans (see Note 5 to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for the three and nine month periods of fiscal 2024 was recorded at an effective tax rate of 27.5% and 32.0%, respectively. During the nine month period ended June 28, 2024, we recorded a $7.1 million valuation allowance recorded against certain foreign tax credits, as it is more likely than not a tax benefit will not be realized due to the reduction of future forecasted foreign income as a result of the separation and distribution of the Uniform segment (see Note 8 to the condensed consolidated financial statements). The provision for income taxes for the three and nine month periods ended June 30, 2023 was recorded at an effective tax rate of 27.7% and 26.2%, respectively. During the three and nine months ended June 30, 2023, we recorded an income tax provision of $101.2 million related to the sale of our 50% ownership interest in AIM Services Co., Ltd. Additionally, during the nine month period ended June 30, 2023, we recorded an income tax benefit of $3.8 million for the reversal of a valuation allowance against deferred tax assets within a foreign subsidiary due to an acquisition of a business (see Note 8 to the condensed consolidated financial statements).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FSS United States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each of these sectors are summarized as follows (in millions):</w:t>
      </w:r>
    </w:p>
    <w:tbl>
      <w:tblPr>
        <w:tblW w:w="10205" w:type="dxa"/>
        <w:jc w:val="left"/>
        <w:tblInd w:w="0" w:type="dxa"/>
        <w:tblLayout w:type="fixed"/>
        <w:tblCellMar>
          <w:top w:w="28" w:type="dxa"/>
          <w:left w:w="28" w:type="dxa"/>
          <w:bottom w:w="28" w:type="dxa"/>
          <w:right w:w="28" w:type="dxa"/>
        </w:tblCellMar>
      </w:tblPr>
      <w:tblGrid>
        <w:gridCol w:w="859"/>
        <w:gridCol w:w="712"/>
        <w:gridCol w:w="717"/>
        <w:gridCol w:w="216"/>
        <w:gridCol w:w="789"/>
        <w:gridCol w:w="112"/>
        <w:gridCol w:w="109"/>
        <w:gridCol w:w="109"/>
        <w:gridCol w:w="109"/>
        <w:gridCol w:w="216"/>
        <w:gridCol w:w="789"/>
        <w:gridCol w:w="112"/>
        <w:gridCol w:w="109"/>
        <w:gridCol w:w="109"/>
        <w:gridCol w:w="109"/>
        <w:gridCol w:w="255"/>
        <w:gridCol w:w="256"/>
        <w:gridCol w:w="367"/>
        <w:gridCol w:w="109"/>
        <w:gridCol w:w="109"/>
        <w:gridCol w:w="109"/>
        <w:gridCol w:w="216"/>
        <w:gridCol w:w="789"/>
        <w:gridCol w:w="112"/>
        <w:gridCol w:w="109"/>
        <w:gridCol w:w="109"/>
        <w:gridCol w:w="109"/>
        <w:gridCol w:w="216"/>
        <w:gridCol w:w="789"/>
        <w:gridCol w:w="112"/>
        <w:gridCol w:w="109"/>
        <w:gridCol w:w="109"/>
        <w:gridCol w:w="109"/>
        <w:gridCol w:w="255"/>
        <w:gridCol w:w="256"/>
        <w:gridCol w:w="425"/>
      </w:tblGrid>
      <w:tr>
        <w:trPr/>
        <w:tc>
          <w:tcPr>
            <w:tcW w:w="8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&amp; Industry</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Healthcare</w:t>
            </w:r>
            <w:r>
              <w:rPr>
                <w:rFonts w:ascii="Times New Roman;sans-serif" w:hAnsi="Times New Roman;sans-serif"/>
                <w:b w:val="false"/>
                <w:color w:val="000000"/>
                <w:sz w:val="13"/>
              </w:rPr>
              <w:t>(1)</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Leisure &amp; Corrections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&amp; Other</w:t>
            </w:r>
            <w:r>
              <w:rPr>
                <w:rFonts w:ascii="Times New Roman;sans-serif" w:hAnsi="Times New Roman;sans-serif"/>
                <w:b w:val="false"/>
                <w:color w:val="000000"/>
                <w:sz w:val="13"/>
              </w:rPr>
              <w:t>(1)</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Beginning in fiscal 2024, management began reporting results for healthcare facility services within "Healthcare", whereas the results were previously reported within "Facilities &amp; Other". As such, the "Healthcare" and "Facilities &amp; Other" three and nine months ended June 30, 2023 results were recast to reflect this change.</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Healthcare, Education and Facilities &amp; Other sectors generally have high-single digit operating income margins and the Business &amp; Industry and Sports, Leisure &amp; Corrections sectors generally have mid-single digit operating income margins.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 segment revenue increased by approximately 8.8% and 8.6% during the three and nine month periods of fiscal 2024 compared to the prior year periods, respectively. The increase during both the three and nine month periods of fiscal 2024 was primarily attributable to base business growth, including higher volume within our Business &amp; Industry sector and Sports &amp; Entertainment, Higher Education and Corrections businesses, and contract price increases primarily within our Higher Education and Corrections businesses.</w:t>
      </w:r>
    </w:p>
    <w:p>
      <w:pPr>
        <w:pStyle w:val="TextBody"/>
        <w:bidi w:val="0"/>
        <w:spacing w:lineRule="auto" w:line="26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increased by $16.6 million and $26.0 million during the three and nine month periods of fiscal 2024 compared to the prior year periods, respectively. The increase during both the three and nine month periods of fiscal 2024 was primarily attributable to base business volume growth, cost management, improved supply chain economics and favorable recovery of inflationary costs as compared to prior year periods, partially offset by prior year favorable loss experience under our general liability, automobile liability and workers' compensation liability programs ($15.8 million and $27.1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respectively). The increase during the nine month period of fiscal 2024 was also attributable to prior year non-cash charges for the impairment of operating lease right-of-use assets and property and equipment related to certain real estate properties ($19.0 million) (see Note 1 to the condensed consolidated financial statements) and prior year non-cash charges related to information technology assets ($6.1 million). The increase during the nine month period of fiscal 2024 was partially offset by prior year non-cash income related to the reduction of contingent consideration liabilities related to acquisition earn outs, net of expense ($72.3 million) (see Note 14 to the condensed consolidated financial statements) and a prior year gain relating to the recovery of our investment (possessory interest) at one of the National Park sites ($19.8 million).</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FSS International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FSS International segment revenue increased by approximately 6.0% and 11.0% during the three and nine month periods of fiscal 2024 compared to the prior year periods, respectively. The increase during both the three and nine month periods of fiscal 2024 was primarily attributable to base business growth, including volume growth and contract price increases, and net new business growth partially offset by the negative impact of foreign currency translation (10.0% and 6.3%, respectively). </w:t>
      </w:r>
    </w:p>
    <w:p>
      <w:pPr>
        <w:pStyle w:val="TextBody"/>
        <w:bidi w:val="0"/>
        <w:spacing w:lineRule="auto" w:line="26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$12.7 million and $67.8 million during the three and nine month periods of fiscal 2024 compared to the prior year periods, respectively. The increase during the three and nine month periods of fiscal 2024 was mainly attributable to the volume growth in base business, net new business and improved supply chain economics. The increase during the nine month period of fiscal 2024 was also attributable to prior year severance charges ($25.8 million) (see Note 3 to condensed consolidated financial statements) and a prior year non-cash charge for the impairment of certain assets related to a business held-for-sale ($5.2 million), partially offset by a decline in profit related to the sale of our 50% ownership interest in AIM Services Co., Ltd.</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which consists of administrative expenses not allocated to the business segments, increased by $0.2 million and $15.7 million during the three and nine month periods of fiscal 2024 compared to the prior year periods, respectively. The increase during the three month period of fiscal 2024 was attributable to higher employee incentive expenses, essentially offset by lower expense related to the separation and distribution of the Uniform segment ($3.5 million) compared to the prior year period. The increase during the nine month period of fiscal 2024 was attributable to higher expenses related to the separation and distribution of the Uniform segment ($22.1 million) (see Note 2 to the condensed consolidated financial statements) and higher employee incentive expenses, partially offset by lower share-based compensation expense ($10.0 million) compared to the prior year period (see Note 10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28, 2024, we had $436.1 million of cash and cash equivalents, $114.3 million of marketable securities and approximately $702.2 million of availability under our senior secured revolving credit facility. A significant portion of our cash and cash equivalents are held in mature, liquid geographies where we have operations. As of June 28, 2024, we had approximately $739.4 million of outstanding foreign currency borrowings. As of June 28, 2024, the 5.000% Senior Notes due April 1, 2025 and 3.125% Senior Notes due April 1, 2025 mature within one year. We intend to repay, redeem or otherwise refinance the outstanding obligations related to these securities.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2024, we entered into Amendment No. 15 to the Credit Agreement, which refinanced and replaced our approximately $1.2 billion multi-currency revolving credit facility and approximately $225 million Term A Loans due April 2026 into an amended $1.4 billion multi-currency revolving credit facility and $500 million Term A Loans, extending the maturity to August 2029, adding revolving credit facility capacity of approximately $250 million, reducing the applicable margin and utilizing the net proceeds from the increased principal amount of Term A Loans to reduce the outstanding revolving credit facility balance by approximately $275 million (see Note 15 to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marketable securities and availability under our revolving credit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21,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activity (in millions):</w:t>
      </w:r>
    </w:p>
    <w:tbl>
      <w:tblPr>
        <w:tblW w:w="8966" w:type="dxa"/>
        <w:jc w:val="left"/>
        <w:tblInd w:w="0" w:type="dxa"/>
        <w:tblLayout w:type="fixed"/>
        <w:tblCellMar>
          <w:top w:w="28" w:type="dxa"/>
          <w:left w:w="28" w:type="dxa"/>
          <w:bottom w:w="28" w:type="dxa"/>
          <w:right w:w="28" w:type="dxa"/>
        </w:tblCellMar>
      </w:tblPr>
      <w:tblGrid>
        <w:gridCol w:w="2297"/>
        <w:gridCol w:w="2018"/>
        <w:gridCol w:w="2030"/>
        <w:gridCol w:w="235"/>
        <w:gridCol w:w="769"/>
        <w:gridCol w:w="121"/>
        <w:gridCol w:w="109"/>
        <w:gridCol w:w="109"/>
        <w:gridCol w:w="109"/>
        <w:gridCol w:w="233"/>
        <w:gridCol w:w="766"/>
        <w:gridCol w:w="170"/>
      </w:tblGrid>
      <w:tr>
        <w:trPr/>
        <w:tc>
          <w:tcPr>
            <w:tcW w:w="229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Continuing Operations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 of Continuing Operations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 of Continuing Operations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Reference to the Condensed Consolidated Statements of Cash Flows will facilitate understanding of the discussion that follows.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Cash Flows Used in Operating Activities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decreased by $119.9 million during the nine month period of fiscal 2024 compared to the nine month period of fiscal 2023. The lower net income and a greater use of cash from the change in operating assets and liabilities for the nine month period of fiscal 2024 was more than offset by the add-back of non-cash gains and losses and adjustments to non-operating cash transactions as compared to the prior year period. The unfavorable change in operating assets and liabilities compared to the prior year period of $66.0 million was primarily due to:</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Accrued expenses by $106.8 million, resulting in a greater use of cash during the nine month period of fiscal 2024 compared to the nine month period of fiscal 2023 primarily due to the timing of income tax payments, higher recognition of deferred income in our Higher Education business, the timing of payroll, higher client payments related to our revenue contracts in our Sports business and the timing of interest, insurance and other payments; partially offset by the prior year payment of social security taxes deferred under the CARES Act and lower employee incentive payments;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Receivables by $57.8 million, resulting in a greater use of cash during the nine month period of fiscal 2024 compared to the nine month period of fiscal 2023 impacted by base and new business growth and timing of collections.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changes in operating assets and liabilities more than offset:</w:t>
      </w:r>
    </w:p>
    <w:p>
      <w:pPr>
        <w:pStyle w:val="TextBody"/>
        <w:bidi w:val="0"/>
        <w:spacing w:lineRule="auto" w:line="288" w:before="100" w:after="60"/>
        <w:ind w:left="0" w:right="0" w:hanging="360"/>
        <w:jc w:val="left"/>
        <w:rPr/>
      </w:pPr>
      <w:r>
        <w:rPr>
          <w:color w:val="212529"/>
        </w:rPr>
        <w:t>•</w:t>
      </w:r>
      <w:r>
        <w:rPr>
          <w:rFonts w:ascii="Times New Roman;sans-serif" w:hAnsi="Times New Roman;sans-serif"/>
          <w:b w:val="false"/>
          <w:color w:val="000000"/>
          <w:sz w:val="20"/>
        </w:rPr>
        <w:t>Accounts payable by $50.6 million, resulting in a lower use of cash during the nine month period of fiscal 2024 compared to the nine month period of fiscal 2023 from the timing of disbursements; and</w:t>
      </w:r>
    </w:p>
    <w:p>
      <w:pPr>
        <w:pStyle w:val="TextBody"/>
        <w:bidi w:val="0"/>
        <w:spacing w:lineRule="auto" w:line="288" w:before="100" w:after="60"/>
        <w:ind w:left="0" w:right="0" w:hanging="360"/>
        <w:jc w:val="left"/>
        <w:rPr/>
      </w:pPr>
      <w:r>
        <w:rPr>
          <w:color w:val="212529"/>
        </w:rPr>
        <w:t>•</w:t>
      </w:r>
      <w:r>
        <w:rPr>
          <w:rFonts w:ascii="Times New Roman;sans-serif" w:hAnsi="Times New Roman;sans-serif"/>
          <w:b w:val="false"/>
          <w:color w:val="000000"/>
          <w:sz w:val="20"/>
        </w:rPr>
        <w:t>Inventories by $35.1 million, resulting in a source of cash during the nine month period of fiscal 2024 compared to a use of cash during the nine month period of fiscal 2023 due to improved inventory management in the Sports, Leisure &amp; Corrections sector.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 periods of fiscal 2024 and 2023, we received proceeds of approximately $1.0 million and $15.3 million, respectively, related to favorable loss experience in older insurance years under our general liability, automobile liability and workers' compensation liability programs. The "Other operating activities" caption in both periods reflect adjustments to net income in the current year and prior year periods related to non-cash gains and losses and adjustments to non-operating cash transactions.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Cash Flows (Used In) Provided by Investing Activities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investing activities were $379.4 million during the nine month period of fiscal 2024 compared to $323.5 million cash flows provided by investing activities during the nine month period of fiscal 2023. The change was primarily due to the prior year proceeds from the sale of equity investments ($633.2 million) (see Note 1 to the condensed consolidated financial statements). In addition, the nine month period of fiscal 2024 had higher acquisitions of certain businesses ($56.8 million) and higher purchases of property and equipment ($29.6 million), offset by lower net purchases of United States Treasury securities related to our captive insurance subsidiary ($31.2 million) compared to the prior year period. </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investing activities" caption includes $19.8 million of proceeds received during the nine month period of fiscal 2023, relating to the recovery of our investment (possessory interest) at one of the National Park Service sites within our Sports, Leisure &amp; Corrections sector.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(Used In) Provided by Financing Activities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 period of fiscal 2024, cash used in financing activities was primarily impacted by repayment of the 6.375% 2025 Notes ($1,500.0 million), partially offset by borrowings under the Receivables Facility ($599.0 million) and borrowings under the revolving credit facility ($248.0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 period of fiscal 2023, cash provided by financing activities was primarily impacted by the issuance of new U.S. Term B-6 Loans due 2030 ($1,089.0 million), borrowings under the revolving credit facility ($397.2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Receivables Facility ($395.1 million), partially offset by repayments of U.S. Term B-3 Loans due 2025 ($1,664.8 million) and yen denominated term loans due 2026 ($63.0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"Other financing activities" caption also reflects a use of cash during the nine month periods of fiscal 2024 and fiscal 2023 primarily related to taxes paid by us when we withhold shares upon an employee's exercise or vesting of equity awards to cover income taxes. The nine month period of fiscal 2024 also includes the payment of a call premium on the 6.375% 2025 Notes ($23.9 million) and the nine month period of fiscal 2023 also includes the payment of debt issuance costs on the U.S. Term B-6 Loans due 2030 ($8.0 million).</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Covenant Compliance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June 28, 2024, we were compliant with these covenants.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of 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net income attributable to ASI stockholders, which is a U.S. GAAP measure of ASI's operating results, to Covenant Adjusted EBITDA as defined in our debt agreements. The terms and related calculations are defined in the Credit Agreement and the indentures governing our senior notes. Covenant Adjusted EBITDA is a measure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ASI and its restricted subsidiaries only and does not include the results of Aramark.</w:t>
      </w:r>
    </w:p>
    <w:tbl>
      <w:tblPr>
        <w:tblW w:w="7514" w:type="dxa"/>
        <w:jc w:val="left"/>
        <w:tblInd w:w="0" w:type="dxa"/>
        <w:tblLayout w:type="fixed"/>
        <w:tblCellMar>
          <w:top w:w="28" w:type="dxa"/>
          <w:left w:w="28" w:type="dxa"/>
          <w:bottom w:w="28" w:type="dxa"/>
          <w:right w:w="28" w:type="dxa"/>
        </w:tblCellMar>
      </w:tblPr>
      <w:tblGrid>
        <w:gridCol w:w="2191"/>
        <w:gridCol w:w="1923"/>
        <w:gridCol w:w="1945"/>
        <w:gridCol w:w="271"/>
        <w:gridCol w:w="986"/>
        <w:gridCol w:w="198"/>
      </w:tblGrid>
      <w:tr>
        <w:trPr/>
        <w:tc>
          <w:tcPr>
            <w:tcW w:w="219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Twelve Months Ended</w:t>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June 28, 2024</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ASI stockholders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Discontinued Operations, net of tax</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Attributable to ASI stockholders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Income Taxes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0"/>
              </w:rPr>
              <w:t>(1)</w:t>
            </w:r>
            <w:r>
              <w:rPr>
                <w:color w:val="000000"/>
              </w:rPr>
              <w:t>    </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Unusual or non-recurring losses</w:t>
            </w:r>
            <w:r>
              <w:rPr>
                <w:rFonts w:ascii="Times New Roman;sans-serif" w:hAnsi="Times New Roman;sans-serif"/>
                <w:b w:val="false"/>
                <w:color w:val="000000"/>
                <w:sz w:val="10"/>
              </w:rPr>
              <w:t>(2)</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Pro forma EBITDA for certain transactions</w:t>
            </w:r>
            <w:r>
              <w:rPr>
                <w:rFonts w:ascii="Times New Roman;sans-serif" w:hAnsi="Times New Roman;sans-serif"/>
                <w:b w:val="false"/>
                <w:color w:val="000000"/>
                <w:sz w:val="10"/>
              </w:rPr>
              <w:t>(3)</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0"/>
              </w:rPr>
              <w:t>(4)</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Covenant Adjusted EBITDA</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Represents share-based compensation expense resulting from the application of accounting for stock options, restricted stock units, performance stock units, deferred stock unit awards and employee stock purchases (see Note 10 to the condensed consolidated financial statements). </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the fiscal 2024 non-cash charge for the impairment of certain assets related to a business that was sold ($2.3 million).</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    Represents the annualizing of net EBITDA from certain acquisitions and divestitures made during the period.</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    "Other" includes adjustments to remove the impact attributable to the adoption of certain accounting standards that are made to the calculation in accordance with the Credit Agreement and indentures ($51.8 million), charges related to our spin-off of the Uniform segment ($42.0 million), income related to non-United States governmental wage subsidies ($13.6 million), the reversal of contingent consideration liabilities related to acquisition earn outs, net of expense ($12.8 million), net severance charges ($10.1 million), the impact of hyperinflation in Argentina ($8.9 million), non-cash charges for inventory write-downs ($6.1 million), non-cash charges related to the impairment of a trade name ($3.3 million), non-cash charges related to information technology assets ($2.1 million), multiemployer pension plan withdrawal charges ($2.0 million) and other miscellaneous expenses.</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covenant requirement and actual ratio for the twelve months ended June 28, 2024 are as follows: </w:t>
      </w:r>
    </w:p>
    <w:tbl>
      <w:tblPr>
        <w:tblW w:w="6779" w:type="dxa"/>
        <w:jc w:val="left"/>
        <w:tblInd w:w="0" w:type="dxa"/>
        <w:tblLayout w:type="fixed"/>
        <w:tblCellMar>
          <w:top w:w="28" w:type="dxa"/>
          <w:left w:w="28" w:type="dxa"/>
          <w:bottom w:w="28" w:type="dxa"/>
          <w:right w:w="28" w:type="dxa"/>
        </w:tblCellMar>
      </w:tblPr>
      <w:tblGrid>
        <w:gridCol w:w="1733"/>
        <w:gridCol w:w="1524"/>
        <w:gridCol w:w="1528"/>
        <w:gridCol w:w="345"/>
        <w:gridCol w:w="345"/>
        <w:gridCol w:w="346"/>
        <w:gridCol w:w="109"/>
        <w:gridCol w:w="109"/>
        <w:gridCol w:w="109"/>
        <w:gridCol w:w="184"/>
        <w:gridCol w:w="184"/>
        <w:gridCol w:w="263"/>
      </w:tblGrid>
      <w:tr>
        <w:trPr/>
        <w:tc>
          <w:tcPr>
            <w:tcW w:w="173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w:t>
              <w:b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br/>
              <w:t>Ratio</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Consolidated Secured Debt Ratio</w:t>
            </w:r>
            <w:r>
              <w:rPr>
                <w:rFonts w:ascii="Times New Roman;sans-serif" w:hAnsi="Times New Roman;sans-serif"/>
                <w:b w:val="false"/>
                <w:color w:val="000000"/>
                <w:sz w:val="13"/>
              </w:rPr>
              <w:t>(1)</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5.125x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2.69x</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Interest Coverage Ratio (Fixed Charge Coverage Ratio)</w:t>
            </w:r>
            <w:r>
              <w:rPr>
                <w:rFonts w:ascii="Times New Roman;sans-serif" w:hAnsi="Times New Roman;sans-serif"/>
                <w:b w:val="false"/>
                <w:color w:val="000000"/>
                <w:sz w:val="13"/>
              </w:rPr>
              <w:t>(2)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2.000x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3.69x</w:t>
            </w:r>
          </w:p>
        </w:tc>
      </w:tr>
    </w:tbl>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The indentures governing our senior notes include a similar requirement which is referred to as a Fixed Charge Coverage Ratio.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Supplemental Consolidating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Regulation S-X Rule 13-01, which simplifies certain disclosure requirements for guarantors and issuers of guaranteed securities, we are not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activities do not include the use of unconsolidated special purpose entities and there are no significant business transactions that have not been reflected in the accompanying condensed consolidated financial statements. We insure portions of our risk in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June 28, 2024.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June 28, 2024 and September 29, 2023, cash and cash equivalents at the Captive were $15.7 million and $32.8 million, respectively. The Captive also invests in United States Treasury securities where the amount as of June 28, 2024 and September 29, 2023 was $114.3 million and $110.7 million, respectively, and is recorded in "Prepayments and other current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the notes to the audited consolidated financial statements included in our Annual Report on Form 10-K, filed with the SEC on November 21, 2023.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21,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Critical accounting estimates and the related assumptions are evaluated periodically as conditions warrant, and changes to such estimates are recorded as new information or changed conditions require.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New Accounting Standard Updates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the condensed consolidated financial statements for a full description of recent accounting standard updates, including the expected dates of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June 28, 2024 has not materially changed from September 29, 2023 (see Part II, Item 7A "Quantitative and Qualitative Disclosure About Market Risk" in our Annual Report on Form 10-K for the fiscal year ended September 29, 2023 filed with the SEC on November 21, 2023). However, we completed several debt related transactions during the nine month period of fiscal 2024 that significantly reduced our consolidated debt and the applicable margin used to calculate our interest expense. As a result, we reduced our related exposure to this market risk. During the first quarter of fiscal 2024, we redeemed the 6.375% Senior Notes due 2025 of $1,500.0 million from the proceeds received in conjunction with the separation and distribution of the Uniform segment. In addition, the Uniform segment United States term loans of $800.0 million due 2025 and $700.0 million due 2028 were removed from our condensed consolidated financial statements as a result of the separation and distribution of the Uniform segment on September 30, 2023. During the second quarter of fiscal 2024, we entered into Amendment No. 14 to the Credit Agreement, which provides for a reduction of the applicable margin for U.S. denominated Term B Loans. As of June 28, 2024, the 5.000% Senior Notes due April 1, 2025 and 3.125% Senior Notes due April 1, 2025 mature within one year. We intend to repay, redeem or otherwise refinance the outstanding obligations related to these securities. On August 2, 2024, we entered into Amendment No. 15 to the Credit Agreement, which refinanced and replaced our approximately $1.2 billion multi-currency revolving credit facility and approximately $225 million Term A Loans due April 2026 into an amended $1.4 billion multi-currency revolving credit facility and $500 million Term A Loans, extending the maturity to August 2029, adding revolving credit facility capacity of approximately $250 million, reducing the applicable margin and utilizing the net proceeds from the increased principal amount of Term A Loans to reduce the outstanding revolving credit facility balance by approximately $275 million. See Note 5 and Note 15 to the condensed consolidated financial statements related to the changes in our debt levels. See Note 6 to the condensed consolidated financial statements for a discussion of our derivative instruments and Note 14 for the disclosure of the fair value and related carrying value of our debt obligations as of June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third quarter of fiscal 2024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60" w:after="60"/>
        <w:jc w:val="left"/>
        <w:rPr/>
      </w:pPr>
      <w:hyperlink w:anchor="i04ffac6520844000883f37eaf1e0a0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subsidiaries are party to various legal actions, proceedings and investigations involving claims incidental to the conduct of our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various federal, state, international,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June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Part I, Item 1A, "Risk Factors" in our Annual Report on Form 10-K for the fiscal year ended September 29, 2023 filed with the SEC on November 21,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28, 2024,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August 6, 2024.</w:t>
      </w:r>
    </w:p>
    <w:tbl>
      <w:tblPr>
        <w:tblW w:w="69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93"/>
        <w:gridCol w:w="193"/>
        <w:gridCol w:w="198"/>
        <w:gridCol w:w="109"/>
        <w:gridCol w:w="109"/>
        <w:gridCol w:w="109"/>
        <w:gridCol w:w="1386"/>
        <w:gridCol w:w="1386"/>
        <w:gridCol w:w="1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Vice President, Controller and Chief Accounting Officer</w:t>
              <w:br/>
              <w:t>(Principal Accounting Officer and Authorized Signatory)</w:t>
            </w:r>
          </w:p>
        </w:tc>
      </w:tr>
    </w:tbl>
    <w:p>
      <w:pPr>
        <w:pStyle w:val="TextBody"/>
        <w:bidi w:val="0"/>
        <w:spacing w:before="10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216"/>
        <w:gridCol w:w="189"/>
        <w:gridCol w:w="191"/>
        <w:gridCol w:w="109"/>
        <w:gridCol w:w="109"/>
        <w:gridCol w:w="109"/>
        <w:gridCol w:w="2830"/>
        <w:gridCol w:w="2672"/>
        <w:gridCol w:w="3780"/>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Description</w:t>
            </w:r>
            <w:r>
              <w:rPr>
                <w:color w:val="000000"/>
              </w:rPr>
              <w:t> </w:t>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 xml:space="preserve">Amendment, dated May 29, 2024, to the Letter Agreement dated December 11, 2023, by and between Thomas Ondrof and Aramark (incorporated by reference to exhibit 10.1 to Aramark's Current Report on Form 8-K filed with the SEC on May 29, 224 (file number 001-36223)). </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1q32024.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32024.htm">
              <w:r>
                <w:rPr>
                  <w:rStyle w:val="InternetLink"/>
                  <w:rFonts w:ascii="Times New Roman;sans-serif" w:hAnsi="Times New Roman;sans-serif"/>
                  <w:b w:val="false"/>
                  <w:color w:val="0000FF"/>
                  <w:sz w:val="20"/>
                  <w:u w:val="single"/>
                </w:rPr>
                <w:t>Certification of John J. Zillmer, Chief Executive Officer, pursuant to Section 302 of the Sarbanes-Oxley Act of 2002.</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2q32024.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32024.htm">
              <w:r>
                <w:rPr>
                  <w:rStyle w:val="InternetLink"/>
                  <w:rFonts w:ascii="Times New Roman;sans-serif" w:hAnsi="Times New Roman;sans-serif"/>
                  <w:b w:val="false"/>
                  <w:color w:val="0000FF"/>
                  <w:sz w:val="20"/>
                  <w:u w:val="single"/>
                </w:rPr>
                <w:t>Certification of James J. Tarangelo, Chief Financial Officer, pursuant to Section 302 of the Sarbanes-Oxley Act of 2002.</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21q32024.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32024.htm">
              <w:r>
                <w:rPr>
                  <w:rStyle w:val="InternetLink"/>
                  <w:rFonts w:ascii="Times New Roman;sans-serif" w:hAnsi="Times New Roman;sans-serif"/>
                  <w:b w:val="false"/>
                  <w:color w:val="0000FF"/>
                  <w:sz w:val="20"/>
                  <w:u w:val="single"/>
                </w:rPr>
                <w:t>Certification of John J. Zillmer, Chief Executive Officer, and James J. Tarangelo, Chief Financial Officer, pursuant to Section 906 of the Sarbanes-Oxley Act of 2002.</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fac6520844000883f37eaf1e0a0f1_16">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ffac6520844000883f37eaf1e0a0f1_16">
              <w:r>
                <w:rPr>
                  <w:rStyle w:val="InternetLink"/>
                  <w:rFonts w:ascii="Times New Roman;sans-serif" w:hAnsi="Times New Roman;sans-serif"/>
                  <w:b w:val="false"/>
                  <w:color w:val="000080"/>
                  <w:sz w:val="20"/>
                  <w:u w:val="single"/>
                </w:rPr>
                <w:t xml:space="preserve">The following financial information from Aramark's Quarterly Report on Form 10-Q for the period ended </w:t>
              </w:r>
            </w:hyperlink>
            <w:hyperlink w:anchor="i04ffac6520844000883f37eaf1e0a0f1_16">
              <w:r>
                <w:rPr>
                  <w:rStyle w:val="InternetLink"/>
                  <w:rFonts w:ascii="Times New Roman;sans-serif" w:hAnsi="Times New Roman;sans-serif"/>
                  <w:b w:val="false"/>
                  <w:color w:val="000080"/>
                  <w:sz w:val="20"/>
                  <w:u w:val="single"/>
                </w:rPr>
                <w:t>June</w:t>
              </w:r>
            </w:hyperlink>
            <w:hyperlink w:anchor="i04ffac6520844000883f37eaf1e0a0f1_16">
              <w:r>
                <w:rPr>
                  <w:rStyle w:val="InternetLink"/>
                  <w:rFonts w:ascii="Times New Roman;sans-serif" w:hAnsi="Times New Roman;sans-serif"/>
                  <w:b w:val="false"/>
                  <w:color w:val="000080"/>
                  <w:sz w:val="20"/>
                  <w:u w:val="single"/>
                </w:rPr>
                <w:t xml:space="preserve"> </w:t>
              </w:r>
            </w:hyperlink>
            <w:hyperlink w:anchor="i04ffac6520844000883f37eaf1e0a0f1_16">
              <w:r>
                <w:rPr>
                  <w:rStyle w:val="InternetLink"/>
                  <w:rFonts w:ascii="Times New Roman;sans-serif" w:hAnsi="Times New Roman;sans-serif"/>
                  <w:b w:val="false"/>
                  <w:color w:val="000080"/>
                  <w:sz w:val="20"/>
                  <w:u w:val="single"/>
                </w:rPr>
                <w:t>28</w:t>
              </w:r>
            </w:hyperlink>
            <w:hyperlink w:anchor="i04ffac6520844000883f37eaf1e0a0f1_16">
              <w:r>
                <w:rPr>
                  <w:rStyle w:val="InternetLink"/>
                  <w:rFonts w:ascii="Times New Roman;sans-serif" w:hAnsi="Times New Roman;sans-serif"/>
                  <w:b w:val="false"/>
                  <w:color w:val="000080"/>
                  <w:sz w:val="20"/>
                  <w:u w:val="single"/>
                </w:rPr>
                <w:t xml:space="preserve">, 2024 formatted in inline XBRL: (i) Condensed Consolidated Balance Sheets as of </w:t>
              </w:r>
            </w:hyperlink>
            <w:hyperlink w:anchor="i04ffac6520844000883f37eaf1e0a0f1_16">
              <w:r>
                <w:rPr>
                  <w:rStyle w:val="InternetLink"/>
                  <w:rFonts w:ascii="Times New Roman;sans-serif" w:hAnsi="Times New Roman;sans-serif"/>
                  <w:b w:val="false"/>
                  <w:color w:val="000080"/>
                  <w:sz w:val="20"/>
                  <w:u w:val="single"/>
                </w:rPr>
                <w:t>June 28</w:t>
              </w:r>
            </w:hyperlink>
            <w:hyperlink w:anchor="i04ffac6520844000883f37eaf1e0a0f1_16">
              <w:r>
                <w:rPr>
                  <w:rStyle w:val="InternetLink"/>
                  <w:rFonts w:ascii="Times New Roman;sans-serif" w:hAnsi="Times New Roman;sans-serif"/>
                  <w:b w:val="false"/>
                  <w:color w:val="000080"/>
                  <w:sz w:val="20"/>
                  <w:u w:val="single"/>
                </w:rPr>
                <w:t xml:space="preserve">, 2024 and September 29, 2023; (ii) Condensed Consolidated Statements of Income for the three and </w:t>
              </w:r>
            </w:hyperlink>
            <w:hyperlink w:anchor="i04ffac6520844000883f37eaf1e0a0f1_16">
              <w:r>
                <w:rPr>
                  <w:rStyle w:val="InternetLink"/>
                  <w:rFonts w:ascii="Times New Roman;sans-serif" w:hAnsi="Times New Roman;sans-serif"/>
                  <w:b w:val="false"/>
                  <w:color w:val="000080"/>
                  <w:sz w:val="20"/>
                  <w:u w:val="single"/>
                </w:rPr>
                <w:t>nine</w:t>
              </w:r>
            </w:hyperlink>
            <w:hyperlink w:anchor="i04ffac6520844000883f37eaf1e0a0f1_16">
              <w:r>
                <w:rPr>
                  <w:rStyle w:val="InternetLink"/>
                  <w:rFonts w:ascii="Times New Roman;sans-serif" w:hAnsi="Times New Roman;sans-serif"/>
                  <w:b w:val="false"/>
                  <w:color w:val="000080"/>
                  <w:sz w:val="20"/>
                  <w:u w:val="single"/>
                </w:rPr>
                <w:t xml:space="preserve"> months ended </w:t>
              </w:r>
            </w:hyperlink>
            <w:hyperlink w:anchor="i04ffac6520844000883f37eaf1e0a0f1_16">
              <w:r>
                <w:rPr>
                  <w:rStyle w:val="InternetLink"/>
                  <w:rFonts w:ascii="Times New Roman;sans-serif" w:hAnsi="Times New Roman;sans-serif"/>
                  <w:b w:val="false"/>
                  <w:color w:val="000080"/>
                  <w:sz w:val="20"/>
                  <w:u w:val="single"/>
                </w:rPr>
                <w:t>June 28</w:t>
              </w:r>
            </w:hyperlink>
            <w:hyperlink w:anchor="i04ffac6520844000883f37eaf1e0a0f1_16">
              <w:r>
                <w:rPr>
                  <w:rStyle w:val="InternetLink"/>
                  <w:rFonts w:ascii="Times New Roman;sans-serif" w:hAnsi="Times New Roman;sans-serif"/>
                  <w:b w:val="false"/>
                  <w:color w:val="000080"/>
                  <w:sz w:val="20"/>
                  <w:u w:val="single"/>
                </w:rPr>
                <w:t xml:space="preserve">, 2024 and </w:t>
              </w:r>
            </w:hyperlink>
            <w:hyperlink w:anchor="i04ffac6520844000883f37eaf1e0a0f1_16">
              <w:r>
                <w:rPr>
                  <w:rStyle w:val="InternetLink"/>
                  <w:rFonts w:ascii="Times New Roman;sans-serif" w:hAnsi="Times New Roman;sans-serif"/>
                  <w:b w:val="false"/>
                  <w:color w:val="000080"/>
                  <w:sz w:val="20"/>
                  <w:u w:val="single"/>
                </w:rPr>
                <w:t>June 30</w:t>
              </w:r>
            </w:hyperlink>
            <w:hyperlink w:anchor="i04ffac6520844000883f37eaf1e0a0f1_16">
              <w:r>
                <w:rPr>
                  <w:rStyle w:val="InternetLink"/>
                  <w:rFonts w:ascii="Times New Roman;sans-serif" w:hAnsi="Times New Roman;sans-serif"/>
                  <w:b w:val="false"/>
                  <w:color w:val="000080"/>
                  <w:sz w:val="20"/>
                  <w:u w:val="single"/>
                </w:rPr>
                <w:t xml:space="preserve">, 2023; (iii) Condensed Consolidated Statements of Comprehensive Income for the three and </w:t>
              </w:r>
            </w:hyperlink>
            <w:hyperlink w:anchor="i04ffac6520844000883f37eaf1e0a0f1_16">
              <w:r>
                <w:rPr>
                  <w:rStyle w:val="InternetLink"/>
                  <w:rFonts w:ascii="Times New Roman;sans-serif" w:hAnsi="Times New Roman;sans-serif"/>
                  <w:b w:val="false"/>
                  <w:color w:val="000080"/>
                  <w:sz w:val="20"/>
                  <w:u w:val="single"/>
                </w:rPr>
                <w:t>nine</w:t>
              </w:r>
            </w:hyperlink>
            <w:hyperlink w:anchor="i04ffac6520844000883f37eaf1e0a0f1_16">
              <w:r>
                <w:rPr>
                  <w:rStyle w:val="InternetLink"/>
                  <w:rFonts w:ascii="Times New Roman;sans-serif" w:hAnsi="Times New Roman;sans-serif"/>
                  <w:b w:val="false"/>
                  <w:color w:val="000080"/>
                  <w:sz w:val="20"/>
                  <w:u w:val="single"/>
                </w:rPr>
                <w:t xml:space="preserve"> months ended </w:t>
              </w:r>
            </w:hyperlink>
            <w:hyperlink w:anchor="i04ffac6520844000883f37eaf1e0a0f1_16">
              <w:r>
                <w:rPr>
                  <w:rStyle w:val="InternetLink"/>
                  <w:rFonts w:ascii="Times New Roman;sans-serif" w:hAnsi="Times New Roman;sans-serif"/>
                  <w:b w:val="false"/>
                  <w:color w:val="000080"/>
                  <w:sz w:val="20"/>
                  <w:u w:val="single"/>
                </w:rPr>
                <w:t>Jun</w:t>
              </w:r>
            </w:hyperlink>
            <w:hyperlink w:anchor="i04ffac6520844000883f37eaf1e0a0f1_16">
              <w:r>
                <w:rPr>
                  <w:rStyle w:val="InternetLink"/>
                  <w:rFonts w:ascii="Times New Roman;sans-serif" w:hAnsi="Times New Roman;sans-serif"/>
                  <w:b w:val="false"/>
                  <w:color w:val="000080"/>
                  <w:sz w:val="20"/>
                  <w:u w:val="single"/>
                </w:rPr>
                <w:t>e 28</w:t>
              </w:r>
            </w:hyperlink>
            <w:hyperlink w:anchor="i04ffac6520844000883f37eaf1e0a0f1_16">
              <w:r>
                <w:rPr>
                  <w:rStyle w:val="InternetLink"/>
                  <w:rFonts w:ascii="Times New Roman;sans-serif" w:hAnsi="Times New Roman;sans-serif"/>
                  <w:b w:val="false"/>
                  <w:color w:val="000080"/>
                  <w:sz w:val="20"/>
                  <w:u w:val="single"/>
                </w:rPr>
                <w:t xml:space="preserve">, 2024 and </w:t>
              </w:r>
            </w:hyperlink>
            <w:hyperlink w:anchor="i04ffac6520844000883f37eaf1e0a0f1_16">
              <w:r>
                <w:rPr>
                  <w:rStyle w:val="InternetLink"/>
                  <w:rFonts w:ascii="Times New Roman;sans-serif" w:hAnsi="Times New Roman;sans-serif"/>
                  <w:b w:val="false"/>
                  <w:color w:val="000080"/>
                  <w:sz w:val="20"/>
                  <w:u w:val="single"/>
                </w:rPr>
                <w:t>June 30</w:t>
              </w:r>
            </w:hyperlink>
            <w:hyperlink w:anchor="i04ffac6520844000883f37eaf1e0a0f1_16">
              <w:r>
                <w:rPr>
                  <w:rStyle w:val="InternetLink"/>
                  <w:rFonts w:ascii="Times New Roman;sans-serif" w:hAnsi="Times New Roman;sans-serif"/>
                  <w:b w:val="false"/>
                  <w:color w:val="000080"/>
                  <w:sz w:val="20"/>
                  <w:u w:val="single"/>
                </w:rPr>
                <w:t xml:space="preserve">, 2023; (iv) Condensed Consolidated Statements of Cash Flows for the </w:t>
              </w:r>
            </w:hyperlink>
            <w:hyperlink w:anchor="i04ffac6520844000883f37eaf1e0a0f1_16">
              <w:r>
                <w:rPr>
                  <w:rStyle w:val="InternetLink"/>
                  <w:rFonts w:ascii="Times New Roman;sans-serif" w:hAnsi="Times New Roman;sans-serif"/>
                  <w:b w:val="false"/>
                  <w:color w:val="000080"/>
                  <w:sz w:val="20"/>
                  <w:u w:val="single"/>
                </w:rPr>
                <w:t>nine</w:t>
              </w:r>
            </w:hyperlink>
            <w:hyperlink w:anchor="i04ffac6520844000883f37eaf1e0a0f1_16">
              <w:r>
                <w:rPr>
                  <w:rStyle w:val="InternetLink"/>
                  <w:rFonts w:ascii="Times New Roman;sans-serif" w:hAnsi="Times New Roman;sans-serif"/>
                  <w:b w:val="false"/>
                  <w:color w:val="000080"/>
                  <w:sz w:val="20"/>
                  <w:u w:val="single"/>
                </w:rPr>
                <w:t xml:space="preserve"> months ended </w:t>
              </w:r>
            </w:hyperlink>
            <w:hyperlink w:anchor="i04ffac6520844000883f37eaf1e0a0f1_16">
              <w:r>
                <w:rPr>
                  <w:rStyle w:val="InternetLink"/>
                  <w:rFonts w:ascii="Times New Roman;sans-serif" w:hAnsi="Times New Roman;sans-serif"/>
                  <w:b w:val="false"/>
                  <w:color w:val="000080"/>
                  <w:sz w:val="20"/>
                  <w:u w:val="single"/>
                </w:rPr>
                <w:t>June 28</w:t>
              </w:r>
            </w:hyperlink>
            <w:hyperlink w:anchor="i04ffac6520844000883f37eaf1e0a0f1_16">
              <w:r>
                <w:rPr>
                  <w:rStyle w:val="InternetLink"/>
                  <w:rFonts w:ascii="Times New Roman;sans-serif" w:hAnsi="Times New Roman;sans-serif"/>
                  <w:b w:val="false"/>
                  <w:color w:val="000080"/>
                  <w:sz w:val="20"/>
                  <w:u w:val="single"/>
                </w:rPr>
                <w:t xml:space="preserve">, 2024 and </w:t>
              </w:r>
            </w:hyperlink>
            <w:hyperlink w:anchor="i04ffac6520844000883f37eaf1e0a0f1_16">
              <w:r>
                <w:rPr>
                  <w:rStyle w:val="InternetLink"/>
                  <w:rFonts w:ascii="Times New Roman;sans-serif" w:hAnsi="Times New Roman;sans-serif"/>
                  <w:b w:val="false"/>
                  <w:color w:val="000080"/>
                  <w:sz w:val="20"/>
                  <w:u w:val="single"/>
                </w:rPr>
                <w:t>June 30</w:t>
              </w:r>
            </w:hyperlink>
            <w:hyperlink w:anchor="i04ffac6520844000883f37eaf1e0a0f1_16">
              <w:r>
                <w:rPr>
                  <w:rStyle w:val="InternetLink"/>
                  <w:rFonts w:ascii="Times New Roman;sans-serif" w:hAnsi="Times New Roman;sans-serif"/>
                  <w:b w:val="false"/>
                  <w:color w:val="000080"/>
                  <w:sz w:val="20"/>
                  <w:u w:val="single"/>
                </w:rPr>
                <w:t>,</w:t>
              </w:r>
            </w:hyperlink>
            <w:hyperlink w:anchor="i04ffac6520844000883f37eaf1e0a0f1_16">
              <w:r>
                <w:rPr>
                  <w:rStyle w:val="InternetLink"/>
                  <w:rFonts w:ascii="Times New Roman;sans-serif" w:hAnsi="Times New Roman;sans-serif"/>
                  <w:b w:val="false"/>
                  <w:color w:val="000080"/>
                  <w:sz w:val="20"/>
                  <w:u w:val="single"/>
                </w:rPr>
                <w:t xml:space="preserve"> 2023; (v) Condensed Consolidated Statements of Stockholders' Equity for the three and </w:t>
              </w:r>
            </w:hyperlink>
            <w:hyperlink w:anchor="i04ffac6520844000883f37eaf1e0a0f1_16">
              <w:r>
                <w:rPr>
                  <w:rStyle w:val="InternetLink"/>
                  <w:rFonts w:ascii="Times New Roman;sans-serif" w:hAnsi="Times New Roman;sans-serif"/>
                  <w:b w:val="false"/>
                  <w:color w:val="000080"/>
                  <w:sz w:val="20"/>
                  <w:u w:val="single"/>
                </w:rPr>
                <w:t>nine</w:t>
              </w:r>
            </w:hyperlink>
            <w:hyperlink w:anchor="i04ffac6520844000883f37eaf1e0a0f1_16">
              <w:r>
                <w:rPr>
                  <w:rStyle w:val="InternetLink"/>
                  <w:rFonts w:ascii="Times New Roman;sans-serif" w:hAnsi="Times New Roman;sans-serif"/>
                  <w:b w:val="false"/>
                  <w:color w:val="000080"/>
                  <w:sz w:val="20"/>
                  <w:u w:val="single"/>
                </w:rPr>
                <w:t xml:space="preserve"> months ended </w:t>
              </w:r>
            </w:hyperlink>
            <w:hyperlink w:anchor="i04ffac6520844000883f37eaf1e0a0f1_16">
              <w:r>
                <w:rPr>
                  <w:rStyle w:val="InternetLink"/>
                  <w:rFonts w:ascii="Times New Roman;sans-serif" w:hAnsi="Times New Roman;sans-serif"/>
                  <w:b w:val="false"/>
                  <w:color w:val="000080"/>
                  <w:sz w:val="20"/>
                  <w:u w:val="single"/>
                </w:rPr>
                <w:t>June 28</w:t>
              </w:r>
            </w:hyperlink>
            <w:hyperlink w:anchor="i04ffac6520844000883f37eaf1e0a0f1_16">
              <w:r>
                <w:rPr>
                  <w:rStyle w:val="InternetLink"/>
                  <w:rFonts w:ascii="Times New Roman;sans-serif" w:hAnsi="Times New Roman;sans-serif"/>
                  <w:b w:val="false"/>
                  <w:color w:val="000080"/>
                  <w:sz w:val="20"/>
                  <w:u w:val="single"/>
                </w:rPr>
                <w:t xml:space="preserve">, 2024 and </w:t>
              </w:r>
            </w:hyperlink>
            <w:hyperlink w:anchor="i04ffac6520844000883f37eaf1e0a0f1_16">
              <w:r>
                <w:rPr>
                  <w:rStyle w:val="InternetLink"/>
                  <w:rFonts w:ascii="Times New Roman;sans-serif" w:hAnsi="Times New Roman;sans-serif"/>
                  <w:b w:val="false"/>
                  <w:color w:val="000080"/>
                  <w:sz w:val="20"/>
                  <w:u w:val="single"/>
                </w:rPr>
                <w:t>June 30</w:t>
              </w:r>
            </w:hyperlink>
            <w:hyperlink w:anchor="i04ffac6520844000883f37eaf1e0a0f1_16">
              <w:r>
                <w:rPr>
                  <w:rStyle w:val="InternetLink"/>
                  <w:rFonts w:ascii="Times New Roman;sans-serif" w:hAnsi="Times New Roman;sans-serif"/>
                  <w:b w:val="false"/>
                  <w:color w:val="000080"/>
                  <w:sz w:val="20"/>
                  <w:u w:val="single"/>
                </w:rPr>
                <w:t>, 2023; and (vi) Notes to condensed consolidated financial statements.</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for the cover page of this Quarterly Report on Form 10-Q; included in Exhibit 101 Inline XBRL document set.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color w:val="000000"/>
          <w:shd w:fill="FFFFFF" w:val="clear"/>
        </w:rPr>
      </w:pPr>
      <w:r>
        <w:rPr>
          <w:color w:val="000000"/>
          <w:shd w:fill="FFFFFF" w:val="clear"/>
        </w:rPr>
        <w:t>†    </w:t>
      </w:r>
      <w:r>
        <w:rPr>
          <w:rFonts w:ascii="Times New Roman;sans-serif" w:hAnsi="Times New Roman;sans-serif"/>
          <w:b w:val="false"/>
          <w:color w:val="000000"/>
          <w:sz w:val="20"/>
          <w:shd w:fill="FFFFFF" w:val="clear"/>
        </w:rPr>
        <w:t>Identifies exhibits that consist of management contract or compensatory arrangement.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XBRL instance document does not appear in the interactive data file because the XBRL tags are embedded within the inline XBRL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right"/>
        <w:rPr/>
      </w:pPr>
      <w:r>
        <w:rPr>
          <w:color w:val="000000"/>
        </w:rPr>
        <w:t> </w:t>
      </w:r>
      <w:r>
        <w:rPr>
          <w:rFonts w:ascii="Times New Roman;sans-serif" w:hAnsi="Times New Roman;sans-serif"/>
          <w:b/>
          <w:color w:val="000000"/>
          <w:sz w:val="20"/>
        </w:rPr>
        <w:t xml:space="preserve">EXHIBIT 31.1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J. Zillmer, Chief Executive Officer, certify that:</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Aramark for the quarter ended June 28, 2024;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6, 2024 </w:t>
      </w:r>
    </w:p>
    <w:tbl>
      <w:tblPr>
        <w:tblW w:w="2145" w:type="dxa"/>
        <w:jc w:val="lef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before="0" w:after="0"/>
        <w:jc w:val="center"/>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James J. Tarangelo, Senior Vice President and Chief Financial Officer, certify that:</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Aramark for the quarter ended June 28, 2024;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6, 2024 </w:t>
      </w:r>
    </w:p>
    <w:tbl>
      <w:tblPr>
        <w:tblW w:w="2400" w:type="dxa"/>
        <w:jc w:val="left"/>
        <w:tblInd w:w="0" w:type="dxa"/>
        <w:tblLayout w:type="fixed"/>
        <w:tblCellMar>
          <w:top w:w="28" w:type="dxa"/>
          <w:left w:w="28" w:type="dxa"/>
          <w:bottom w:w="28" w:type="dxa"/>
          <w:right w:w="28" w:type="dxa"/>
        </w:tblCellMar>
      </w:tblPr>
      <w:tblGrid>
        <w:gridCol w:w="769"/>
        <w:gridCol w:w="675"/>
        <w:gridCol w:w="956"/>
      </w:tblGrid>
      <w:tr>
        <w:trPr/>
        <w:tc>
          <w:tcPr>
            <w:tcW w:w="76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TARANGELO</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James J. Tarangelo</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and</w:t>
              <w:br/>
              <w:t>Chief Financial Officer</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 OF</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SARBANES-OXLEY ACT OF 2002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Aramark (the “Company”) on Form 10-Q for the fiscal quarter ended June 28, 2024, as filed with the Securities and Exchange Commission on the date hereof (the “Report”), we, John J. Zillmer, Chief Executive Officer of the Company, and James J. Tarangelo, Senior Vice President and Chief Financial Officer of the Company, each certify, pursuant to 18 U.S.C. Section 1350, as adopted pursuant to Section 906 of the Sarbanes-Oxley Act of 2002, that, based on each of our knowledge:</w:t>
      </w:r>
    </w:p>
    <w:p>
      <w:pPr>
        <w:pStyle w:val="TextBody"/>
        <w:bidi w:val="0"/>
        <w:spacing w:before="100" w:after="283"/>
        <w:jc w:val="left"/>
        <w:rPr/>
      </w:pPr>
      <w:r>
        <w:rPr/>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before="100" w:after="283"/>
        <w:ind w:left="0" w:right="0" w:firstLine="90"/>
        <w:jc w:val="left"/>
        <w:rPr/>
      </w:pPr>
      <w:r>
        <w:rPr/>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p>
      <w:pPr>
        <w:pStyle w:val="TextBody"/>
        <w:bidi w:val="0"/>
        <w:spacing w:lineRule="auto" w:line="288" w:before="0" w:after="0"/>
        <w:jc w:val="right"/>
        <w:rPr>
          <w:color w:val="000000"/>
        </w:rPr>
      </w:pPr>
      <w:r>
        <w:rPr>
          <w:color w:val="000000"/>
        </w:rPr>
        <w:t>                                </w:t>
      </w:r>
    </w:p>
    <w:tbl>
      <w:tblPr>
        <w:tblW w:w="2145" w:type="dxa"/>
        <w:jc w:val="righ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2400" w:type="dxa"/>
        <w:jc w:val="right"/>
        <w:tblInd w:w="0" w:type="dxa"/>
        <w:tblLayout w:type="fixed"/>
        <w:tblCellMar>
          <w:top w:w="28" w:type="dxa"/>
          <w:left w:w="28" w:type="dxa"/>
          <w:bottom w:w="28" w:type="dxa"/>
          <w:right w:w="28" w:type="dxa"/>
        </w:tblCellMar>
      </w:tblPr>
      <w:tblGrid>
        <w:gridCol w:w="769"/>
        <w:gridCol w:w="675"/>
        <w:gridCol w:w="956"/>
      </w:tblGrid>
      <w:tr>
        <w:trPr/>
        <w:tc>
          <w:tcPr>
            <w:tcW w:w="76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TARANGELO</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James J. Tarangelo</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and</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84509/000158450924000099/cik0-20240529.htm" TargetMode="External"/><Relationship Id="rId4" Type="http://schemas.openxmlformats.org/officeDocument/2006/relationships/hyperlink" Target="https://www.sec.gov/ix?doc=/Archives/edgar/data/1584509/000158450924000099/cik0-20240529.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21877</Words>
  <Characters>123316</Characters>
  <CharactersWithSpaces>143850</CharactersWithSpaces>
  <Paragraphs>2571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